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8F" w:rsidRDefault="005E09CB" w:rsidP="005E09CB">
      <w:pPr>
        <w:pStyle w:val="Tekstfusnote"/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ULAGANJA U NEKRETNINE</w:t>
      </w:r>
    </w:p>
    <w:p w:rsidR="00B85629" w:rsidRPr="00B85629" w:rsidRDefault="00B85629" w:rsidP="00B85629">
      <w:pPr>
        <w:pStyle w:val="Tekstfusnote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B85629" w:rsidRDefault="005A598F" w:rsidP="00B85629">
      <w:pPr>
        <w:pStyle w:val="Tekstfusnote"/>
        <w:jc w:val="center"/>
        <w:rPr>
          <w:rFonts w:ascii="Arial" w:hAnsi="Arial" w:cs="Arial"/>
          <w:b/>
          <w:sz w:val="22"/>
          <w:szCs w:val="22"/>
        </w:rPr>
      </w:pPr>
      <w:r w:rsidRPr="00B85629">
        <w:rPr>
          <w:rFonts w:ascii="Arial" w:hAnsi="Arial" w:cs="Arial"/>
          <w:b/>
          <w:sz w:val="22"/>
          <w:szCs w:val="22"/>
        </w:rPr>
        <w:t xml:space="preserve">Izvod iz </w:t>
      </w:r>
      <w:r w:rsidR="00B85629">
        <w:rPr>
          <w:rFonts w:ascii="Arial" w:hAnsi="Arial" w:cs="Arial"/>
          <w:b/>
          <w:sz w:val="22"/>
          <w:szCs w:val="22"/>
        </w:rPr>
        <w:t xml:space="preserve"> </w:t>
      </w:r>
    </w:p>
    <w:p w:rsidR="005A598F" w:rsidRPr="005A598F" w:rsidRDefault="005A598F" w:rsidP="00B85629">
      <w:pPr>
        <w:pStyle w:val="Tekstfusnote"/>
        <w:jc w:val="center"/>
        <w:rPr>
          <w:rFonts w:ascii="Arial" w:hAnsi="Arial" w:cs="Arial"/>
          <w:b/>
          <w:sz w:val="22"/>
          <w:szCs w:val="22"/>
        </w:rPr>
      </w:pPr>
      <w:r w:rsidRPr="005A598F">
        <w:rPr>
          <w:rFonts w:ascii="Arial" w:hAnsi="Arial" w:cs="Arial"/>
          <w:b/>
          <w:sz w:val="22"/>
          <w:szCs w:val="22"/>
        </w:rPr>
        <w:t>Izvješća Komisije Europskom parlamentu i Vijeću od 26.6.2017.</w:t>
      </w:r>
    </w:p>
    <w:p w:rsidR="00B85629" w:rsidRDefault="005A598F" w:rsidP="00B85629">
      <w:pPr>
        <w:pStyle w:val="Tekstfusnote"/>
        <w:jc w:val="center"/>
        <w:rPr>
          <w:rFonts w:ascii="Arial" w:hAnsi="Arial" w:cs="Arial"/>
          <w:b/>
          <w:sz w:val="22"/>
          <w:szCs w:val="22"/>
        </w:rPr>
      </w:pPr>
      <w:r w:rsidRPr="005A598F">
        <w:rPr>
          <w:rFonts w:ascii="Arial" w:hAnsi="Arial" w:cs="Arial"/>
          <w:b/>
          <w:sz w:val="22"/>
          <w:szCs w:val="22"/>
        </w:rPr>
        <w:t xml:space="preserve">o procjeni rizika od pranja novca i financiranja terorizma </w:t>
      </w:r>
    </w:p>
    <w:p w:rsidR="005A598F" w:rsidRDefault="005A598F" w:rsidP="00B85629">
      <w:pPr>
        <w:pStyle w:val="Tekstfusnote"/>
        <w:jc w:val="center"/>
        <w:rPr>
          <w:rFonts w:ascii="Arial" w:hAnsi="Arial" w:cs="Arial"/>
          <w:b/>
          <w:sz w:val="22"/>
          <w:szCs w:val="22"/>
        </w:rPr>
      </w:pPr>
      <w:r w:rsidRPr="005A598F">
        <w:rPr>
          <w:rFonts w:ascii="Arial" w:hAnsi="Arial" w:cs="Arial"/>
          <w:b/>
          <w:sz w:val="22"/>
          <w:szCs w:val="22"/>
        </w:rPr>
        <w:t>koji utječu na unutarnje tržište</w:t>
      </w:r>
      <w:r w:rsidR="00B85629">
        <w:rPr>
          <w:rFonts w:ascii="Arial" w:hAnsi="Arial" w:cs="Arial"/>
          <w:b/>
          <w:sz w:val="22"/>
          <w:szCs w:val="22"/>
        </w:rPr>
        <w:t xml:space="preserve"> </w:t>
      </w:r>
      <w:r w:rsidRPr="005A598F">
        <w:rPr>
          <w:rFonts w:ascii="Arial" w:hAnsi="Arial" w:cs="Arial"/>
          <w:b/>
          <w:sz w:val="22"/>
          <w:szCs w:val="22"/>
        </w:rPr>
        <w:t xml:space="preserve">i odnose se na prekogranične aktivnosti </w:t>
      </w:r>
    </w:p>
    <w:p w:rsidR="00B85629" w:rsidRDefault="00B85629" w:rsidP="00B85629">
      <w:pPr>
        <w:pStyle w:val="Tekstfusnote"/>
        <w:jc w:val="center"/>
        <w:rPr>
          <w:rFonts w:ascii="Arial" w:hAnsi="Arial" w:cs="Arial"/>
          <w:b/>
          <w:sz w:val="22"/>
          <w:szCs w:val="22"/>
        </w:rPr>
      </w:pPr>
    </w:p>
    <w:p w:rsidR="00B85629" w:rsidRDefault="00274CA3" w:rsidP="00274CA3">
      <w:pPr>
        <w:pStyle w:val="Tekstfusnote"/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PROIZVOD</w:t>
      </w:r>
    </w:p>
    <w:p w:rsidR="00B85629" w:rsidRDefault="00B85629" w:rsidP="00B85629">
      <w:pPr>
        <w:pStyle w:val="Tekstfusnote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B85629" w:rsidRPr="00B85629" w:rsidRDefault="005C7E06" w:rsidP="00B85629">
      <w:pPr>
        <w:pStyle w:val="Tekstfusnote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Ulaganja u nekretnine</w:t>
      </w:r>
    </w:p>
    <w:p w:rsidR="00B85629" w:rsidRDefault="00B85629" w:rsidP="00B85629">
      <w:pPr>
        <w:pStyle w:val="Tekstfusnote"/>
        <w:jc w:val="both"/>
        <w:rPr>
          <w:rFonts w:ascii="Arial" w:hAnsi="Arial" w:cs="Arial"/>
          <w:sz w:val="22"/>
          <w:szCs w:val="22"/>
        </w:rPr>
      </w:pPr>
    </w:p>
    <w:p w:rsidR="00B85629" w:rsidRPr="00B85629" w:rsidRDefault="00274CA3" w:rsidP="00274CA3">
      <w:pPr>
        <w:pStyle w:val="Tekstfusnote"/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SEKTOR</w:t>
      </w:r>
    </w:p>
    <w:p w:rsidR="00B85629" w:rsidRDefault="00B85629" w:rsidP="00B85629">
      <w:pPr>
        <w:pStyle w:val="Tekstfusnote"/>
        <w:jc w:val="both"/>
        <w:rPr>
          <w:rFonts w:ascii="Arial" w:hAnsi="Arial" w:cs="Arial"/>
          <w:i/>
          <w:sz w:val="22"/>
          <w:szCs w:val="22"/>
        </w:rPr>
      </w:pPr>
    </w:p>
    <w:p w:rsidR="005C7E06" w:rsidRPr="00B85629" w:rsidRDefault="005C7E06" w:rsidP="00B85629">
      <w:pPr>
        <w:pStyle w:val="Tekstfusnote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Sektor nekretnina, neovisni pravni stručnjaci, javni bilježnici, kreditne institucije</w:t>
      </w:r>
    </w:p>
    <w:p w:rsidR="00B85629" w:rsidRDefault="00B85629" w:rsidP="00B85629">
      <w:pPr>
        <w:pStyle w:val="Tekstfusnote"/>
        <w:jc w:val="both"/>
        <w:rPr>
          <w:rFonts w:ascii="Arial" w:hAnsi="Arial" w:cs="Arial"/>
          <w:sz w:val="22"/>
          <w:szCs w:val="22"/>
        </w:rPr>
      </w:pPr>
    </w:p>
    <w:p w:rsidR="00B85629" w:rsidRDefault="00274CA3" w:rsidP="00274CA3">
      <w:pPr>
        <w:pStyle w:val="Tekstfusnote"/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OPIS SCENARIJA RIZIKA</w:t>
      </w:r>
    </w:p>
    <w:p w:rsidR="005C7E06" w:rsidRDefault="005C7E06" w:rsidP="00B85629">
      <w:pPr>
        <w:pStyle w:val="Tekstfusnote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5C7E06" w:rsidRDefault="005C7E06" w:rsidP="00B85629">
      <w:pPr>
        <w:pStyle w:val="Tekstfusno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Počin</w:t>
      </w:r>
      <w:r w:rsidR="005D40A4">
        <w:rPr>
          <w:rFonts w:ascii="Arial" w:hAnsi="Arial" w:cs="Arial"/>
          <w:sz w:val="22"/>
          <w:szCs w:val="22"/>
        </w:rPr>
        <w:t>itelji peru imovinsku korist ostvarenu</w:t>
      </w:r>
      <w:r>
        <w:rPr>
          <w:rFonts w:ascii="Arial" w:hAnsi="Arial" w:cs="Arial"/>
          <w:sz w:val="22"/>
          <w:szCs w:val="22"/>
        </w:rPr>
        <w:t xml:space="preserve"> kaznenim djelom u zemlji ulaganje</w:t>
      </w:r>
      <w:r w:rsidR="005D467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u sektor nekretnina. Počinitelji kupuju imovinu ispod tržiš</w:t>
      </w:r>
      <w:r w:rsidR="005D4672">
        <w:rPr>
          <w:rFonts w:ascii="Arial" w:hAnsi="Arial" w:cs="Arial"/>
          <w:sz w:val="22"/>
          <w:szCs w:val="22"/>
        </w:rPr>
        <w:t xml:space="preserve">ne cijene </w:t>
      </w:r>
      <w:r w:rsidR="002C0E8E">
        <w:rPr>
          <w:rFonts w:ascii="Arial" w:hAnsi="Arial" w:cs="Arial"/>
          <w:sz w:val="22"/>
          <w:szCs w:val="22"/>
        </w:rPr>
        <w:t>plaćajući razliku prodavatelju ispod stola u gotovini. Podcijenjena ili precijenjena vrijednost</w:t>
      </w:r>
      <w:r w:rsidR="005D4672">
        <w:rPr>
          <w:rFonts w:ascii="Arial" w:hAnsi="Arial" w:cs="Arial"/>
          <w:sz w:val="22"/>
          <w:szCs w:val="22"/>
        </w:rPr>
        <w:t xml:space="preserve"> imovine</w:t>
      </w:r>
      <w:r w:rsidR="002C0E8E">
        <w:rPr>
          <w:rFonts w:ascii="Arial" w:hAnsi="Arial" w:cs="Arial"/>
          <w:sz w:val="22"/>
          <w:szCs w:val="22"/>
        </w:rPr>
        <w:t>: paralelni zajam u dvije valute ko</w:t>
      </w:r>
      <w:r w:rsidR="005D4672">
        <w:rPr>
          <w:rFonts w:ascii="Arial" w:hAnsi="Arial" w:cs="Arial"/>
          <w:sz w:val="22"/>
          <w:szCs w:val="22"/>
        </w:rPr>
        <w:t>ji može uključivati financijske institucije</w:t>
      </w:r>
      <w:r w:rsidR="002C0E8E">
        <w:rPr>
          <w:rFonts w:ascii="Arial" w:hAnsi="Arial" w:cs="Arial"/>
          <w:sz w:val="22"/>
          <w:szCs w:val="22"/>
        </w:rPr>
        <w:t xml:space="preserve"> i</w:t>
      </w:r>
      <w:r w:rsidR="005D4672">
        <w:rPr>
          <w:rFonts w:ascii="Arial" w:hAnsi="Arial" w:cs="Arial"/>
          <w:sz w:val="22"/>
          <w:szCs w:val="22"/>
        </w:rPr>
        <w:t>li</w:t>
      </w:r>
      <w:r w:rsidR="002C0E8E">
        <w:rPr>
          <w:rFonts w:ascii="Arial" w:hAnsi="Arial" w:cs="Arial"/>
          <w:sz w:val="22"/>
          <w:szCs w:val="22"/>
        </w:rPr>
        <w:t xml:space="preserve"> </w:t>
      </w:r>
      <w:r w:rsidR="005D4672">
        <w:rPr>
          <w:rFonts w:ascii="Arial" w:hAnsi="Arial" w:cs="Arial"/>
          <w:sz w:val="22"/>
          <w:szCs w:val="22"/>
        </w:rPr>
        <w:t>hipotekarne sheme</w:t>
      </w:r>
      <w:r w:rsidR="002C0E8E">
        <w:rPr>
          <w:rFonts w:ascii="Arial" w:hAnsi="Arial" w:cs="Arial"/>
          <w:sz w:val="22"/>
          <w:szCs w:val="22"/>
        </w:rPr>
        <w:t xml:space="preserve">. </w:t>
      </w:r>
    </w:p>
    <w:p w:rsidR="005D4672" w:rsidRDefault="005D4672" w:rsidP="00B85629">
      <w:pPr>
        <w:pStyle w:val="Tekstfusnote"/>
        <w:jc w:val="both"/>
        <w:rPr>
          <w:rFonts w:ascii="Arial" w:hAnsi="Arial" w:cs="Arial"/>
          <w:sz w:val="22"/>
          <w:szCs w:val="22"/>
        </w:rPr>
      </w:pPr>
    </w:p>
    <w:p w:rsidR="002C0E8E" w:rsidRPr="005C7E06" w:rsidRDefault="002C0E8E" w:rsidP="00B85629">
      <w:pPr>
        <w:pStyle w:val="Tekstfusno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Počinitelji mogu ulagati, kao nerezidenti, u </w:t>
      </w:r>
      <w:r w:rsidR="00DD18D0">
        <w:rPr>
          <w:rFonts w:ascii="Arial" w:hAnsi="Arial" w:cs="Arial"/>
          <w:sz w:val="22"/>
          <w:szCs w:val="22"/>
        </w:rPr>
        <w:t xml:space="preserve">nekoj </w:t>
      </w:r>
      <w:r>
        <w:rPr>
          <w:rFonts w:ascii="Arial" w:hAnsi="Arial" w:cs="Arial"/>
          <w:sz w:val="22"/>
          <w:szCs w:val="22"/>
        </w:rPr>
        <w:t>zemlj</w:t>
      </w:r>
      <w:r w:rsidR="00DD18D0">
        <w:rPr>
          <w:rFonts w:ascii="Arial" w:hAnsi="Arial" w:cs="Arial"/>
          <w:sz w:val="22"/>
          <w:szCs w:val="22"/>
        </w:rPr>
        <w:t>i (kroz vizne su</w:t>
      </w:r>
      <w:r>
        <w:rPr>
          <w:rFonts w:ascii="Arial" w:hAnsi="Arial" w:cs="Arial"/>
          <w:sz w:val="22"/>
          <w:szCs w:val="22"/>
        </w:rPr>
        <w:t>st</w:t>
      </w:r>
      <w:r w:rsidR="00DD18D0">
        <w:rPr>
          <w:rFonts w:ascii="Arial" w:hAnsi="Arial" w:cs="Arial"/>
          <w:sz w:val="22"/>
          <w:szCs w:val="22"/>
        </w:rPr>
        <w:t>av</w:t>
      </w:r>
      <w:r>
        <w:rPr>
          <w:rFonts w:ascii="Arial" w:hAnsi="Arial" w:cs="Arial"/>
          <w:sz w:val="22"/>
          <w:szCs w:val="22"/>
        </w:rPr>
        <w:t>e) i razviti</w:t>
      </w:r>
      <w:r w:rsidR="00DD18D0">
        <w:rPr>
          <w:rFonts w:ascii="Arial" w:hAnsi="Arial" w:cs="Arial"/>
          <w:sz w:val="22"/>
          <w:szCs w:val="22"/>
        </w:rPr>
        <w:t xml:space="preserve"> mrežu za  PN/FT </w:t>
      </w:r>
      <w:r>
        <w:rPr>
          <w:rFonts w:ascii="Arial" w:hAnsi="Arial" w:cs="Arial"/>
          <w:sz w:val="22"/>
          <w:szCs w:val="22"/>
        </w:rPr>
        <w:t xml:space="preserve">(uključujući preko </w:t>
      </w:r>
      <w:r w:rsidR="00DD18D0">
        <w:rPr>
          <w:rFonts w:ascii="Arial" w:hAnsi="Arial" w:cs="Arial"/>
          <w:sz w:val="22"/>
          <w:szCs w:val="22"/>
        </w:rPr>
        <w:t>pravnih stručnjaka kao supočinitelja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B26F29" w:rsidRDefault="00B26F29" w:rsidP="00274CA3">
      <w:pPr>
        <w:pStyle w:val="Tekstfusnote"/>
        <w:jc w:val="both"/>
        <w:rPr>
          <w:rFonts w:ascii="Arial" w:hAnsi="Arial" w:cs="Arial"/>
          <w:color w:val="222222"/>
          <w:sz w:val="22"/>
        </w:rPr>
      </w:pPr>
    </w:p>
    <w:p w:rsidR="00B26F29" w:rsidRDefault="00274CA3" w:rsidP="00274CA3">
      <w:pPr>
        <w:pStyle w:val="Tekstfusnote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>PRIJETNJA</w:t>
      </w:r>
    </w:p>
    <w:p w:rsidR="00B26F29" w:rsidRDefault="00B26F29" w:rsidP="00274CA3">
      <w:pPr>
        <w:pStyle w:val="Tekstfusnote"/>
        <w:jc w:val="both"/>
        <w:rPr>
          <w:rFonts w:ascii="Arial" w:hAnsi="Arial" w:cs="Arial"/>
          <w:b/>
          <w:color w:val="0000FF"/>
          <w:sz w:val="22"/>
        </w:rPr>
      </w:pPr>
    </w:p>
    <w:p w:rsidR="00B26F29" w:rsidRDefault="00B26F29" w:rsidP="00274CA3">
      <w:pPr>
        <w:spacing w:after="0" w:line="240" w:lineRule="auto"/>
        <w:jc w:val="both"/>
        <w:rPr>
          <w:rFonts w:ascii="Arial" w:hAnsi="Arial" w:cs="Arial"/>
          <w:b/>
        </w:rPr>
      </w:pPr>
      <w:r w:rsidRPr="00BE5645">
        <w:rPr>
          <w:rFonts w:ascii="Arial" w:hAnsi="Arial" w:cs="Arial"/>
          <w:b/>
          <w:u w:val="single" w:color="000000"/>
        </w:rPr>
        <w:t>Financiranje terorizma</w:t>
      </w:r>
      <w:r w:rsidRPr="00BE5645">
        <w:rPr>
          <w:rFonts w:ascii="Arial" w:hAnsi="Arial" w:cs="Arial"/>
          <w:b/>
        </w:rPr>
        <w:t xml:space="preserve"> </w:t>
      </w:r>
    </w:p>
    <w:p w:rsidR="00F57D71" w:rsidRDefault="00F57D71" w:rsidP="00274CA3">
      <w:pPr>
        <w:spacing w:after="0" w:line="240" w:lineRule="auto"/>
        <w:jc w:val="both"/>
        <w:rPr>
          <w:rFonts w:ascii="Arial" w:hAnsi="Arial" w:cs="Arial"/>
        </w:rPr>
      </w:pPr>
    </w:p>
    <w:p w:rsidR="00F03C06" w:rsidRDefault="00F03C06" w:rsidP="00274C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Procjena prijetnje od FT vezana uz ulaganje u nekretnine razmatrana je zajedno sa shemama PN u kojima se ulaganje u nekretnine koristi kako bi s</w:t>
      </w:r>
      <w:r w:rsidR="00CE449F">
        <w:rPr>
          <w:rFonts w:ascii="Arial" w:hAnsi="Arial" w:cs="Arial"/>
        </w:rPr>
        <w:t xml:space="preserve">e prikrilo </w:t>
      </w:r>
      <w:r>
        <w:rPr>
          <w:rFonts w:ascii="Arial" w:hAnsi="Arial" w:cs="Arial"/>
        </w:rPr>
        <w:t xml:space="preserve">nezakonito podrijetlo sredstava. U tom kontekstu, zasebna procjena ne bi bila od koristi za određivanje FT prijetnje. </w:t>
      </w:r>
    </w:p>
    <w:p w:rsidR="00F03C06" w:rsidRPr="00BE5645" w:rsidRDefault="00F03C06" w:rsidP="00274CA3">
      <w:pPr>
        <w:spacing w:after="0" w:line="240" w:lineRule="auto"/>
        <w:jc w:val="both"/>
        <w:rPr>
          <w:rFonts w:ascii="Arial" w:hAnsi="Arial" w:cs="Arial"/>
        </w:rPr>
      </w:pPr>
    </w:p>
    <w:p w:rsidR="00B26F29" w:rsidRDefault="00B26F29" w:rsidP="00274CA3">
      <w:pPr>
        <w:pStyle w:val="Tekstfusnote"/>
        <w:jc w:val="both"/>
        <w:rPr>
          <w:rFonts w:ascii="Arial" w:hAnsi="Arial" w:cs="Arial"/>
          <w:b/>
          <w:sz w:val="22"/>
        </w:rPr>
      </w:pPr>
      <w:r w:rsidRPr="00690142">
        <w:rPr>
          <w:rFonts w:ascii="Arial" w:hAnsi="Arial" w:cs="Arial"/>
          <w:b/>
          <w:sz w:val="22"/>
          <w:u w:val="single" w:color="000000"/>
        </w:rPr>
        <w:t>Zaključak</w:t>
      </w:r>
      <w:r w:rsidRPr="00431E24">
        <w:rPr>
          <w:rFonts w:ascii="Arial" w:hAnsi="Arial" w:cs="Arial"/>
          <w:b/>
          <w:sz w:val="22"/>
        </w:rPr>
        <w:t xml:space="preserve">: </w:t>
      </w:r>
      <w:r w:rsidR="00CE449F">
        <w:rPr>
          <w:rFonts w:ascii="Arial" w:hAnsi="Arial" w:cs="Arial"/>
          <w:b/>
          <w:sz w:val="22"/>
        </w:rPr>
        <w:t xml:space="preserve">u tom kontekstu, razina </w:t>
      </w:r>
      <w:r>
        <w:rPr>
          <w:rFonts w:ascii="Arial" w:hAnsi="Arial" w:cs="Arial"/>
          <w:b/>
          <w:sz w:val="22"/>
        </w:rPr>
        <w:t>FT</w:t>
      </w:r>
      <w:r w:rsidRPr="0069014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prijetnje </w:t>
      </w:r>
      <w:r w:rsidRPr="00690142">
        <w:rPr>
          <w:rFonts w:ascii="Arial" w:hAnsi="Arial" w:cs="Arial"/>
          <w:b/>
          <w:sz w:val="22"/>
        </w:rPr>
        <w:t>povezan</w:t>
      </w:r>
      <w:r w:rsidR="00F03C06">
        <w:rPr>
          <w:rFonts w:ascii="Arial" w:hAnsi="Arial" w:cs="Arial"/>
          <w:b/>
          <w:sz w:val="22"/>
        </w:rPr>
        <w:t xml:space="preserve">e s ulaganjem u nekretnine </w:t>
      </w:r>
      <w:r w:rsidRPr="00690142">
        <w:rPr>
          <w:rFonts w:ascii="Arial" w:hAnsi="Arial" w:cs="Arial"/>
          <w:b/>
          <w:sz w:val="22"/>
        </w:rPr>
        <w:t xml:space="preserve">smatra se </w:t>
      </w:r>
      <w:r w:rsidR="00F358A1">
        <w:rPr>
          <w:rFonts w:ascii="Arial" w:hAnsi="Arial" w:cs="Arial"/>
          <w:b/>
          <w:sz w:val="22"/>
          <w:u w:val="single"/>
        </w:rPr>
        <w:t>vrlo</w:t>
      </w:r>
      <w:r w:rsidRPr="00690142">
        <w:rPr>
          <w:rFonts w:ascii="Arial" w:hAnsi="Arial" w:cs="Arial"/>
          <w:b/>
          <w:sz w:val="22"/>
          <w:u w:val="single"/>
        </w:rPr>
        <w:t xml:space="preserve"> značajnom</w:t>
      </w:r>
      <w:r w:rsidRPr="00690142">
        <w:rPr>
          <w:rFonts w:ascii="Arial" w:hAnsi="Arial" w:cs="Arial"/>
          <w:b/>
          <w:sz w:val="22"/>
        </w:rPr>
        <w:t xml:space="preserve"> (razina 4)</w:t>
      </w:r>
      <w:r>
        <w:rPr>
          <w:rFonts w:ascii="Arial" w:hAnsi="Arial" w:cs="Arial"/>
          <w:b/>
          <w:sz w:val="22"/>
        </w:rPr>
        <w:t>.</w:t>
      </w:r>
    </w:p>
    <w:p w:rsidR="00B26F29" w:rsidRDefault="00B26F29" w:rsidP="00274CA3">
      <w:pPr>
        <w:pStyle w:val="Tekstfusnote"/>
        <w:jc w:val="both"/>
        <w:rPr>
          <w:rFonts w:ascii="Arial" w:hAnsi="Arial" w:cs="Arial"/>
          <w:b/>
          <w:sz w:val="22"/>
        </w:rPr>
      </w:pPr>
    </w:p>
    <w:p w:rsidR="00A16187" w:rsidRDefault="00A16187" w:rsidP="00274CA3">
      <w:pPr>
        <w:spacing w:after="0" w:line="240" w:lineRule="auto"/>
        <w:rPr>
          <w:rFonts w:ascii="Arial" w:hAnsi="Arial" w:cs="Arial"/>
          <w:b/>
        </w:rPr>
      </w:pPr>
      <w:r w:rsidRPr="0004659F">
        <w:rPr>
          <w:rFonts w:ascii="Arial" w:hAnsi="Arial" w:cs="Arial"/>
          <w:b/>
          <w:u w:val="single" w:color="000000"/>
        </w:rPr>
        <w:t>Pranje novca</w:t>
      </w:r>
      <w:r w:rsidRPr="0004659F">
        <w:rPr>
          <w:rFonts w:ascii="Arial" w:hAnsi="Arial" w:cs="Arial"/>
          <w:b/>
        </w:rPr>
        <w:t xml:space="preserve"> </w:t>
      </w:r>
    </w:p>
    <w:p w:rsidR="00CE449F" w:rsidRDefault="00CE449F" w:rsidP="00274CA3">
      <w:pPr>
        <w:spacing w:after="0" w:line="240" w:lineRule="auto"/>
        <w:rPr>
          <w:rFonts w:ascii="Arial" w:hAnsi="Arial" w:cs="Arial"/>
          <w:b/>
        </w:rPr>
      </w:pPr>
    </w:p>
    <w:p w:rsidR="000F0265" w:rsidRDefault="00167491" w:rsidP="001674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Procjena prijetnje od PN koja se odnosi na ulaganja</w:t>
      </w:r>
      <w:r w:rsidR="008F7319">
        <w:rPr>
          <w:rFonts w:ascii="Arial" w:hAnsi="Arial" w:cs="Arial"/>
        </w:rPr>
        <w:t xml:space="preserve"> u nekretnine</w:t>
      </w:r>
      <w:r>
        <w:rPr>
          <w:rFonts w:ascii="Arial" w:hAnsi="Arial" w:cs="Arial"/>
        </w:rPr>
        <w:t xml:space="preserve"> ukazala je na stalno korištenje sektora nekretnina za pranje imovinske koristi od kaznenog djela od strane organiziranih kriminalnih organizacija. </w:t>
      </w:r>
      <w:r w:rsidR="000F0265">
        <w:rPr>
          <w:rFonts w:ascii="Arial" w:hAnsi="Arial" w:cs="Arial"/>
        </w:rPr>
        <w:t xml:space="preserve">Sektor nekretnina se najčešće koristi u kombinaciji s drugim sektorima, </w:t>
      </w:r>
      <w:r w:rsidR="0016222D">
        <w:rPr>
          <w:rFonts w:ascii="Arial" w:hAnsi="Arial" w:cs="Arial"/>
        </w:rPr>
        <w:t xml:space="preserve">kao što su </w:t>
      </w:r>
      <w:r w:rsidR="000F0265">
        <w:rPr>
          <w:rFonts w:ascii="Arial" w:hAnsi="Arial" w:cs="Arial"/>
        </w:rPr>
        <w:t>pr</w:t>
      </w:r>
      <w:r w:rsidR="0016222D">
        <w:rPr>
          <w:rFonts w:ascii="Arial" w:hAnsi="Arial" w:cs="Arial"/>
        </w:rPr>
        <w:t xml:space="preserve">užatelji </w:t>
      </w:r>
      <w:r w:rsidR="000F0265">
        <w:rPr>
          <w:rFonts w:ascii="Arial" w:hAnsi="Arial" w:cs="Arial"/>
        </w:rPr>
        <w:t>usluga trusta il</w:t>
      </w:r>
      <w:r w:rsidR="0016222D">
        <w:rPr>
          <w:rFonts w:ascii="Arial" w:hAnsi="Arial" w:cs="Arial"/>
        </w:rPr>
        <w:t>i trgovačkog društva ili pravni</w:t>
      </w:r>
      <w:r w:rsidR="000F0265">
        <w:rPr>
          <w:rFonts w:ascii="Arial" w:hAnsi="Arial" w:cs="Arial"/>
        </w:rPr>
        <w:t xml:space="preserve"> sav</w:t>
      </w:r>
      <w:r w:rsidR="0016222D">
        <w:rPr>
          <w:rFonts w:ascii="Arial" w:hAnsi="Arial" w:cs="Arial"/>
        </w:rPr>
        <w:t>jetnici</w:t>
      </w:r>
      <w:r w:rsidR="000F0265">
        <w:rPr>
          <w:rFonts w:ascii="Arial" w:hAnsi="Arial" w:cs="Arial"/>
        </w:rPr>
        <w:t xml:space="preserve">, ali je i sam za sebe izložen prijetnji. </w:t>
      </w:r>
      <w:r w:rsidR="0016222D">
        <w:rPr>
          <w:rFonts w:ascii="Arial" w:hAnsi="Arial" w:cs="Arial"/>
        </w:rPr>
        <w:t>Oslanjanje na nekretnine ne zahtjeva posebne vještine</w:t>
      </w:r>
      <w:r w:rsidR="000F0265">
        <w:rPr>
          <w:rFonts w:ascii="Arial" w:hAnsi="Arial" w:cs="Arial"/>
        </w:rPr>
        <w:t xml:space="preserve"> ili znanje i može biti prili</w:t>
      </w:r>
      <w:r w:rsidR="0016222D">
        <w:rPr>
          <w:rFonts w:ascii="Arial" w:hAnsi="Arial" w:cs="Arial"/>
        </w:rPr>
        <w:t>čno financijski privlačno ovisno o pruženim uslugama.</w:t>
      </w:r>
    </w:p>
    <w:p w:rsidR="00263FB3" w:rsidRPr="00167491" w:rsidRDefault="00263FB3" w:rsidP="00167491">
      <w:pPr>
        <w:spacing w:after="0" w:line="240" w:lineRule="auto"/>
        <w:jc w:val="both"/>
        <w:rPr>
          <w:rFonts w:ascii="Arial" w:hAnsi="Arial" w:cs="Arial"/>
        </w:rPr>
      </w:pPr>
    </w:p>
    <w:p w:rsidR="00DB4E79" w:rsidRDefault="00DB4E79" w:rsidP="00A4349B">
      <w:pPr>
        <w:spacing w:after="0" w:line="240" w:lineRule="auto"/>
        <w:jc w:val="both"/>
        <w:rPr>
          <w:rFonts w:ascii="Arial" w:hAnsi="Arial" w:cs="Arial"/>
          <w:b/>
        </w:rPr>
      </w:pPr>
      <w:r w:rsidRPr="00562865">
        <w:rPr>
          <w:rFonts w:ascii="Arial" w:hAnsi="Arial" w:cs="Arial"/>
          <w:b/>
          <w:u w:val="single" w:color="000000"/>
        </w:rPr>
        <w:t>Zaključci</w:t>
      </w:r>
      <w:r w:rsidRPr="00562865">
        <w:rPr>
          <w:rFonts w:ascii="Arial" w:hAnsi="Arial" w:cs="Arial"/>
          <w:b/>
        </w:rPr>
        <w:t xml:space="preserve">: prema </w:t>
      </w:r>
      <w:r w:rsidR="0016222D">
        <w:rPr>
          <w:rFonts w:ascii="Arial" w:hAnsi="Arial" w:cs="Arial"/>
          <w:b/>
        </w:rPr>
        <w:t xml:space="preserve">čvrstim dokazima prikupljenim od </w:t>
      </w:r>
      <w:r w:rsidRPr="00562865">
        <w:rPr>
          <w:rFonts w:ascii="Arial" w:hAnsi="Arial" w:cs="Arial"/>
          <w:b/>
        </w:rPr>
        <w:t xml:space="preserve">tijela za provedbu zakona, </w:t>
      </w:r>
      <w:r w:rsidR="00D424E6">
        <w:rPr>
          <w:rFonts w:ascii="Arial" w:hAnsi="Arial" w:cs="Arial"/>
          <w:b/>
        </w:rPr>
        <w:t>sektor nekretnina se redovito koristi</w:t>
      </w:r>
      <w:r w:rsidR="0016222D">
        <w:rPr>
          <w:rFonts w:ascii="Arial" w:hAnsi="Arial" w:cs="Arial"/>
          <w:b/>
        </w:rPr>
        <w:t xml:space="preserve"> u shem</w:t>
      </w:r>
      <w:r w:rsidR="00143BBA">
        <w:rPr>
          <w:rFonts w:ascii="Arial" w:hAnsi="Arial" w:cs="Arial"/>
          <w:b/>
        </w:rPr>
        <w:t>ama pranja novca, a</w:t>
      </w:r>
      <w:r w:rsidR="00D424E6">
        <w:rPr>
          <w:rFonts w:ascii="Arial" w:hAnsi="Arial" w:cs="Arial"/>
          <w:b/>
        </w:rPr>
        <w:t xml:space="preserve"> zbog činjenice da se njegove</w:t>
      </w:r>
      <w:r w:rsidR="0016222D">
        <w:rPr>
          <w:rFonts w:ascii="Arial" w:hAnsi="Arial" w:cs="Arial"/>
          <w:b/>
        </w:rPr>
        <w:t xml:space="preserve"> usluge mogu kombinirati s onima koje pružaju </w:t>
      </w:r>
      <w:bookmarkStart w:id="0" w:name="_GoBack"/>
      <w:bookmarkEnd w:id="0"/>
      <w:r w:rsidR="0016222D">
        <w:rPr>
          <w:rFonts w:ascii="Arial" w:hAnsi="Arial" w:cs="Arial"/>
          <w:b/>
        </w:rPr>
        <w:t xml:space="preserve">nefinancijski stručnjaci, razina </w:t>
      </w:r>
      <w:r w:rsidRPr="00562865">
        <w:rPr>
          <w:rFonts w:ascii="Arial" w:hAnsi="Arial" w:cs="Arial"/>
          <w:b/>
        </w:rPr>
        <w:t>prijetnje od pranja novca po</w:t>
      </w:r>
      <w:r w:rsidR="00B71FDB">
        <w:rPr>
          <w:rFonts w:ascii="Arial" w:hAnsi="Arial" w:cs="Arial"/>
          <w:b/>
        </w:rPr>
        <w:t>vezana s nekretninama</w:t>
      </w:r>
      <w:r>
        <w:rPr>
          <w:rFonts w:ascii="Arial" w:hAnsi="Arial" w:cs="Arial"/>
          <w:b/>
        </w:rPr>
        <w:t xml:space="preserve"> </w:t>
      </w:r>
      <w:r w:rsidRPr="00562865">
        <w:rPr>
          <w:rFonts w:ascii="Arial" w:hAnsi="Arial" w:cs="Arial"/>
          <w:b/>
        </w:rPr>
        <w:t xml:space="preserve">smatra se </w:t>
      </w:r>
      <w:r w:rsidR="00F358A1">
        <w:rPr>
          <w:rFonts w:ascii="Arial" w:hAnsi="Arial" w:cs="Arial"/>
          <w:b/>
          <w:u w:val="single"/>
        </w:rPr>
        <w:t xml:space="preserve">vrlo </w:t>
      </w:r>
      <w:r w:rsidRPr="00562865">
        <w:rPr>
          <w:rFonts w:ascii="Arial" w:hAnsi="Arial" w:cs="Arial"/>
          <w:b/>
          <w:u w:val="single"/>
        </w:rPr>
        <w:t>značajnom</w:t>
      </w:r>
      <w:r w:rsidRPr="00562865">
        <w:rPr>
          <w:rFonts w:ascii="Arial" w:hAnsi="Arial" w:cs="Arial"/>
          <w:b/>
        </w:rPr>
        <w:t xml:space="preserve"> (razina 4). </w:t>
      </w:r>
    </w:p>
    <w:p w:rsidR="00D424E6" w:rsidRPr="00562865" w:rsidRDefault="00D424E6" w:rsidP="00DB4E79">
      <w:pPr>
        <w:spacing w:after="0" w:line="240" w:lineRule="auto"/>
        <w:ind w:right="110"/>
        <w:jc w:val="both"/>
        <w:rPr>
          <w:rFonts w:ascii="Arial" w:hAnsi="Arial" w:cs="Arial"/>
          <w:b/>
        </w:rPr>
      </w:pPr>
    </w:p>
    <w:p w:rsidR="00DB4E79" w:rsidRDefault="00274CA3" w:rsidP="00D424E6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RANJIVOST</w:t>
      </w:r>
    </w:p>
    <w:p w:rsidR="00DB4E79" w:rsidRDefault="00DB4E79" w:rsidP="00DB4E79">
      <w:pPr>
        <w:pStyle w:val="Tekstfusnote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DB4E79" w:rsidRDefault="00DB4E79" w:rsidP="00DB4E79">
      <w:pPr>
        <w:spacing w:after="0" w:line="240" w:lineRule="auto"/>
        <w:jc w:val="both"/>
        <w:rPr>
          <w:rFonts w:ascii="Arial" w:hAnsi="Arial" w:cs="Arial"/>
          <w:b/>
        </w:rPr>
      </w:pPr>
      <w:r w:rsidRPr="00A4067D">
        <w:rPr>
          <w:rFonts w:ascii="Arial" w:hAnsi="Arial" w:cs="Arial"/>
          <w:b/>
          <w:u w:val="single" w:color="000000"/>
        </w:rPr>
        <w:t>Financiranje terorizma</w:t>
      </w:r>
      <w:r w:rsidRPr="00A4067D">
        <w:rPr>
          <w:rFonts w:ascii="Arial" w:hAnsi="Arial" w:cs="Arial"/>
          <w:b/>
        </w:rPr>
        <w:t xml:space="preserve"> </w:t>
      </w:r>
    </w:p>
    <w:p w:rsidR="00263FB3" w:rsidRPr="00A4067D" w:rsidRDefault="00263FB3" w:rsidP="00DB4E79">
      <w:pPr>
        <w:spacing w:after="0" w:line="240" w:lineRule="auto"/>
        <w:jc w:val="both"/>
        <w:rPr>
          <w:rFonts w:ascii="Arial" w:hAnsi="Arial" w:cs="Arial"/>
        </w:rPr>
      </w:pPr>
    </w:p>
    <w:p w:rsidR="00DB4E79" w:rsidRDefault="00DB4E79" w:rsidP="00DB4E79">
      <w:pPr>
        <w:spacing w:after="0" w:line="240" w:lineRule="auto"/>
        <w:jc w:val="both"/>
        <w:rPr>
          <w:rFonts w:ascii="Arial" w:hAnsi="Arial" w:cs="Arial"/>
        </w:rPr>
      </w:pPr>
      <w:r w:rsidRPr="00A4067D">
        <w:rPr>
          <w:rFonts w:ascii="Arial" w:hAnsi="Arial" w:cs="Arial"/>
        </w:rPr>
        <w:lastRenderedPageBreak/>
        <w:t xml:space="preserve">Procjena ranjivosti prema FT koja se odnosi na </w:t>
      </w:r>
      <w:r w:rsidR="006D2448">
        <w:rPr>
          <w:rFonts w:ascii="Arial" w:hAnsi="Arial" w:cs="Arial"/>
        </w:rPr>
        <w:t xml:space="preserve">ulaganje u nekretnine </w:t>
      </w:r>
      <w:r w:rsidRPr="00A4067D">
        <w:rPr>
          <w:rFonts w:ascii="Arial" w:hAnsi="Arial" w:cs="Arial"/>
        </w:rPr>
        <w:t xml:space="preserve">razmatrana je zajedno sa </w:t>
      </w:r>
      <w:r w:rsidR="006D2448">
        <w:rPr>
          <w:rFonts w:ascii="Arial" w:hAnsi="Arial" w:cs="Arial"/>
        </w:rPr>
        <w:t>shemama PN u kojima su korištena ulaganja u nekretnine kako bi se prikrilo</w:t>
      </w:r>
      <w:r w:rsidRPr="00A4067D">
        <w:rPr>
          <w:rFonts w:ascii="Arial" w:hAnsi="Arial" w:cs="Arial"/>
        </w:rPr>
        <w:t xml:space="preserve"> nezakonito podrijetlo sredstava. U tom kontekstu, zasebna procjena prijetnje od FT ne bi bila od koristi.</w:t>
      </w:r>
    </w:p>
    <w:p w:rsidR="00DB4E79" w:rsidRPr="000C5BDE" w:rsidRDefault="00DB4E79" w:rsidP="00DB4E79">
      <w:pPr>
        <w:spacing w:after="0" w:line="240" w:lineRule="auto"/>
        <w:jc w:val="both"/>
        <w:rPr>
          <w:rFonts w:ascii="Arial" w:hAnsi="Arial" w:cs="Arial"/>
        </w:rPr>
      </w:pPr>
    </w:p>
    <w:p w:rsidR="00DB4E79" w:rsidRPr="00A4067D" w:rsidRDefault="00DB4E79" w:rsidP="00DB4E79">
      <w:pPr>
        <w:spacing w:after="0" w:line="240" w:lineRule="auto"/>
        <w:jc w:val="both"/>
        <w:rPr>
          <w:rFonts w:ascii="Arial" w:hAnsi="Arial" w:cs="Arial"/>
        </w:rPr>
      </w:pPr>
      <w:r w:rsidRPr="00A4067D">
        <w:rPr>
          <w:rFonts w:ascii="Arial" w:hAnsi="Arial" w:cs="Arial"/>
          <w:b/>
          <w:u w:val="single" w:color="000000"/>
        </w:rPr>
        <w:t>Zaključak</w:t>
      </w:r>
      <w:r w:rsidRPr="00A4067D">
        <w:rPr>
          <w:rFonts w:ascii="Arial" w:hAnsi="Arial" w:cs="Arial"/>
          <w:b/>
        </w:rPr>
        <w:t xml:space="preserve">: u tom kontekstu, procjena prijetnje od FT koja se odnosi na </w:t>
      </w:r>
      <w:r w:rsidR="006D2448">
        <w:rPr>
          <w:rFonts w:ascii="Arial" w:hAnsi="Arial" w:cs="Arial"/>
          <w:b/>
        </w:rPr>
        <w:t>ulaganje u nekretnine</w:t>
      </w:r>
      <w:r w:rsidRPr="00A4067D">
        <w:rPr>
          <w:rFonts w:ascii="Arial" w:hAnsi="Arial" w:cs="Arial"/>
          <w:b/>
        </w:rPr>
        <w:t xml:space="preserve"> smatra se </w:t>
      </w:r>
      <w:r w:rsidR="00F358A1">
        <w:rPr>
          <w:rFonts w:ascii="Arial" w:hAnsi="Arial" w:cs="Arial"/>
          <w:b/>
          <w:u w:val="single"/>
        </w:rPr>
        <w:t>vrlo</w:t>
      </w:r>
      <w:r w:rsidR="006D2448" w:rsidRPr="001B03E4">
        <w:rPr>
          <w:rFonts w:ascii="Arial" w:hAnsi="Arial" w:cs="Arial"/>
          <w:b/>
          <w:u w:val="single"/>
        </w:rPr>
        <w:t xml:space="preserve"> </w:t>
      </w:r>
      <w:r w:rsidRPr="001B03E4">
        <w:rPr>
          <w:rFonts w:ascii="Arial" w:hAnsi="Arial" w:cs="Arial"/>
          <w:b/>
          <w:u w:val="single"/>
        </w:rPr>
        <w:t>značajnom</w:t>
      </w:r>
      <w:r w:rsidRPr="00A4067D">
        <w:rPr>
          <w:rFonts w:ascii="Arial" w:hAnsi="Arial" w:cs="Arial"/>
          <w:b/>
        </w:rPr>
        <w:t xml:space="preserve"> (razina </w:t>
      </w:r>
      <w:r w:rsidR="006D2448">
        <w:rPr>
          <w:rFonts w:ascii="Arial" w:hAnsi="Arial" w:cs="Arial"/>
          <w:b/>
        </w:rPr>
        <w:t>4</w:t>
      </w:r>
      <w:r w:rsidRPr="00A4067D">
        <w:rPr>
          <w:rFonts w:ascii="Arial" w:hAnsi="Arial" w:cs="Arial"/>
          <w:b/>
        </w:rPr>
        <w:t>).</w:t>
      </w:r>
    </w:p>
    <w:p w:rsidR="00DB4E79" w:rsidRDefault="00DB4E79" w:rsidP="00DB4E79">
      <w:pPr>
        <w:pStyle w:val="Tekstfusnote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263FB3" w:rsidRPr="005905DF" w:rsidRDefault="00263FB3" w:rsidP="00263FB3">
      <w:pPr>
        <w:spacing w:after="0" w:line="240" w:lineRule="auto"/>
        <w:rPr>
          <w:rFonts w:ascii="Arial" w:hAnsi="Arial" w:cs="Arial"/>
        </w:rPr>
      </w:pPr>
      <w:r w:rsidRPr="005905DF">
        <w:rPr>
          <w:rFonts w:ascii="Arial" w:hAnsi="Arial" w:cs="Arial"/>
          <w:b/>
          <w:u w:val="single" w:color="000000"/>
        </w:rPr>
        <w:t>Pranje novca</w:t>
      </w:r>
      <w:r w:rsidRPr="005905DF">
        <w:rPr>
          <w:rFonts w:ascii="Arial" w:hAnsi="Arial" w:cs="Arial"/>
          <w:b/>
        </w:rPr>
        <w:t xml:space="preserve"> </w:t>
      </w:r>
    </w:p>
    <w:p w:rsidR="00263FB3" w:rsidRPr="005905DF" w:rsidRDefault="00263FB3" w:rsidP="00263FB3">
      <w:pPr>
        <w:spacing w:after="0" w:line="240" w:lineRule="auto"/>
        <w:jc w:val="both"/>
        <w:rPr>
          <w:rFonts w:ascii="Arial" w:hAnsi="Arial" w:cs="Arial"/>
        </w:rPr>
      </w:pPr>
      <w:r w:rsidRPr="005905DF">
        <w:rPr>
          <w:rFonts w:ascii="Arial" w:hAnsi="Arial" w:cs="Arial"/>
        </w:rPr>
        <w:t xml:space="preserve"> </w:t>
      </w:r>
    </w:p>
    <w:p w:rsidR="00263FB3" w:rsidRPr="005905DF" w:rsidRDefault="00263FB3" w:rsidP="00263FB3">
      <w:pPr>
        <w:spacing w:after="0" w:line="240" w:lineRule="auto"/>
        <w:jc w:val="both"/>
        <w:rPr>
          <w:rFonts w:ascii="Arial" w:hAnsi="Arial" w:cs="Arial"/>
        </w:rPr>
      </w:pPr>
      <w:r w:rsidRPr="005905DF">
        <w:rPr>
          <w:rFonts w:ascii="Arial" w:hAnsi="Arial" w:cs="Arial"/>
        </w:rPr>
        <w:t>Procjena ranjivosti prema</w:t>
      </w:r>
      <w:r w:rsidR="006D2448">
        <w:rPr>
          <w:rFonts w:ascii="Arial" w:hAnsi="Arial" w:cs="Arial"/>
        </w:rPr>
        <w:t xml:space="preserve"> pranju novca koja se odnosi na ulaganja u nekretnine</w:t>
      </w:r>
      <w:r w:rsidRPr="005905DF">
        <w:rPr>
          <w:rFonts w:ascii="Arial" w:hAnsi="Arial" w:cs="Arial"/>
        </w:rPr>
        <w:t xml:space="preserve"> pokazuje da: </w:t>
      </w:r>
    </w:p>
    <w:p w:rsidR="00263FB3" w:rsidRPr="005905DF" w:rsidRDefault="00263FB3" w:rsidP="00263FB3">
      <w:pPr>
        <w:spacing w:after="0" w:line="240" w:lineRule="auto"/>
        <w:jc w:val="both"/>
        <w:rPr>
          <w:rFonts w:ascii="Arial" w:hAnsi="Arial" w:cs="Arial"/>
        </w:rPr>
      </w:pPr>
      <w:r w:rsidRPr="005905DF">
        <w:rPr>
          <w:rFonts w:ascii="Arial" w:hAnsi="Arial" w:cs="Arial"/>
        </w:rPr>
        <w:t xml:space="preserve"> </w:t>
      </w:r>
    </w:p>
    <w:p w:rsidR="00263FB3" w:rsidRDefault="00263FB3" w:rsidP="00263FB3">
      <w:pPr>
        <w:numPr>
          <w:ilvl w:val="0"/>
          <w:numId w:val="7"/>
        </w:numPr>
        <w:spacing w:after="0" w:line="240" w:lineRule="auto"/>
        <w:ind w:hanging="354"/>
        <w:jc w:val="both"/>
        <w:rPr>
          <w:rFonts w:ascii="Arial" w:hAnsi="Arial" w:cs="Arial"/>
        </w:rPr>
      </w:pPr>
      <w:r w:rsidRPr="005905DF">
        <w:rPr>
          <w:rFonts w:ascii="Arial" w:hAnsi="Arial" w:cs="Arial"/>
          <w:b/>
        </w:rPr>
        <w:t>izloženost riziku</w:t>
      </w:r>
      <w:r w:rsidRPr="005905DF">
        <w:rPr>
          <w:rFonts w:ascii="Arial" w:hAnsi="Arial" w:cs="Arial"/>
        </w:rPr>
        <w:t xml:space="preserve">:  </w:t>
      </w:r>
    </w:p>
    <w:p w:rsidR="00263FB3" w:rsidRDefault="00263FB3" w:rsidP="00263FB3">
      <w:pPr>
        <w:spacing w:after="0" w:line="240" w:lineRule="auto"/>
        <w:jc w:val="both"/>
        <w:rPr>
          <w:rFonts w:ascii="Arial" w:hAnsi="Arial" w:cs="Arial"/>
        </w:rPr>
      </w:pPr>
    </w:p>
    <w:p w:rsidR="00263FB3" w:rsidRDefault="006D2448" w:rsidP="00263F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Čak i ako se radi o fenomenu u opadanju, korištenje gotovine je još uvijek moguće za financiranje transakcija s nekretninama, što povećava rizik od anonimnih transakcija. </w:t>
      </w:r>
      <w:r w:rsidR="009321B6">
        <w:rPr>
          <w:rFonts w:ascii="Arial" w:hAnsi="Arial" w:cs="Arial"/>
        </w:rPr>
        <w:t>Još važnije, izloženost riziku je povećana činjenicom da su posrednici u prometu nekretninama većinu vremena uključeni u poslovni odnos zajedno s drugim stručnjacima što otežava učinkovito praćenje poslovnog odnosa (</w:t>
      </w:r>
      <w:r w:rsidR="00785448">
        <w:rPr>
          <w:rFonts w:ascii="Arial" w:hAnsi="Arial" w:cs="Arial"/>
        </w:rPr>
        <w:t>svaki se sektor oslanja na drugi</w:t>
      </w:r>
      <w:r w:rsidR="009321B6">
        <w:rPr>
          <w:rFonts w:ascii="Arial" w:hAnsi="Arial" w:cs="Arial"/>
        </w:rPr>
        <w:t xml:space="preserve"> u obavljanju kontrole). Poslovanje nekretninama može biti</w:t>
      </w:r>
      <w:r w:rsidR="00785448">
        <w:rPr>
          <w:rFonts w:ascii="Arial" w:hAnsi="Arial" w:cs="Arial"/>
        </w:rPr>
        <w:t xml:space="preserve"> zasnovano na financijskim tokovima koji dolaze </w:t>
      </w:r>
      <w:r w:rsidR="009321B6">
        <w:rPr>
          <w:rFonts w:ascii="Arial" w:hAnsi="Arial" w:cs="Arial"/>
        </w:rPr>
        <w:t>izvan EU i visokorizičnim strankama, kao što su politički izložene osobe.</w:t>
      </w:r>
    </w:p>
    <w:p w:rsidR="009321B6" w:rsidRDefault="009321B6" w:rsidP="00263FB3">
      <w:pPr>
        <w:spacing w:after="0" w:line="240" w:lineRule="auto"/>
        <w:jc w:val="both"/>
        <w:rPr>
          <w:rFonts w:ascii="Arial" w:hAnsi="Arial" w:cs="Arial"/>
        </w:rPr>
      </w:pPr>
    </w:p>
    <w:p w:rsidR="00263FB3" w:rsidRPr="009965AF" w:rsidRDefault="00263FB3" w:rsidP="00263FB3">
      <w:pPr>
        <w:numPr>
          <w:ilvl w:val="0"/>
          <w:numId w:val="7"/>
        </w:numPr>
        <w:spacing w:after="0" w:line="240" w:lineRule="auto"/>
        <w:ind w:hanging="354"/>
        <w:jc w:val="both"/>
        <w:rPr>
          <w:rFonts w:ascii="Arial" w:hAnsi="Arial" w:cs="Arial"/>
        </w:rPr>
      </w:pPr>
      <w:r w:rsidRPr="009965AF">
        <w:rPr>
          <w:rFonts w:ascii="Arial" w:hAnsi="Arial" w:cs="Arial"/>
          <w:b/>
        </w:rPr>
        <w:t>svijest o riziku</w:t>
      </w:r>
      <w:r w:rsidRPr="009965AF">
        <w:rPr>
          <w:rFonts w:ascii="Arial" w:hAnsi="Arial" w:cs="Arial"/>
        </w:rPr>
        <w:t xml:space="preserve">: </w:t>
      </w:r>
    </w:p>
    <w:p w:rsidR="00263FB3" w:rsidRDefault="00263FB3" w:rsidP="00263FB3">
      <w:pPr>
        <w:spacing w:after="0" w:line="240" w:lineRule="auto"/>
        <w:ind w:right="109"/>
        <w:jc w:val="both"/>
        <w:rPr>
          <w:rFonts w:ascii="Arial" w:hAnsi="Arial" w:cs="Arial"/>
        </w:rPr>
      </w:pPr>
    </w:p>
    <w:p w:rsidR="00785448" w:rsidRDefault="00785448" w:rsidP="00263FB3">
      <w:pPr>
        <w:spacing w:after="0" w:line="240" w:lineRule="auto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Razina svijesti je neujednačena u cijelom sektoru i </w:t>
      </w:r>
      <w:r w:rsidR="003775FC">
        <w:rPr>
          <w:rFonts w:ascii="Arial" w:hAnsi="Arial" w:cs="Arial"/>
        </w:rPr>
        <w:t xml:space="preserve">ovisi posebno </w:t>
      </w:r>
      <w:r>
        <w:rPr>
          <w:rFonts w:ascii="Arial" w:hAnsi="Arial" w:cs="Arial"/>
        </w:rPr>
        <w:t xml:space="preserve">o veličini </w:t>
      </w:r>
      <w:r w:rsidR="003775FC">
        <w:rPr>
          <w:rFonts w:ascii="Arial" w:hAnsi="Arial" w:cs="Arial"/>
        </w:rPr>
        <w:t>strukture o kojoj je riječ</w:t>
      </w:r>
      <w:r>
        <w:rPr>
          <w:rFonts w:ascii="Arial" w:hAnsi="Arial" w:cs="Arial"/>
        </w:rPr>
        <w:t xml:space="preserve">. </w:t>
      </w:r>
      <w:r w:rsidR="003775FC">
        <w:rPr>
          <w:rFonts w:ascii="Arial" w:hAnsi="Arial" w:cs="Arial"/>
        </w:rPr>
        <w:t>Veće strukture se čine više svjesne svojih rizika od zlouporabe i smatraju da imaju  ulogu u praćenju svojih stranaka.</w:t>
      </w:r>
      <w:r w:rsidR="00DE2E86">
        <w:rPr>
          <w:rFonts w:ascii="Arial" w:hAnsi="Arial" w:cs="Arial"/>
        </w:rPr>
        <w:t xml:space="preserve"> Razvijaju alate za informiranje i obuku, kao i procjene rizika. Članovi sektora su </w:t>
      </w:r>
      <w:r w:rsidR="009E7373">
        <w:rPr>
          <w:rFonts w:ascii="Arial" w:hAnsi="Arial" w:cs="Arial"/>
        </w:rPr>
        <w:t>potpuno svjesni svojih zakonskih obveza, kao što su slučajevi</w:t>
      </w:r>
      <w:r w:rsidR="008F718C">
        <w:rPr>
          <w:rFonts w:ascii="Arial" w:hAnsi="Arial" w:cs="Arial"/>
        </w:rPr>
        <w:t xml:space="preserve"> u kojima je potrebna povećana dubinska analiza</w:t>
      </w:r>
      <w:r w:rsidR="009E7373">
        <w:rPr>
          <w:rFonts w:ascii="Arial" w:hAnsi="Arial" w:cs="Arial"/>
        </w:rPr>
        <w:t xml:space="preserve">. </w:t>
      </w:r>
      <w:r w:rsidR="00A400F6">
        <w:rPr>
          <w:rFonts w:ascii="Arial" w:hAnsi="Arial" w:cs="Arial"/>
        </w:rPr>
        <w:t>Kod malih subjekata</w:t>
      </w:r>
      <w:r w:rsidR="008F718C">
        <w:rPr>
          <w:rFonts w:ascii="Arial" w:hAnsi="Arial" w:cs="Arial"/>
        </w:rPr>
        <w:t xml:space="preserve">, </w:t>
      </w:r>
      <w:r w:rsidR="00A400F6">
        <w:rPr>
          <w:rFonts w:ascii="Arial" w:hAnsi="Arial" w:cs="Arial"/>
        </w:rPr>
        <w:t xml:space="preserve">ta je razina svijesti drastično </w:t>
      </w:r>
      <w:r w:rsidR="00400A73">
        <w:rPr>
          <w:rFonts w:ascii="Arial" w:hAnsi="Arial" w:cs="Arial"/>
        </w:rPr>
        <w:t>niža</w:t>
      </w:r>
      <w:r w:rsidR="00CE6C82">
        <w:rPr>
          <w:rFonts w:ascii="Arial" w:hAnsi="Arial" w:cs="Arial"/>
        </w:rPr>
        <w:t xml:space="preserve"> </w:t>
      </w:r>
      <w:r w:rsidR="00A400F6">
        <w:rPr>
          <w:rFonts w:ascii="Arial" w:hAnsi="Arial" w:cs="Arial"/>
        </w:rPr>
        <w:t>stoga što</w:t>
      </w:r>
      <w:r w:rsidR="008F718C">
        <w:rPr>
          <w:rFonts w:ascii="Arial" w:hAnsi="Arial" w:cs="Arial"/>
        </w:rPr>
        <w:t>: (i) nisu nužno integrirani u centralizirani</w:t>
      </w:r>
      <w:r w:rsidR="00A400F6">
        <w:rPr>
          <w:rFonts w:ascii="Arial" w:hAnsi="Arial" w:cs="Arial"/>
        </w:rPr>
        <w:t xml:space="preserve"> organizacijski okvir u kojem se mogu pružati </w:t>
      </w:r>
      <w:r w:rsidR="008F718C">
        <w:rPr>
          <w:rFonts w:ascii="Arial" w:hAnsi="Arial" w:cs="Arial"/>
        </w:rPr>
        <w:t>smjernice i obuka; (ii)</w:t>
      </w:r>
      <w:r w:rsidR="00CE6C82">
        <w:rPr>
          <w:rFonts w:ascii="Arial" w:hAnsi="Arial" w:cs="Arial"/>
        </w:rPr>
        <w:t xml:space="preserve"> sve</w:t>
      </w:r>
      <w:r w:rsidR="008F718C">
        <w:rPr>
          <w:rFonts w:ascii="Arial" w:hAnsi="Arial" w:cs="Arial"/>
        </w:rPr>
        <w:t xml:space="preserve"> </w:t>
      </w:r>
      <w:r w:rsidR="00A400F6">
        <w:rPr>
          <w:rFonts w:ascii="Arial" w:hAnsi="Arial" w:cs="Arial"/>
        </w:rPr>
        <w:t>dok s</w:t>
      </w:r>
      <w:r w:rsidR="00427E95">
        <w:rPr>
          <w:rFonts w:ascii="Arial" w:hAnsi="Arial" w:cs="Arial"/>
        </w:rPr>
        <w:t>e</w:t>
      </w:r>
      <w:r w:rsidR="00A400F6">
        <w:rPr>
          <w:rFonts w:ascii="Arial" w:hAnsi="Arial" w:cs="Arial"/>
        </w:rPr>
        <w:t xml:space="preserve"> bave </w:t>
      </w:r>
      <w:r w:rsidR="00427E95">
        <w:rPr>
          <w:rFonts w:ascii="Arial" w:hAnsi="Arial" w:cs="Arial"/>
        </w:rPr>
        <w:t>nižom razinom</w:t>
      </w:r>
      <w:r w:rsidR="008F718C">
        <w:rPr>
          <w:rFonts w:ascii="Arial" w:hAnsi="Arial" w:cs="Arial"/>
        </w:rPr>
        <w:t xml:space="preserve"> prodaje, mogu imati </w:t>
      </w:r>
      <w:r w:rsidR="00427E95">
        <w:rPr>
          <w:rFonts w:ascii="Arial" w:hAnsi="Arial" w:cs="Arial"/>
        </w:rPr>
        <w:t>po</w:t>
      </w:r>
      <w:r w:rsidR="008F718C">
        <w:rPr>
          <w:rFonts w:ascii="Arial" w:hAnsi="Arial" w:cs="Arial"/>
        </w:rPr>
        <w:t>teškoće u razumijevanju i primjeni složenog SPN</w:t>
      </w:r>
      <w:r w:rsidR="0092784E">
        <w:rPr>
          <w:rFonts w:ascii="Arial" w:hAnsi="Arial" w:cs="Arial"/>
        </w:rPr>
        <w:t xml:space="preserve">FT okvira (to je posebno slučaj </w:t>
      </w:r>
      <w:r w:rsidR="00427E95">
        <w:rPr>
          <w:rFonts w:ascii="Arial" w:hAnsi="Arial" w:cs="Arial"/>
        </w:rPr>
        <w:t>kod pojedinačnih poduzetnika)</w:t>
      </w:r>
      <w:r w:rsidR="0092784E">
        <w:rPr>
          <w:rFonts w:ascii="Arial" w:hAnsi="Arial" w:cs="Arial"/>
        </w:rPr>
        <w:t>; (iii) navikli su oslanjati se na druge sektore u provedbi dubinske analize.</w:t>
      </w:r>
      <w:r w:rsidR="00CE6C82">
        <w:rPr>
          <w:rFonts w:ascii="Arial" w:hAnsi="Arial" w:cs="Arial"/>
        </w:rPr>
        <w:t xml:space="preserve"> </w:t>
      </w:r>
      <w:r w:rsidR="00AD2E4D">
        <w:rPr>
          <w:rFonts w:ascii="Arial" w:hAnsi="Arial" w:cs="Arial"/>
        </w:rPr>
        <w:t>Iste informacije možda neće biti dostupne</w:t>
      </w:r>
      <w:r w:rsidR="00400A73">
        <w:rPr>
          <w:rFonts w:ascii="Arial" w:hAnsi="Arial" w:cs="Arial"/>
        </w:rPr>
        <w:t xml:space="preserve"> </w:t>
      </w:r>
      <w:r w:rsidR="0027189B">
        <w:rPr>
          <w:rFonts w:ascii="Arial" w:hAnsi="Arial" w:cs="Arial"/>
        </w:rPr>
        <w:t>u svim fazama transakcije (na primjer</w:t>
      </w:r>
      <w:r w:rsidR="00AD2E4D">
        <w:rPr>
          <w:rFonts w:ascii="Arial" w:hAnsi="Arial" w:cs="Arial"/>
        </w:rPr>
        <w:t xml:space="preserve">, ako se </w:t>
      </w:r>
      <w:r w:rsidR="0027189B">
        <w:rPr>
          <w:rFonts w:ascii="Arial" w:hAnsi="Arial" w:cs="Arial"/>
        </w:rPr>
        <w:t>identitet kupca</w:t>
      </w:r>
      <w:r w:rsidR="00AD2E4D">
        <w:rPr>
          <w:rFonts w:ascii="Arial" w:hAnsi="Arial" w:cs="Arial"/>
        </w:rPr>
        <w:t xml:space="preserve"> mijenja</w:t>
      </w:r>
      <w:r w:rsidR="0027189B">
        <w:rPr>
          <w:rFonts w:ascii="Arial" w:hAnsi="Arial" w:cs="Arial"/>
        </w:rPr>
        <w:t xml:space="preserve"> iz prakti</w:t>
      </w:r>
      <w:r w:rsidR="00AD2E4D">
        <w:rPr>
          <w:rFonts w:ascii="Arial" w:hAnsi="Arial" w:cs="Arial"/>
        </w:rPr>
        <w:t xml:space="preserve">čnih ili komercijalnih razloga), a ta </w:t>
      </w:r>
      <w:r w:rsidR="0027189B">
        <w:rPr>
          <w:rFonts w:ascii="Arial" w:hAnsi="Arial" w:cs="Arial"/>
        </w:rPr>
        <w:t>se promjena ne pojavljuje na početku pos</w:t>
      </w:r>
      <w:r w:rsidR="00AD2E4D">
        <w:rPr>
          <w:rFonts w:ascii="Arial" w:hAnsi="Arial" w:cs="Arial"/>
        </w:rPr>
        <w:t>lovnog odnosa. Razina svijesti</w:t>
      </w:r>
      <w:r w:rsidR="0027189B">
        <w:rPr>
          <w:rFonts w:ascii="Arial" w:hAnsi="Arial" w:cs="Arial"/>
        </w:rPr>
        <w:t xml:space="preserve"> malih subjek</w:t>
      </w:r>
      <w:r w:rsidR="00AD2E4D">
        <w:rPr>
          <w:rFonts w:ascii="Arial" w:hAnsi="Arial" w:cs="Arial"/>
        </w:rPr>
        <w:t>ata ovisi o opsegu dostupnih obuka</w:t>
      </w:r>
      <w:r w:rsidR="0027189B">
        <w:rPr>
          <w:rFonts w:ascii="Arial" w:hAnsi="Arial" w:cs="Arial"/>
        </w:rPr>
        <w:t xml:space="preserve">. </w:t>
      </w:r>
    </w:p>
    <w:p w:rsidR="00AD2E4D" w:rsidRDefault="00AD2E4D" w:rsidP="00263FB3">
      <w:pPr>
        <w:spacing w:after="0" w:line="240" w:lineRule="auto"/>
        <w:ind w:right="109"/>
        <w:jc w:val="both"/>
        <w:rPr>
          <w:rFonts w:ascii="Arial" w:hAnsi="Arial" w:cs="Arial"/>
        </w:rPr>
      </w:pPr>
    </w:p>
    <w:p w:rsidR="0027189B" w:rsidRDefault="0027189B" w:rsidP="00263FB3">
      <w:pPr>
        <w:spacing w:after="0" w:line="240" w:lineRule="auto"/>
        <w:ind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svakom slučaju, raspršenost uključenih obveznika </w:t>
      </w:r>
      <w:r w:rsidR="000C2650">
        <w:rPr>
          <w:rFonts w:ascii="Arial" w:hAnsi="Arial" w:cs="Arial"/>
        </w:rPr>
        <w:t>ne pojednostavljuje provedbu</w:t>
      </w:r>
      <w:r>
        <w:rPr>
          <w:rFonts w:ascii="Arial" w:hAnsi="Arial" w:cs="Arial"/>
        </w:rPr>
        <w:t xml:space="preserve"> kontrola i razumijevanje mjera dubinske analize stranke koje treba primijeniti. </w:t>
      </w:r>
      <w:r w:rsidR="000C2650">
        <w:rPr>
          <w:rFonts w:ascii="Arial" w:hAnsi="Arial" w:cs="Arial"/>
        </w:rPr>
        <w:t>Nadzor</w:t>
      </w:r>
      <w:r>
        <w:rPr>
          <w:rFonts w:ascii="Arial" w:hAnsi="Arial" w:cs="Arial"/>
        </w:rPr>
        <w:t xml:space="preserve"> se</w:t>
      </w:r>
      <w:r w:rsidR="000C2650">
        <w:rPr>
          <w:rFonts w:ascii="Arial" w:hAnsi="Arial" w:cs="Arial"/>
        </w:rPr>
        <w:t xml:space="preserve">ktora je također nepotpun i temelji se </w:t>
      </w:r>
      <w:r>
        <w:rPr>
          <w:rFonts w:ascii="Arial" w:hAnsi="Arial" w:cs="Arial"/>
        </w:rPr>
        <w:t>na slabim tragovima informacija (nema pisanih ugovora, odvjetnici se koriste samo za stavljanje pečata na dokument)</w:t>
      </w:r>
    </w:p>
    <w:p w:rsidR="000C2650" w:rsidRDefault="000C2650" w:rsidP="00263FB3">
      <w:pPr>
        <w:spacing w:after="0" w:line="240" w:lineRule="auto"/>
        <w:ind w:right="109"/>
        <w:jc w:val="both"/>
        <w:rPr>
          <w:rFonts w:ascii="Arial" w:hAnsi="Arial" w:cs="Arial"/>
        </w:rPr>
      </w:pPr>
    </w:p>
    <w:p w:rsidR="00263FB3" w:rsidRDefault="00263FB3" w:rsidP="00263FB3">
      <w:pPr>
        <w:spacing w:after="0" w:line="240" w:lineRule="auto"/>
        <w:jc w:val="both"/>
        <w:rPr>
          <w:rFonts w:ascii="Arial" w:hAnsi="Arial" w:cs="Arial"/>
          <w:b/>
        </w:rPr>
      </w:pPr>
      <w:r w:rsidRPr="00263FB3">
        <w:rPr>
          <w:rFonts w:ascii="Arial" w:hAnsi="Arial" w:cs="Arial"/>
          <w:b/>
          <w:lang w:val="en-US"/>
        </w:rPr>
        <w:t>(</w:t>
      </w:r>
      <w:r w:rsidRPr="00BE5645">
        <w:rPr>
          <w:rFonts w:ascii="Arial" w:hAnsi="Arial" w:cs="Arial"/>
          <w:b/>
          <w:lang w:val="en-US"/>
        </w:rPr>
        <w:t>c)</w:t>
      </w:r>
      <w:r w:rsidRPr="00BE564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 xml:space="preserve">zakonski </w:t>
      </w:r>
      <w:r w:rsidRPr="00DE14EB">
        <w:rPr>
          <w:rFonts w:ascii="Arial" w:hAnsi="Arial" w:cs="Arial"/>
          <w:b/>
        </w:rPr>
        <w:t xml:space="preserve">okvir </w:t>
      </w:r>
      <w:r>
        <w:rPr>
          <w:rFonts w:ascii="Arial" w:hAnsi="Arial" w:cs="Arial"/>
          <w:b/>
        </w:rPr>
        <w:t>i</w:t>
      </w:r>
      <w:r w:rsidRPr="00DE14EB">
        <w:rPr>
          <w:rFonts w:ascii="Arial" w:hAnsi="Arial" w:cs="Arial"/>
          <w:b/>
        </w:rPr>
        <w:t xml:space="preserve"> kontrole</w:t>
      </w:r>
    </w:p>
    <w:p w:rsidR="00263FB3" w:rsidRDefault="00263FB3" w:rsidP="00263FB3">
      <w:pPr>
        <w:spacing w:after="0" w:line="240" w:lineRule="auto"/>
        <w:jc w:val="both"/>
        <w:rPr>
          <w:rFonts w:ascii="Arial" w:hAnsi="Arial" w:cs="Arial"/>
          <w:b/>
        </w:rPr>
      </w:pPr>
    </w:p>
    <w:p w:rsidR="00263FB3" w:rsidRDefault="000C2650" w:rsidP="005E09CB">
      <w:pPr>
        <w:spacing w:after="0" w:line="240" w:lineRule="auto"/>
        <w:ind w:right="59"/>
        <w:jc w:val="both"/>
        <w:rPr>
          <w:rFonts w:ascii="Arial" w:hAnsi="Arial" w:cs="Arial"/>
        </w:rPr>
      </w:pPr>
      <w:r>
        <w:rPr>
          <w:rFonts w:ascii="Arial" w:hAnsi="Arial" w:cs="Arial"/>
        </w:rPr>
        <w:t>Posrednici u prometu nekretninama podliježu</w:t>
      </w:r>
      <w:r w:rsidR="00263FB3" w:rsidRPr="00FE39B5">
        <w:rPr>
          <w:rFonts w:ascii="Arial" w:hAnsi="Arial" w:cs="Arial"/>
        </w:rPr>
        <w:t xml:space="preserve"> zahtjevima </w:t>
      </w:r>
      <w:r w:rsidR="00AE040B">
        <w:rPr>
          <w:rFonts w:ascii="Arial" w:hAnsi="Arial" w:cs="Arial"/>
        </w:rPr>
        <w:t xml:space="preserve">za </w:t>
      </w:r>
      <w:r w:rsidR="00263FB3" w:rsidRPr="00FE39B5">
        <w:rPr>
          <w:rFonts w:ascii="Arial" w:hAnsi="Arial" w:cs="Arial"/>
        </w:rPr>
        <w:t>sp</w:t>
      </w:r>
      <w:r w:rsidR="00AE040B">
        <w:rPr>
          <w:rFonts w:ascii="Arial" w:hAnsi="Arial" w:cs="Arial"/>
        </w:rPr>
        <w:t>rječavanje</w:t>
      </w:r>
      <w:r>
        <w:rPr>
          <w:rFonts w:ascii="Arial" w:hAnsi="Arial" w:cs="Arial"/>
        </w:rPr>
        <w:t xml:space="preserve"> pranja novca na razini EU.</w:t>
      </w:r>
    </w:p>
    <w:p w:rsidR="00F41E2D" w:rsidRDefault="00F41E2D" w:rsidP="005E09CB">
      <w:pPr>
        <w:spacing w:after="0" w:line="240" w:lineRule="auto"/>
        <w:ind w:right="59"/>
        <w:jc w:val="both"/>
        <w:rPr>
          <w:rFonts w:ascii="Arial" w:hAnsi="Arial" w:cs="Arial"/>
        </w:rPr>
      </w:pPr>
    </w:p>
    <w:p w:rsidR="005E09CB" w:rsidRDefault="000C2650" w:rsidP="005E09CB">
      <w:pPr>
        <w:spacing w:after="0" w:line="240" w:lineRule="auto"/>
        <w:ind w:right="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Međutim, čini se da </w:t>
      </w:r>
      <w:r w:rsidR="00AE040B">
        <w:rPr>
          <w:rFonts w:ascii="Arial" w:hAnsi="Arial" w:cs="Arial"/>
        </w:rPr>
        <w:t xml:space="preserve">postojeće kontrole </w:t>
      </w:r>
      <w:r>
        <w:rPr>
          <w:rFonts w:ascii="Arial" w:hAnsi="Arial" w:cs="Arial"/>
        </w:rPr>
        <w:t>nisu d</w:t>
      </w:r>
      <w:r w:rsidR="00AE040B">
        <w:rPr>
          <w:rFonts w:ascii="Arial" w:hAnsi="Arial" w:cs="Arial"/>
        </w:rPr>
        <w:t xml:space="preserve">ovoljno učinkovite. Sudjelovanje </w:t>
      </w:r>
      <w:r>
        <w:rPr>
          <w:rFonts w:ascii="Arial" w:hAnsi="Arial" w:cs="Arial"/>
        </w:rPr>
        <w:t>nekolik</w:t>
      </w:r>
      <w:r w:rsidR="00AE040B">
        <w:rPr>
          <w:rFonts w:ascii="Arial" w:hAnsi="Arial" w:cs="Arial"/>
        </w:rPr>
        <w:t xml:space="preserve">o vrsta obveznika u transakcijama </w:t>
      </w:r>
      <w:r>
        <w:rPr>
          <w:rFonts w:ascii="Arial" w:hAnsi="Arial" w:cs="Arial"/>
        </w:rPr>
        <w:t>s nekretninama otežava nadležnim tijelima</w:t>
      </w:r>
      <w:r w:rsidR="00AE040B">
        <w:rPr>
          <w:rFonts w:ascii="Arial" w:hAnsi="Arial" w:cs="Arial"/>
        </w:rPr>
        <w:t xml:space="preserve"> da identificiraju ulogu posrednika u prometu nekretninama i sastave indikatore. U </w:t>
      </w:r>
      <w:r w:rsidR="00E60A4F">
        <w:rPr>
          <w:rFonts w:ascii="Arial" w:hAnsi="Arial" w:cs="Arial"/>
        </w:rPr>
        <w:t>vezi toga,</w:t>
      </w:r>
      <w:r w:rsidR="00AE040B">
        <w:rPr>
          <w:rFonts w:ascii="Arial" w:hAnsi="Arial" w:cs="Arial"/>
        </w:rPr>
        <w:t xml:space="preserve"> postoje razlike između država u pogledu pravnih praksi i postupaka koji se primjenjuju u transakcijama s nekretninama. </w:t>
      </w:r>
      <w:r w:rsidR="005C31AC">
        <w:rPr>
          <w:rFonts w:ascii="Arial" w:hAnsi="Arial" w:cs="Arial"/>
        </w:rPr>
        <w:t xml:space="preserve">U nekim državama, posrednik u prometu nekretninama može pripremiti preliminarnu pravnu dokumentaciju (iako </w:t>
      </w:r>
      <w:r w:rsidR="00C73E28">
        <w:rPr>
          <w:rFonts w:ascii="Arial" w:hAnsi="Arial" w:cs="Arial"/>
        </w:rPr>
        <w:t xml:space="preserve">se od pravnog </w:t>
      </w:r>
      <w:r w:rsidR="005C31AC">
        <w:rPr>
          <w:rFonts w:ascii="Arial" w:hAnsi="Arial" w:cs="Arial"/>
        </w:rPr>
        <w:t>stručnjak</w:t>
      </w:r>
      <w:r w:rsidR="00C73E28">
        <w:rPr>
          <w:rFonts w:ascii="Arial" w:hAnsi="Arial" w:cs="Arial"/>
        </w:rPr>
        <w:t>a može tražiti da dovrši</w:t>
      </w:r>
      <w:r w:rsidR="005C31AC">
        <w:rPr>
          <w:rFonts w:ascii="Arial" w:hAnsi="Arial" w:cs="Arial"/>
        </w:rPr>
        <w:t xml:space="preserve"> transakciju), dok u drugima državama odvjetni</w:t>
      </w:r>
      <w:r w:rsidR="00C73E28">
        <w:rPr>
          <w:rFonts w:ascii="Arial" w:hAnsi="Arial" w:cs="Arial"/>
        </w:rPr>
        <w:t xml:space="preserve">k priprema pravnu dokumentaciju, uključujući ugovor. Razina </w:t>
      </w:r>
      <w:r w:rsidR="005C31AC">
        <w:rPr>
          <w:rFonts w:ascii="Arial" w:hAnsi="Arial" w:cs="Arial"/>
        </w:rPr>
        <w:t>OST-a je neujednačen</w:t>
      </w:r>
      <w:r w:rsidR="00C73E28">
        <w:rPr>
          <w:rFonts w:ascii="Arial" w:hAnsi="Arial" w:cs="Arial"/>
        </w:rPr>
        <w:t>a</w:t>
      </w:r>
      <w:r w:rsidR="005C31AC">
        <w:rPr>
          <w:rFonts w:ascii="Arial" w:hAnsi="Arial" w:cs="Arial"/>
        </w:rPr>
        <w:t>, a kada je</w:t>
      </w:r>
      <w:r w:rsidR="00C73E28">
        <w:rPr>
          <w:rFonts w:ascii="Arial" w:hAnsi="Arial" w:cs="Arial"/>
        </w:rPr>
        <w:t xml:space="preserve"> prilično </w:t>
      </w:r>
      <w:r w:rsidR="005C31AC">
        <w:rPr>
          <w:rFonts w:ascii="Arial" w:hAnsi="Arial" w:cs="Arial"/>
        </w:rPr>
        <w:t>zadovoljavajuć</w:t>
      </w:r>
      <w:r w:rsidR="00C73E28">
        <w:rPr>
          <w:rFonts w:ascii="Arial" w:hAnsi="Arial" w:cs="Arial"/>
        </w:rPr>
        <w:t xml:space="preserve">a, to je zbog </w:t>
      </w:r>
      <w:r w:rsidR="005C31AC">
        <w:rPr>
          <w:rFonts w:ascii="Arial" w:hAnsi="Arial" w:cs="Arial"/>
        </w:rPr>
        <w:t>obveznika</w:t>
      </w:r>
      <w:r w:rsidR="00C73E28">
        <w:rPr>
          <w:rFonts w:ascii="Arial" w:hAnsi="Arial" w:cs="Arial"/>
        </w:rPr>
        <w:t xml:space="preserve"> koji nisu</w:t>
      </w:r>
      <w:r w:rsidR="005C31AC">
        <w:rPr>
          <w:rFonts w:ascii="Arial" w:hAnsi="Arial" w:cs="Arial"/>
        </w:rPr>
        <w:t xml:space="preserve"> </w:t>
      </w:r>
      <w:r w:rsidR="00C73E28">
        <w:rPr>
          <w:rFonts w:ascii="Arial" w:hAnsi="Arial" w:cs="Arial"/>
        </w:rPr>
        <w:t>posrednici</w:t>
      </w:r>
      <w:r w:rsidR="005C31AC">
        <w:rPr>
          <w:rFonts w:ascii="Arial" w:hAnsi="Arial" w:cs="Arial"/>
        </w:rPr>
        <w:t xml:space="preserve"> u prometu nekretninama (</w:t>
      </w:r>
      <w:r w:rsidR="00C73E28">
        <w:rPr>
          <w:rFonts w:ascii="Arial" w:hAnsi="Arial" w:cs="Arial"/>
        </w:rPr>
        <w:t xml:space="preserve">čini se da </w:t>
      </w:r>
      <w:r w:rsidR="005C31AC">
        <w:rPr>
          <w:rFonts w:ascii="Arial" w:hAnsi="Arial" w:cs="Arial"/>
        </w:rPr>
        <w:t xml:space="preserve">neki posrednici za promet </w:t>
      </w:r>
      <w:r w:rsidR="005C31AC">
        <w:rPr>
          <w:rFonts w:ascii="Arial" w:hAnsi="Arial" w:cs="Arial"/>
        </w:rPr>
        <w:lastRenderedPageBreak/>
        <w:t>nekretninama smatraju da ako nisu uključeni u transfer sreds</w:t>
      </w:r>
      <w:r w:rsidR="00C73E28">
        <w:rPr>
          <w:rFonts w:ascii="Arial" w:hAnsi="Arial" w:cs="Arial"/>
        </w:rPr>
        <w:t>tava nisu zaduženi za</w:t>
      </w:r>
      <w:r w:rsidR="001B03E4">
        <w:rPr>
          <w:rFonts w:ascii="Arial" w:hAnsi="Arial" w:cs="Arial"/>
        </w:rPr>
        <w:t xml:space="preserve"> OST</w:t>
      </w:r>
      <w:r w:rsidR="00C73E28">
        <w:rPr>
          <w:rFonts w:ascii="Arial" w:hAnsi="Arial" w:cs="Arial"/>
        </w:rPr>
        <w:t>)</w:t>
      </w:r>
      <w:r w:rsidR="005C31AC">
        <w:rPr>
          <w:rFonts w:ascii="Arial" w:hAnsi="Arial" w:cs="Arial"/>
        </w:rPr>
        <w:t>.</w:t>
      </w:r>
      <w:r w:rsidR="00F41E2D">
        <w:rPr>
          <w:rFonts w:ascii="Arial" w:hAnsi="Arial" w:cs="Arial"/>
        </w:rPr>
        <w:t xml:space="preserve"> Posljedica toga je da istražna tijela </w:t>
      </w:r>
      <w:r w:rsidR="00872054">
        <w:rPr>
          <w:rFonts w:ascii="Arial" w:hAnsi="Arial" w:cs="Arial"/>
        </w:rPr>
        <w:t>mogu provesti svoju analizu,</w:t>
      </w:r>
      <w:r w:rsidR="00F41E2D">
        <w:rPr>
          <w:rFonts w:ascii="Arial" w:hAnsi="Arial" w:cs="Arial"/>
        </w:rPr>
        <w:t xml:space="preserve"> ali ne na temelju informacija posrednika u prometu nekretninama. Također je važno napomenuti da </w:t>
      </w:r>
      <w:r w:rsidR="00872054">
        <w:rPr>
          <w:rFonts w:ascii="Arial" w:hAnsi="Arial" w:cs="Arial"/>
        </w:rPr>
        <w:t>p</w:t>
      </w:r>
      <w:r w:rsidR="00F41E2D">
        <w:rPr>
          <w:rFonts w:ascii="Arial" w:hAnsi="Arial" w:cs="Arial"/>
        </w:rPr>
        <w:t>redst</w:t>
      </w:r>
      <w:r w:rsidR="00872054">
        <w:rPr>
          <w:rFonts w:ascii="Arial" w:hAnsi="Arial" w:cs="Arial"/>
        </w:rPr>
        <w:t>avnici p</w:t>
      </w:r>
      <w:r w:rsidR="00872B6D">
        <w:rPr>
          <w:rFonts w:ascii="Arial" w:hAnsi="Arial" w:cs="Arial"/>
        </w:rPr>
        <w:t xml:space="preserve">rivatnog sektora </w:t>
      </w:r>
      <w:r w:rsidR="001B03E4">
        <w:rPr>
          <w:rFonts w:ascii="Arial" w:hAnsi="Arial" w:cs="Arial"/>
        </w:rPr>
        <w:t xml:space="preserve">obično smatraju da </w:t>
      </w:r>
      <w:r w:rsidR="00872054">
        <w:rPr>
          <w:rFonts w:ascii="Arial" w:hAnsi="Arial" w:cs="Arial"/>
        </w:rPr>
        <w:t>utvrđivanje</w:t>
      </w:r>
      <w:r w:rsidR="00F41E2D">
        <w:rPr>
          <w:rFonts w:ascii="Arial" w:hAnsi="Arial" w:cs="Arial"/>
        </w:rPr>
        <w:t xml:space="preserve"> stvarnog vlasništva</w:t>
      </w:r>
      <w:r w:rsidR="00C4545F">
        <w:rPr>
          <w:rFonts w:ascii="Arial" w:hAnsi="Arial" w:cs="Arial"/>
        </w:rPr>
        <w:t xml:space="preserve"> ostaje važan izazov</w:t>
      </w:r>
      <w:r w:rsidR="00872B6D">
        <w:rPr>
          <w:rFonts w:ascii="Arial" w:hAnsi="Arial" w:cs="Arial"/>
        </w:rPr>
        <w:t xml:space="preserve"> </w:t>
      </w:r>
      <w:r w:rsidR="00872054">
        <w:rPr>
          <w:rFonts w:ascii="Arial" w:hAnsi="Arial" w:cs="Arial"/>
        </w:rPr>
        <w:t xml:space="preserve">jer </w:t>
      </w:r>
      <w:r w:rsidR="00F41E2D">
        <w:rPr>
          <w:rFonts w:ascii="Arial" w:hAnsi="Arial" w:cs="Arial"/>
        </w:rPr>
        <w:t>regi</w:t>
      </w:r>
      <w:r w:rsidR="00872054">
        <w:rPr>
          <w:rFonts w:ascii="Arial" w:hAnsi="Arial" w:cs="Arial"/>
        </w:rPr>
        <w:t>stracija takvih informacija u ovoj fazi nije obvezna</w:t>
      </w:r>
      <w:r w:rsidR="00F41E2D">
        <w:rPr>
          <w:rFonts w:ascii="Arial" w:hAnsi="Arial" w:cs="Arial"/>
        </w:rPr>
        <w:t xml:space="preserve">. </w:t>
      </w:r>
      <w:r w:rsidR="00872B6D">
        <w:rPr>
          <w:rFonts w:ascii="Arial" w:hAnsi="Arial" w:cs="Arial"/>
        </w:rPr>
        <w:t>T</w:t>
      </w:r>
      <w:r w:rsidR="00872054">
        <w:rPr>
          <w:rFonts w:ascii="Arial" w:hAnsi="Arial" w:cs="Arial"/>
        </w:rPr>
        <w:t>o je naročito</w:t>
      </w:r>
      <w:r w:rsidR="00F41E2D">
        <w:rPr>
          <w:rFonts w:ascii="Arial" w:hAnsi="Arial" w:cs="Arial"/>
        </w:rPr>
        <w:t xml:space="preserve"> slučaj ka</w:t>
      </w:r>
      <w:r w:rsidR="00872054">
        <w:rPr>
          <w:rFonts w:ascii="Arial" w:hAnsi="Arial" w:cs="Arial"/>
        </w:rPr>
        <w:t>d</w:t>
      </w:r>
      <w:r w:rsidR="00F41E2D">
        <w:rPr>
          <w:rFonts w:ascii="Arial" w:hAnsi="Arial" w:cs="Arial"/>
        </w:rPr>
        <w:t xml:space="preserve"> prodavatelj i kupac ulažu u trust.</w:t>
      </w:r>
    </w:p>
    <w:p w:rsidR="00AE040B" w:rsidRPr="004811EC" w:rsidRDefault="00AE040B" w:rsidP="005E09CB">
      <w:pPr>
        <w:spacing w:after="0" w:line="240" w:lineRule="auto"/>
        <w:ind w:right="59"/>
        <w:jc w:val="both"/>
        <w:rPr>
          <w:rFonts w:ascii="Arial" w:hAnsi="Arial" w:cs="Arial"/>
        </w:rPr>
      </w:pPr>
    </w:p>
    <w:p w:rsidR="00263FB3" w:rsidRDefault="00263FB3" w:rsidP="00263FB3">
      <w:pPr>
        <w:spacing w:after="0" w:line="238" w:lineRule="auto"/>
        <w:ind w:right="59"/>
        <w:jc w:val="both"/>
        <w:rPr>
          <w:rFonts w:ascii="Arial" w:hAnsi="Arial" w:cs="Arial"/>
          <w:b/>
        </w:rPr>
      </w:pPr>
      <w:r w:rsidRPr="00A15388">
        <w:rPr>
          <w:rFonts w:ascii="Arial" w:hAnsi="Arial" w:cs="Arial"/>
          <w:b/>
          <w:u w:val="single"/>
        </w:rPr>
        <w:t>Zaključci</w:t>
      </w:r>
      <w:r w:rsidRPr="00A15388">
        <w:rPr>
          <w:rFonts w:ascii="Arial" w:hAnsi="Arial" w:cs="Arial"/>
          <w:b/>
        </w:rPr>
        <w:t xml:space="preserve">: </w:t>
      </w:r>
      <w:r w:rsidR="006E1191">
        <w:rPr>
          <w:rFonts w:ascii="Arial" w:hAnsi="Arial" w:cs="Arial"/>
          <w:b/>
        </w:rPr>
        <w:t xml:space="preserve">sektor nekretnina nije dovoljno organiziran </w:t>
      </w:r>
      <w:r w:rsidR="008736BE">
        <w:rPr>
          <w:rFonts w:ascii="Arial" w:hAnsi="Arial" w:cs="Arial"/>
          <w:b/>
        </w:rPr>
        <w:t xml:space="preserve">kako bi se postigla ispravna  razina svijesti. Sudjelovanje </w:t>
      </w:r>
      <w:r w:rsidR="002E06F4">
        <w:rPr>
          <w:rFonts w:ascii="Arial" w:hAnsi="Arial" w:cs="Arial"/>
          <w:b/>
        </w:rPr>
        <w:t>različitih vrsta obveznika</w:t>
      </w:r>
      <w:r w:rsidR="008736BE">
        <w:rPr>
          <w:rFonts w:ascii="Arial" w:hAnsi="Arial" w:cs="Arial"/>
          <w:b/>
        </w:rPr>
        <w:t xml:space="preserve"> u transakcijama s nekretninama/poslovnim odnosima ima tendenciju </w:t>
      </w:r>
      <w:r w:rsidR="00C4545F">
        <w:rPr>
          <w:rFonts w:ascii="Arial" w:hAnsi="Arial" w:cs="Arial"/>
          <w:b/>
        </w:rPr>
        <w:t xml:space="preserve">odvraćanja </w:t>
      </w:r>
      <w:r w:rsidR="002E06F4">
        <w:rPr>
          <w:rFonts w:ascii="Arial" w:hAnsi="Arial" w:cs="Arial"/>
          <w:b/>
        </w:rPr>
        <w:t>sektor</w:t>
      </w:r>
      <w:r w:rsidR="008736BE">
        <w:rPr>
          <w:rFonts w:ascii="Arial" w:hAnsi="Arial" w:cs="Arial"/>
          <w:b/>
        </w:rPr>
        <w:t>a</w:t>
      </w:r>
      <w:r w:rsidR="002E06F4">
        <w:rPr>
          <w:rFonts w:ascii="Arial" w:hAnsi="Arial" w:cs="Arial"/>
          <w:b/>
        </w:rPr>
        <w:t xml:space="preserve"> u provedbi vlastite dubinske analize</w:t>
      </w:r>
      <w:r w:rsidR="00C4545F">
        <w:rPr>
          <w:rFonts w:ascii="Arial" w:hAnsi="Arial" w:cs="Arial"/>
          <w:b/>
        </w:rPr>
        <w:t xml:space="preserve"> stranke</w:t>
      </w:r>
      <w:r w:rsidR="002E06F4">
        <w:rPr>
          <w:rFonts w:ascii="Arial" w:hAnsi="Arial" w:cs="Arial"/>
          <w:b/>
        </w:rPr>
        <w:t xml:space="preserve">. Razina podnijetih OST-a nije zadovoljavajuća; </w:t>
      </w:r>
      <w:r w:rsidR="00C4545F">
        <w:rPr>
          <w:rFonts w:ascii="Arial" w:hAnsi="Arial" w:cs="Arial"/>
          <w:b/>
        </w:rPr>
        <w:t>kontrole su teške za implementaciju i</w:t>
      </w:r>
      <w:r w:rsidR="002E06F4">
        <w:rPr>
          <w:rFonts w:ascii="Arial" w:hAnsi="Arial" w:cs="Arial"/>
          <w:b/>
        </w:rPr>
        <w:t xml:space="preserve"> tragovi o informacijama</w:t>
      </w:r>
      <w:r w:rsidR="00C4545F">
        <w:rPr>
          <w:rFonts w:ascii="Arial" w:hAnsi="Arial" w:cs="Arial"/>
          <w:b/>
        </w:rPr>
        <w:t xml:space="preserve"> su slabi</w:t>
      </w:r>
      <w:r w:rsidR="002E06F4">
        <w:rPr>
          <w:rFonts w:ascii="Arial" w:hAnsi="Arial" w:cs="Arial"/>
          <w:b/>
        </w:rPr>
        <w:t xml:space="preserve">. </w:t>
      </w:r>
      <w:r w:rsidRPr="00EB7120">
        <w:rPr>
          <w:rFonts w:ascii="Arial" w:hAnsi="Arial" w:cs="Arial"/>
          <w:b/>
        </w:rPr>
        <w:t xml:space="preserve">U tom kontekstu, razina ranjivosti na pranje novca vezana uz </w:t>
      </w:r>
      <w:r w:rsidR="006E1191">
        <w:rPr>
          <w:rFonts w:ascii="Arial" w:hAnsi="Arial" w:cs="Arial"/>
          <w:b/>
        </w:rPr>
        <w:t>sektor nekretnina</w:t>
      </w:r>
      <w:r w:rsidRPr="00EB7120">
        <w:rPr>
          <w:rFonts w:ascii="Arial" w:hAnsi="Arial" w:cs="Arial"/>
          <w:b/>
        </w:rPr>
        <w:t xml:space="preserve"> smatra se </w:t>
      </w:r>
      <w:r w:rsidRPr="00EB7120">
        <w:rPr>
          <w:rFonts w:ascii="Arial" w:hAnsi="Arial" w:cs="Arial"/>
          <w:b/>
          <w:u w:val="single"/>
        </w:rPr>
        <w:t>značajnom</w:t>
      </w:r>
      <w:r w:rsidR="00F358A1">
        <w:rPr>
          <w:rFonts w:ascii="Arial" w:hAnsi="Arial" w:cs="Arial"/>
          <w:b/>
          <w:u w:val="single"/>
        </w:rPr>
        <w:t xml:space="preserve">/vrlo </w:t>
      </w:r>
      <w:r w:rsidR="006E1191" w:rsidRPr="006E1191">
        <w:rPr>
          <w:rFonts w:ascii="Arial" w:hAnsi="Arial" w:cs="Arial"/>
          <w:b/>
          <w:u w:val="single"/>
        </w:rPr>
        <w:t>značajnom</w:t>
      </w:r>
      <w:r w:rsidRPr="00E03074">
        <w:rPr>
          <w:rFonts w:ascii="Arial" w:hAnsi="Arial" w:cs="Arial"/>
          <w:b/>
        </w:rPr>
        <w:t xml:space="preserve"> (razina 3</w:t>
      </w:r>
      <w:r w:rsidR="006E1191" w:rsidRPr="00E03074">
        <w:rPr>
          <w:rFonts w:ascii="Arial" w:hAnsi="Arial" w:cs="Arial"/>
          <w:b/>
        </w:rPr>
        <w:t>/4</w:t>
      </w:r>
      <w:r w:rsidRPr="00E03074">
        <w:rPr>
          <w:rFonts w:ascii="Arial" w:hAnsi="Arial" w:cs="Arial"/>
          <w:b/>
        </w:rPr>
        <w:t>).</w:t>
      </w:r>
      <w:r w:rsidRPr="00EB7120">
        <w:rPr>
          <w:rFonts w:ascii="Arial" w:hAnsi="Arial" w:cs="Arial"/>
          <w:b/>
        </w:rPr>
        <w:t xml:space="preserve"> </w:t>
      </w:r>
    </w:p>
    <w:p w:rsidR="002E06F4" w:rsidRDefault="002E06F4" w:rsidP="00263FB3">
      <w:pPr>
        <w:spacing w:after="0" w:line="238" w:lineRule="auto"/>
        <w:ind w:right="59"/>
        <w:jc w:val="both"/>
        <w:rPr>
          <w:rFonts w:ascii="Arial" w:hAnsi="Arial" w:cs="Arial"/>
          <w:b/>
        </w:rPr>
      </w:pPr>
    </w:p>
    <w:p w:rsidR="00263FB3" w:rsidRDefault="00274CA3" w:rsidP="005149FF">
      <w:pPr>
        <w:spacing w:after="0" w:line="240" w:lineRule="auto"/>
        <w:ind w:right="59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MJERE UBLAŽAVANJA</w:t>
      </w:r>
    </w:p>
    <w:p w:rsidR="00263FB3" w:rsidRDefault="00263FB3" w:rsidP="005149FF">
      <w:pPr>
        <w:spacing w:after="0" w:line="240" w:lineRule="auto"/>
        <w:ind w:right="59"/>
        <w:jc w:val="both"/>
        <w:rPr>
          <w:rFonts w:ascii="Arial" w:hAnsi="Arial" w:cs="Arial"/>
          <w:b/>
          <w:color w:val="0000FF"/>
        </w:rPr>
      </w:pPr>
    </w:p>
    <w:p w:rsidR="00263FB3" w:rsidRPr="00DF52FC" w:rsidRDefault="00263FB3" w:rsidP="005E09CB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</w:rPr>
      </w:pPr>
      <w:r w:rsidRPr="00DF52FC">
        <w:rPr>
          <w:rFonts w:ascii="Arial" w:hAnsi="Arial" w:cs="Arial"/>
          <w:sz w:val="22"/>
          <w:u w:val="single" w:color="000000"/>
        </w:rPr>
        <w:t xml:space="preserve">za nadležna tijela </w:t>
      </w:r>
      <w:r w:rsidRPr="00DF52FC">
        <w:rPr>
          <w:rFonts w:ascii="Arial" w:hAnsi="Arial" w:cs="Arial"/>
          <w:sz w:val="22"/>
        </w:rPr>
        <w:t xml:space="preserve"> </w:t>
      </w:r>
    </w:p>
    <w:p w:rsidR="00263FB3" w:rsidRPr="00C56BB5" w:rsidRDefault="00263FB3" w:rsidP="005149FF">
      <w:pPr>
        <w:spacing w:after="0" w:line="240" w:lineRule="auto"/>
        <w:ind w:left="260"/>
        <w:rPr>
          <w:rFonts w:ascii="Arial" w:hAnsi="Arial" w:cs="Arial"/>
        </w:rPr>
      </w:pPr>
    </w:p>
    <w:p w:rsidR="00263FB3" w:rsidRDefault="00263FB3" w:rsidP="005149FF">
      <w:pPr>
        <w:numPr>
          <w:ilvl w:val="1"/>
          <w:numId w:val="8"/>
        </w:numPr>
        <w:spacing w:after="0" w:line="240" w:lineRule="auto"/>
        <w:ind w:right="59" w:hanging="360"/>
        <w:jc w:val="both"/>
        <w:rPr>
          <w:rFonts w:ascii="Arial" w:hAnsi="Arial" w:cs="Arial"/>
          <w:lang w:val="en-GB"/>
        </w:rPr>
      </w:pPr>
      <w:r w:rsidRPr="00461BDA">
        <w:rPr>
          <w:rFonts w:ascii="Arial" w:hAnsi="Arial" w:cs="Arial"/>
        </w:rPr>
        <w:t xml:space="preserve">Države </w:t>
      </w:r>
      <w:r>
        <w:rPr>
          <w:rFonts w:ascii="Arial" w:hAnsi="Arial" w:cs="Arial"/>
        </w:rPr>
        <w:t>članice trebale bi</w:t>
      </w:r>
      <w:r w:rsidRPr="00461BDA">
        <w:rPr>
          <w:rFonts w:ascii="Arial" w:hAnsi="Arial" w:cs="Arial"/>
        </w:rPr>
        <w:t xml:space="preserve"> osigurati da nadležna tijela/samoregulatorna tijela</w:t>
      </w:r>
      <w:r w:rsidR="00C4545F">
        <w:rPr>
          <w:rFonts w:ascii="Arial" w:hAnsi="Arial" w:cs="Arial"/>
        </w:rPr>
        <w:t xml:space="preserve"> koja nadziru sektor nekretnina</w:t>
      </w:r>
      <w:r>
        <w:rPr>
          <w:rFonts w:ascii="Arial" w:hAnsi="Arial" w:cs="Arial"/>
        </w:rPr>
        <w:t xml:space="preserve"> sastavljaju</w:t>
      </w:r>
      <w:r w:rsidRPr="00461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godišnje izvješće o izrečenim nadzornim mjerama kako bi osigurala da sektor točno primjenjuje svoje SPNFT obveze. Prilikom zaprimanja obavijesti o sumnjivim transakcijama, samoregulatorna tijela godišnje izv</w:t>
      </w:r>
      <w:r w:rsidR="001B03E4">
        <w:rPr>
          <w:rFonts w:ascii="Arial" w:hAnsi="Arial" w:cs="Arial"/>
        </w:rPr>
        <w:t xml:space="preserve">ješćuju o broju obavijesti koje </w:t>
      </w:r>
      <w:r>
        <w:rPr>
          <w:rFonts w:ascii="Arial" w:hAnsi="Arial" w:cs="Arial"/>
        </w:rPr>
        <w:t>se podnose FOJ-evima.</w:t>
      </w:r>
      <w:r w:rsidRPr="008E148D">
        <w:rPr>
          <w:rFonts w:ascii="Arial" w:hAnsi="Arial" w:cs="Arial"/>
          <w:lang w:val="en-GB"/>
        </w:rPr>
        <w:t xml:space="preserve"> </w:t>
      </w:r>
    </w:p>
    <w:p w:rsidR="00DF52FC" w:rsidRDefault="00DF52FC" w:rsidP="005149FF">
      <w:pPr>
        <w:spacing w:after="0" w:line="240" w:lineRule="auto"/>
        <w:ind w:left="720" w:right="59"/>
        <w:jc w:val="both"/>
        <w:rPr>
          <w:rFonts w:ascii="Arial" w:hAnsi="Arial" w:cs="Arial"/>
          <w:lang w:val="en-GB"/>
        </w:rPr>
      </w:pPr>
    </w:p>
    <w:p w:rsidR="00263FB3" w:rsidRPr="00263FB3" w:rsidRDefault="00263FB3" w:rsidP="005149FF">
      <w:pPr>
        <w:numPr>
          <w:ilvl w:val="1"/>
          <w:numId w:val="8"/>
        </w:numPr>
        <w:spacing w:after="0" w:line="240" w:lineRule="auto"/>
        <w:ind w:right="59" w:hanging="360"/>
        <w:jc w:val="both"/>
        <w:rPr>
          <w:rStyle w:val="tlid-translation"/>
          <w:rFonts w:ascii="Arial" w:hAnsi="Arial" w:cs="Arial"/>
          <w:lang w:val="en-GB"/>
        </w:rPr>
      </w:pPr>
      <w:r w:rsidRPr="0069296F">
        <w:rPr>
          <w:rStyle w:val="tlid-translation"/>
          <w:rFonts w:ascii="Arial" w:hAnsi="Arial" w:cs="Arial"/>
        </w:rPr>
        <w:t xml:space="preserve">Izravni nadzori trebaju biti razmjerni populaciji </w:t>
      </w:r>
      <w:r w:rsidR="00C4545F">
        <w:rPr>
          <w:rStyle w:val="tlid-translation"/>
          <w:rFonts w:ascii="Arial" w:hAnsi="Arial" w:cs="Arial"/>
        </w:rPr>
        <w:t>posrednika u prometu nekretnina</w:t>
      </w:r>
      <w:r w:rsidRPr="0069296F">
        <w:rPr>
          <w:rStyle w:val="tlid-translation"/>
          <w:rFonts w:ascii="Arial" w:hAnsi="Arial" w:cs="Arial"/>
        </w:rPr>
        <w:t xml:space="preserve"> na teritoriju države članice</w:t>
      </w:r>
      <w:r w:rsidR="00C4545F">
        <w:rPr>
          <w:rStyle w:val="tlid-translation"/>
          <w:rFonts w:ascii="Arial" w:hAnsi="Arial" w:cs="Arial"/>
        </w:rPr>
        <w:t>.</w:t>
      </w:r>
    </w:p>
    <w:p w:rsidR="00263FB3" w:rsidRPr="0069296F" w:rsidRDefault="00263FB3" w:rsidP="005149FF">
      <w:pPr>
        <w:spacing w:after="0" w:line="240" w:lineRule="auto"/>
        <w:ind w:left="720" w:right="59"/>
        <w:jc w:val="both"/>
        <w:rPr>
          <w:rFonts w:ascii="Arial" w:hAnsi="Arial" w:cs="Arial"/>
          <w:lang w:val="en-GB"/>
        </w:rPr>
      </w:pPr>
    </w:p>
    <w:p w:rsidR="00263FB3" w:rsidRPr="00DF52FC" w:rsidRDefault="00263FB3" w:rsidP="005149FF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  <w:sz w:val="22"/>
          <w:u w:val="single"/>
        </w:rPr>
      </w:pPr>
      <w:r w:rsidRPr="00DF52FC">
        <w:rPr>
          <w:rFonts w:ascii="Arial" w:hAnsi="Arial" w:cs="Arial"/>
          <w:sz w:val="22"/>
          <w:u w:val="single"/>
        </w:rPr>
        <w:t xml:space="preserve">za države članice </w:t>
      </w:r>
    </w:p>
    <w:p w:rsidR="00263FB3" w:rsidRPr="00DF52FC" w:rsidRDefault="00263FB3" w:rsidP="005149FF">
      <w:pPr>
        <w:spacing w:after="0" w:line="240" w:lineRule="auto"/>
        <w:ind w:left="260"/>
        <w:rPr>
          <w:rFonts w:ascii="Arial" w:hAnsi="Arial" w:cs="Arial"/>
          <w:u w:val="single"/>
        </w:rPr>
      </w:pPr>
    </w:p>
    <w:p w:rsidR="00263FB3" w:rsidRPr="00DF52FC" w:rsidRDefault="00263FB3" w:rsidP="005149FF">
      <w:pPr>
        <w:numPr>
          <w:ilvl w:val="1"/>
          <w:numId w:val="8"/>
        </w:numPr>
        <w:spacing w:after="0" w:line="240" w:lineRule="auto"/>
        <w:ind w:right="59" w:hanging="360"/>
        <w:jc w:val="both"/>
        <w:rPr>
          <w:rFonts w:ascii="Arial" w:hAnsi="Arial" w:cs="Arial"/>
          <w:lang w:val="en-GB"/>
        </w:rPr>
      </w:pPr>
      <w:r w:rsidRPr="0018592C">
        <w:rPr>
          <w:rFonts w:ascii="Arial" w:hAnsi="Arial" w:cs="Arial"/>
        </w:rPr>
        <w:t>Dr</w:t>
      </w:r>
      <w:r w:rsidR="001B03E4">
        <w:rPr>
          <w:rFonts w:ascii="Arial" w:hAnsi="Arial" w:cs="Arial"/>
        </w:rPr>
        <w:t>žave članice bi trebale osigurati</w:t>
      </w:r>
      <w:r w:rsidRPr="0018592C">
        <w:rPr>
          <w:rFonts w:ascii="Arial" w:hAnsi="Arial" w:cs="Arial"/>
        </w:rPr>
        <w:t xml:space="preserve"> smjernice o čimbenicima rizika </w:t>
      </w:r>
      <w:r w:rsidR="00C4545F">
        <w:rPr>
          <w:rFonts w:ascii="Arial" w:hAnsi="Arial" w:cs="Arial"/>
        </w:rPr>
        <w:t>koji proizlaze iz tran</w:t>
      </w:r>
      <w:r w:rsidR="001B03E4">
        <w:rPr>
          <w:rFonts w:ascii="Arial" w:hAnsi="Arial" w:cs="Arial"/>
        </w:rPr>
        <w:t>sakcija s nekretninama i posebnu obuku</w:t>
      </w:r>
      <w:r w:rsidR="00C4545F">
        <w:rPr>
          <w:rFonts w:ascii="Arial" w:hAnsi="Arial" w:cs="Arial"/>
        </w:rPr>
        <w:t xml:space="preserve"> za suočavanje sa situacijama u kojima nekoliko stručnjaka sudjeluje u transakciji s nekretninama (posrednik u prometu nekretninama, pravni stručnjak, financijska institucija).</w:t>
      </w:r>
    </w:p>
    <w:p w:rsidR="00DF52FC" w:rsidRPr="00946D66" w:rsidRDefault="00DF52FC" w:rsidP="005149FF">
      <w:pPr>
        <w:spacing w:after="0" w:line="240" w:lineRule="auto"/>
        <w:ind w:left="720" w:right="59"/>
        <w:jc w:val="both"/>
        <w:rPr>
          <w:rFonts w:ascii="Arial" w:hAnsi="Arial" w:cs="Arial"/>
          <w:lang w:val="en-GB"/>
        </w:rPr>
      </w:pPr>
    </w:p>
    <w:p w:rsidR="00263FB3" w:rsidRPr="00C157AA" w:rsidRDefault="00263FB3" w:rsidP="00263FB3">
      <w:pPr>
        <w:spacing w:after="0" w:line="239" w:lineRule="auto"/>
        <w:ind w:left="720" w:right="59"/>
        <w:rPr>
          <w:rFonts w:ascii="Arial" w:hAnsi="Arial" w:cs="Arial"/>
          <w:lang w:val="en-GB"/>
        </w:rPr>
      </w:pPr>
    </w:p>
    <w:p w:rsidR="00263FB3" w:rsidRPr="00263FB3" w:rsidRDefault="00263FB3" w:rsidP="00263FB3">
      <w:pPr>
        <w:spacing w:after="0" w:line="238" w:lineRule="auto"/>
        <w:ind w:right="59"/>
        <w:jc w:val="both"/>
        <w:rPr>
          <w:rFonts w:ascii="Arial" w:hAnsi="Arial" w:cs="Arial"/>
          <w:b/>
          <w:color w:val="0000FF"/>
        </w:rPr>
      </w:pPr>
    </w:p>
    <w:p w:rsidR="00263FB3" w:rsidRPr="00BE5645" w:rsidRDefault="00263FB3" w:rsidP="00263FB3">
      <w:pPr>
        <w:spacing w:after="0"/>
        <w:jc w:val="both"/>
        <w:rPr>
          <w:rFonts w:ascii="Arial" w:hAnsi="Arial" w:cs="Arial"/>
          <w:lang w:val="en-US"/>
        </w:rPr>
      </w:pPr>
    </w:p>
    <w:p w:rsidR="00263FB3" w:rsidRPr="00DB4E79" w:rsidRDefault="00263FB3" w:rsidP="00263FB3">
      <w:pPr>
        <w:pStyle w:val="Tekstfusnote"/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BE5645">
        <w:rPr>
          <w:rFonts w:ascii="Arial" w:hAnsi="Arial" w:cs="Arial"/>
          <w:sz w:val="22"/>
          <w:lang w:val="en-US"/>
        </w:rPr>
        <w:t xml:space="preserve"> </w:t>
      </w:r>
    </w:p>
    <w:sectPr w:rsidR="00263FB3" w:rsidRPr="00DB4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4B" w:rsidRDefault="0034204B" w:rsidP="00D02185">
      <w:pPr>
        <w:spacing w:after="0" w:line="240" w:lineRule="auto"/>
      </w:pPr>
      <w:r>
        <w:separator/>
      </w:r>
    </w:p>
  </w:endnote>
  <w:endnote w:type="continuationSeparator" w:id="0">
    <w:p w:rsidR="0034204B" w:rsidRDefault="0034204B" w:rsidP="00D0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4B" w:rsidRDefault="0034204B" w:rsidP="00D02185">
      <w:pPr>
        <w:spacing w:after="0" w:line="240" w:lineRule="auto"/>
      </w:pPr>
      <w:r>
        <w:separator/>
      </w:r>
    </w:p>
  </w:footnote>
  <w:footnote w:type="continuationSeparator" w:id="0">
    <w:p w:rsidR="0034204B" w:rsidRDefault="0034204B" w:rsidP="00D0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176"/>
    <w:multiLevelType w:val="hybridMultilevel"/>
    <w:tmpl w:val="2124DB74"/>
    <w:lvl w:ilvl="0" w:tplc="9E4693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3AA0"/>
    <w:multiLevelType w:val="hybridMultilevel"/>
    <w:tmpl w:val="77B4B1AA"/>
    <w:lvl w:ilvl="0" w:tplc="9E4693A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E46C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49D76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2D01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8EA02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E6F04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CF5E0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E303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8E61E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EA2E49"/>
    <w:multiLevelType w:val="hybridMultilevel"/>
    <w:tmpl w:val="DA8606BA"/>
    <w:lvl w:ilvl="0" w:tplc="9E4693A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0C6E8">
      <w:start w:val="1"/>
      <w:numFmt w:val="bullet"/>
      <w:lvlText w:val="o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E5250">
      <w:start w:val="1"/>
      <w:numFmt w:val="bullet"/>
      <w:lvlText w:val="▪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6E35C">
      <w:start w:val="1"/>
      <w:numFmt w:val="bullet"/>
      <w:lvlText w:val="•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49B6A">
      <w:start w:val="1"/>
      <w:numFmt w:val="bullet"/>
      <w:lvlText w:val="o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0D248">
      <w:start w:val="1"/>
      <w:numFmt w:val="bullet"/>
      <w:lvlText w:val="▪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E9D18">
      <w:start w:val="1"/>
      <w:numFmt w:val="bullet"/>
      <w:lvlText w:val="•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64FE8">
      <w:start w:val="1"/>
      <w:numFmt w:val="bullet"/>
      <w:lvlText w:val="o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235F4">
      <w:start w:val="1"/>
      <w:numFmt w:val="bullet"/>
      <w:lvlText w:val="▪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277F6A"/>
    <w:multiLevelType w:val="hybridMultilevel"/>
    <w:tmpl w:val="8FBCBD78"/>
    <w:lvl w:ilvl="0" w:tplc="9E4693A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0C6E8">
      <w:start w:val="1"/>
      <w:numFmt w:val="bullet"/>
      <w:lvlText w:val="o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E5250">
      <w:start w:val="1"/>
      <w:numFmt w:val="bullet"/>
      <w:lvlText w:val="▪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6E35C">
      <w:start w:val="1"/>
      <w:numFmt w:val="bullet"/>
      <w:lvlText w:val="•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49B6A">
      <w:start w:val="1"/>
      <w:numFmt w:val="bullet"/>
      <w:lvlText w:val="o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0D248">
      <w:start w:val="1"/>
      <w:numFmt w:val="bullet"/>
      <w:lvlText w:val="▪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E9D18">
      <w:start w:val="1"/>
      <w:numFmt w:val="bullet"/>
      <w:lvlText w:val="•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64FE8">
      <w:start w:val="1"/>
      <w:numFmt w:val="bullet"/>
      <w:lvlText w:val="o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235F4">
      <w:start w:val="1"/>
      <w:numFmt w:val="bullet"/>
      <w:lvlText w:val="▪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75156F"/>
    <w:multiLevelType w:val="hybridMultilevel"/>
    <w:tmpl w:val="821E1B0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E01F6"/>
    <w:multiLevelType w:val="hybridMultilevel"/>
    <w:tmpl w:val="422E5D44"/>
    <w:lvl w:ilvl="0" w:tplc="831C7110">
      <w:start w:val="1"/>
      <w:numFmt w:val="lowerLetter"/>
      <w:lvlText w:val="(%1)"/>
      <w:lvlJc w:val="left"/>
      <w:pPr>
        <w:ind w:left="354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A8736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8724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A54D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C1CF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8EC1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AEC8E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EE99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0CED8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9F42F6"/>
    <w:multiLevelType w:val="hybridMultilevel"/>
    <w:tmpl w:val="21FC2212"/>
    <w:lvl w:ilvl="0" w:tplc="9E4693A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D02C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D11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4268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C0C2A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083B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E0CD4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CAD2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4CF44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725366"/>
    <w:multiLevelType w:val="hybridMultilevel"/>
    <w:tmpl w:val="4F3C2420"/>
    <w:lvl w:ilvl="0" w:tplc="9E4693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C6BFC"/>
    <w:multiLevelType w:val="hybridMultilevel"/>
    <w:tmpl w:val="CB3C62E8"/>
    <w:lvl w:ilvl="0" w:tplc="9E4693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35311"/>
    <w:multiLevelType w:val="hybridMultilevel"/>
    <w:tmpl w:val="184C7478"/>
    <w:lvl w:ilvl="0" w:tplc="46DCD8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83CE5"/>
    <w:multiLevelType w:val="hybridMultilevel"/>
    <w:tmpl w:val="CC4E80F8"/>
    <w:lvl w:ilvl="0" w:tplc="9E4693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A5A0D"/>
    <w:multiLevelType w:val="hybridMultilevel"/>
    <w:tmpl w:val="12E07BC2"/>
    <w:lvl w:ilvl="0" w:tplc="A2865A34">
      <w:start w:val="1"/>
      <w:numFmt w:val="decimal"/>
      <w:lvlText w:val="%1)"/>
      <w:lvlJc w:val="left"/>
      <w:pPr>
        <w:ind w:left="2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46DCD8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EF1FE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2C2BDA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8216C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ABA8C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49C14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E471E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2DC7C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B9491E"/>
    <w:multiLevelType w:val="hybridMultilevel"/>
    <w:tmpl w:val="B29239E4"/>
    <w:lvl w:ilvl="0" w:tplc="9E4693A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D02C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D11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4268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C0C2A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083B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E0CD4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CAD24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4CF44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85"/>
    <w:rsid w:val="00036A14"/>
    <w:rsid w:val="000C2650"/>
    <w:rsid w:val="000F0265"/>
    <w:rsid w:val="00143BBA"/>
    <w:rsid w:val="00147BEE"/>
    <w:rsid w:val="0016222D"/>
    <w:rsid w:val="00167491"/>
    <w:rsid w:val="001B03E4"/>
    <w:rsid w:val="00263FB3"/>
    <w:rsid w:val="0027189B"/>
    <w:rsid w:val="00274CA3"/>
    <w:rsid w:val="002A28F0"/>
    <w:rsid w:val="002C0E8E"/>
    <w:rsid w:val="002E06F4"/>
    <w:rsid w:val="0034204B"/>
    <w:rsid w:val="003775FC"/>
    <w:rsid w:val="003C60C6"/>
    <w:rsid w:val="00400A73"/>
    <w:rsid w:val="00427E95"/>
    <w:rsid w:val="005149FF"/>
    <w:rsid w:val="005A598F"/>
    <w:rsid w:val="005C31AC"/>
    <w:rsid w:val="005C7E06"/>
    <w:rsid w:val="005D40A4"/>
    <w:rsid w:val="005D4672"/>
    <w:rsid w:val="005E09CB"/>
    <w:rsid w:val="00603E51"/>
    <w:rsid w:val="006D2448"/>
    <w:rsid w:val="006E1191"/>
    <w:rsid w:val="00723AF8"/>
    <w:rsid w:val="00785448"/>
    <w:rsid w:val="00872054"/>
    <w:rsid w:val="00872B6D"/>
    <w:rsid w:val="008736BE"/>
    <w:rsid w:val="00893991"/>
    <w:rsid w:val="008F718C"/>
    <w:rsid w:val="008F7319"/>
    <w:rsid w:val="0092784E"/>
    <w:rsid w:val="009321B6"/>
    <w:rsid w:val="009E7373"/>
    <w:rsid w:val="00A16187"/>
    <w:rsid w:val="00A400F6"/>
    <w:rsid w:val="00A4349B"/>
    <w:rsid w:val="00AD2E4D"/>
    <w:rsid w:val="00AE040B"/>
    <w:rsid w:val="00B26F29"/>
    <w:rsid w:val="00B54CDB"/>
    <w:rsid w:val="00B71FDB"/>
    <w:rsid w:val="00B85629"/>
    <w:rsid w:val="00C4545F"/>
    <w:rsid w:val="00C73E28"/>
    <w:rsid w:val="00C8265A"/>
    <w:rsid w:val="00CE449F"/>
    <w:rsid w:val="00CE6C82"/>
    <w:rsid w:val="00D02185"/>
    <w:rsid w:val="00D424E6"/>
    <w:rsid w:val="00DB4E79"/>
    <w:rsid w:val="00DD18D0"/>
    <w:rsid w:val="00DE2E86"/>
    <w:rsid w:val="00DF52FC"/>
    <w:rsid w:val="00E03074"/>
    <w:rsid w:val="00E60A4F"/>
    <w:rsid w:val="00F03C06"/>
    <w:rsid w:val="00F358A1"/>
    <w:rsid w:val="00F41E2D"/>
    <w:rsid w:val="00F57D71"/>
    <w:rsid w:val="00FA0663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202C-54FC-4051-8572-337081FE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nhideWhenUsed/>
    <w:rsid w:val="00D021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D0218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02185"/>
    <w:rPr>
      <w:vertAlign w:val="superscript"/>
    </w:rPr>
  </w:style>
  <w:style w:type="table" w:customStyle="1" w:styleId="TableGrid">
    <w:name w:val="TableGrid"/>
    <w:rsid w:val="00B26F2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B26F29"/>
    <w:pPr>
      <w:spacing w:after="226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customStyle="1" w:styleId="tlid-translation">
    <w:name w:val="tlid-translation"/>
    <w:basedOn w:val="Zadanifontodlomka"/>
    <w:rsid w:val="00263FB3"/>
  </w:style>
  <w:style w:type="paragraph" w:styleId="Tekstbalonia">
    <w:name w:val="Balloon Text"/>
    <w:basedOn w:val="Normal"/>
    <w:link w:val="TekstbaloniaChar"/>
    <w:uiPriority w:val="99"/>
    <w:semiHidden/>
    <w:unhideWhenUsed/>
    <w:rsid w:val="003C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4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6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4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89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71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056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8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794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1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3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0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30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5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6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974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7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9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36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7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85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62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8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359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429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34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0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45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3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5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6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0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105F-A44C-44B9-970E-1F38CCCA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Brlić</dc:creator>
  <cp:keywords/>
  <dc:description/>
  <cp:lastModifiedBy>Jadranka Brlić</cp:lastModifiedBy>
  <cp:revision>26</cp:revision>
  <cp:lastPrinted>2019-03-28T13:42:00Z</cp:lastPrinted>
  <dcterms:created xsi:type="dcterms:W3CDTF">2019-03-27T12:44:00Z</dcterms:created>
  <dcterms:modified xsi:type="dcterms:W3CDTF">2019-04-09T10:54:00Z</dcterms:modified>
</cp:coreProperties>
</file>