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754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NACRT</w:t>
      </w:r>
    </w:p>
    <w:p w14:paraId="7B343D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temelju članka 31. Statuta Hrvatske gospodarske komore („Narodne novine“ broj 67/22, 113/23) te Odluke o strukovnim udruženjima u Hrvatskoj gospodarskoj komori (KLASA: 025-02/25-02/3, URBROJ: 311-02-00-00-25-3 od 6. ožujka 2025. godine) i Odluke o izmjeni i dopuni Odluke o strukovnim udruženjima Hrvatske gospodarske komore (KLASA: 025-02/26-02/9, URBROJ: 311-02-00-00-26-2 od 27. kolovoza 2026. godine), Udruženje cestovnog prometa Hrvatske gospodarske komore na sjednici održanoj 29. rujna 2026. godine donijelo je </w:t>
      </w:r>
    </w:p>
    <w:p w14:paraId="342F4609">
      <w:pPr>
        <w:jc w:val="both"/>
        <w:rPr>
          <w:rFonts w:ascii="Arial" w:hAnsi="Arial" w:cs="Arial"/>
          <w:sz w:val="24"/>
          <w:szCs w:val="24"/>
        </w:rPr>
      </w:pPr>
    </w:p>
    <w:p w14:paraId="2369972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POSLOVNIK O IZMJENAMA I DOPUNAMA POSLOVNIKA O RADU UDRUŽENJA  CESTOVNOG PROMETA HRVATSKE GOSPODARSKE KOMORE</w:t>
      </w:r>
    </w:p>
    <w:p w14:paraId="1F8B3A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85F727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Članak 1. </w:t>
      </w:r>
    </w:p>
    <w:p w14:paraId="2370D8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Članak 2. stavci 1 i 2 Poslovnika o radu Udruženja cestovnog prometa HGK, KLASA: 025-01/22-03/13, URBROJ: 311-10-00-00/491-22-1 od 9. rujna 2022. godine mijenjaju se i glase: </w:t>
      </w:r>
    </w:p>
    <w:p w14:paraId="3C03022D">
      <w:pPr>
        <w:ind w:left="454" w:hanging="454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„(1) Članove Udruženja čine obvezni i dobrovoljni članovi Hrvatske gospodarske komore (dalje: HGK) koji plaćaju članarinu, a obavljaju kao glavne ili sporedne sljedeće djelatnosti sukladno Nacionalnoj klasifikaciji djelatnosti 2025. – NKD 2025. (NN 47/24):  Područje H - Prijevoz i skladištenje:</w:t>
      </w:r>
    </w:p>
    <w:p w14:paraId="52D91126">
      <w:pPr>
        <w:pStyle w:val="10"/>
        <w:rPr>
          <w:rFonts w:eastAsia="Calibri"/>
          <w:i/>
          <w:iCs/>
        </w:rPr>
      </w:pPr>
      <w:r>
        <w:rPr>
          <w:rFonts w:eastAsia="Calibri"/>
          <w:i/>
          <w:iCs/>
        </w:rPr>
        <w:tab/>
      </w:r>
      <w:r>
        <w:rPr>
          <w:rFonts w:eastAsia="Calibri"/>
          <w:i/>
          <w:iCs/>
        </w:rPr>
        <w:t>odjeljka           49        Kopneni prijevoz i cjevovodni transport</w:t>
      </w:r>
    </w:p>
    <w:p w14:paraId="6C73BF16">
      <w:pPr>
        <w:pStyle w:val="10"/>
        <w:ind w:left="708"/>
        <w:rPr>
          <w:rFonts w:eastAsia="Calibri"/>
          <w:i/>
          <w:iCs/>
        </w:rPr>
      </w:pPr>
      <w:r>
        <w:rPr>
          <w:rFonts w:eastAsia="Calibri"/>
          <w:i/>
          <w:iCs/>
        </w:rPr>
        <w:t>skupine           49.3     Ostali kopneni prijevoz putnika</w:t>
      </w:r>
    </w:p>
    <w:p w14:paraId="2F76987E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razreda           49.31   Linijski cestovni prijevoz putnika</w:t>
      </w:r>
    </w:p>
    <w:p w14:paraId="73C4EA05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razreda           49.32   Povremeni cestovni prijevoz putnika</w:t>
      </w:r>
    </w:p>
    <w:p w14:paraId="6452B042">
      <w:pPr>
        <w:pStyle w:val="10"/>
        <w:ind w:left="3090" w:hanging="2381"/>
        <w:jc w:val="both"/>
        <w:rPr>
          <w:rFonts w:eastAsia="Calibri"/>
          <w:i/>
          <w:iCs/>
        </w:rPr>
      </w:pPr>
      <w:r>
        <w:rPr>
          <w:rFonts w:eastAsia="Calibri"/>
          <w:i/>
          <w:iCs/>
        </w:rPr>
        <w:t>razreda      </w:t>
      </w:r>
      <w:bookmarkStart w:id="0" w:name="_GoBack"/>
      <w:bookmarkEnd w:id="0"/>
      <w:r>
        <w:rPr>
          <w:rFonts w:eastAsia="Calibri"/>
          <w:i/>
          <w:iCs/>
        </w:rPr>
        <w:t>    49.33   Uslužne djelatnosti prijevoza putnika vozilom s vozačem na zahtjev</w:t>
      </w:r>
    </w:p>
    <w:p w14:paraId="5340CA4A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razreda           49.39   Ostali kopneni prijevoz putnika, d.n.</w:t>
      </w:r>
    </w:p>
    <w:p w14:paraId="779D4B73">
      <w:pPr>
        <w:pStyle w:val="10"/>
        <w:rPr>
          <w:rFonts w:eastAsia="Calibri"/>
          <w:i/>
          <w:iCs/>
        </w:rPr>
      </w:pPr>
      <w:r>
        <w:rPr>
          <w:rFonts w:eastAsia="Calibri"/>
          <w:i/>
          <w:iCs/>
        </w:rPr>
        <w:t> </w:t>
      </w:r>
    </w:p>
    <w:p w14:paraId="6864816C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skupine           49.4     Cestovni prijevoz robe i usluge preseljenja</w:t>
      </w:r>
    </w:p>
    <w:p w14:paraId="72C5F5CE">
      <w:pPr>
        <w:pStyle w:val="10"/>
        <w:rPr>
          <w:rFonts w:eastAsia="Calibri"/>
          <w:i/>
          <w:iCs/>
        </w:rPr>
      </w:pPr>
      <w:r>
        <w:rPr>
          <w:rFonts w:eastAsia="Calibri"/>
          <w:i/>
          <w:iCs/>
        </w:rPr>
        <w:t> </w:t>
      </w:r>
    </w:p>
    <w:p w14:paraId="2F73DD6B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odjeljka           52        Skladištenje i prateće djelatnosti u prijevozu</w:t>
      </w:r>
    </w:p>
    <w:p w14:paraId="0B0215D6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skupine           52.2     Prateće djelatnosti u prijevozu</w:t>
      </w:r>
    </w:p>
    <w:p w14:paraId="6A0C5C8D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razreda           52.21   Uslužne djelatnosti u vezi s kopnenim prijevozom</w:t>
      </w:r>
    </w:p>
    <w:p w14:paraId="774774B2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razreda           52.24   Prekrcaj tereta</w:t>
      </w:r>
    </w:p>
    <w:p w14:paraId="0B54CAF3">
      <w:pPr>
        <w:pStyle w:val="10"/>
        <w:ind w:firstLine="708"/>
        <w:rPr>
          <w:rFonts w:eastAsia="Calibri"/>
          <w:i/>
          <w:iCs/>
        </w:rPr>
      </w:pPr>
      <w:r>
        <w:rPr>
          <w:rFonts w:eastAsia="Calibri"/>
          <w:i/>
          <w:iCs/>
        </w:rPr>
        <w:t>razreda           52.26   Ostale prateće djelatnosti u prijevozu.</w:t>
      </w:r>
    </w:p>
    <w:p w14:paraId="1AB2F0CC">
      <w:pPr>
        <w:tabs>
          <w:tab w:val="left" w:pos="426"/>
        </w:tabs>
        <w:spacing w:after="120" w:line="264" w:lineRule="auto"/>
        <w:jc w:val="both"/>
        <w:rPr>
          <w:rFonts w:ascii="Arial" w:hAnsi="Arial" w:eastAsia="Calibri" w:cs="Arial"/>
          <w:sz w:val="24"/>
          <w:szCs w:val="24"/>
        </w:rPr>
      </w:pPr>
    </w:p>
    <w:p w14:paraId="5DCC91FB">
      <w:pPr>
        <w:pStyle w:val="9"/>
        <w:numPr>
          <w:ilvl w:val="0"/>
          <w:numId w:val="1"/>
        </w:numPr>
        <w:tabs>
          <w:tab w:val="left" w:pos="426"/>
        </w:tabs>
        <w:spacing w:after="120" w:line="264" w:lineRule="auto"/>
        <w:jc w:val="both"/>
        <w:rPr>
          <w:rFonts w:ascii="Arial" w:hAnsi="Arial" w:eastAsia="Calibri" w:cs="Arial"/>
          <w:i/>
          <w:iCs/>
          <w:sz w:val="24"/>
          <w:szCs w:val="24"/>
        </w:rPr>
      </w:pPr>
      <w:r>
        <w:rPr>
          <w:rFonts w:ascii="Arial" w:hAnsi="Arial" w:eastAsia="Calibri" w:cs="Arial"/>
          <w:i/>
          <w:iCs/>
          <w:sz w:val="24"/>
          <w:szCs w:val="24"/>
        </w:rPr>
        <w:t>Svaki član Udruženja na sjednici Udruženja ostvaruje pravo glasa ovisno o visini mjesečne članarine koju plaća Hrvatskoj gospodarskoj komori i to prema sljedećim pragovima:</w:t>
      </w:r>
    </w:p>
    <w:p w14:paraId="632C2AA2">
      <w:pPr>
        <w:pStyle w:val="9"/>
        <w:numPr>
          <w:ilvl w:val="0"/>
          <w:numId w:val="2"/>
        </w:numPr>
        <w:tabs>
          <w:tab w:val="left" w:pos="426"/>
        </w:tabs>
        <w:spacing w:after="120" w:line="264" w:lineRule="auto"/>
        <w:jc w:val="both"/>
        <w:rPr>
          <w:rFonts w:ascii="Arial" w:hAnsi="Arial" w:eastAsia="Calibri" w:cs="Arial"/>
          <w:i/>
          <w:iCs/>
          <w:sz w:val="24"/>
          <w:szCs w:val="24"/>
        </w:rPr>
      </w:pPr>
      <w:r>
        <w:rPr>
          <w:rFonts w:ascii="Arial" w:hAnsi="Arial" w:eastAsia="Calibri" w:cs="Arial"/>
          <w:i/>
          <w:iCs/>
          <w:sz w:val="24"/>
          <w:szCs w:val="24"/>
        </w:rPr>
        <w:t>20,00 EUR mjesečno – 2 glasa</w:t>
      </w:r>
    </w:p>
    <w:p w14:paraId="24D57AC9">
      <w:pPr>
        <w:pStyle w:val="9"/>
        <w:numPr>
          <w:ilvl w:val="0"/>
          <w:numId w:val="2"/>
        </w:numPr>
        <w:tabs>
          <w:tab w:val="left" w:pos="426"/>
        </w:tabs>
        <w:spacing w:after="120" w:line="264" w:lineRule="auto"/>
        <w:jc w:val="both"/>
        <w:rPr>
          <w:rFonts w:ascii="Arial" w:hAnsi="Arial" w:eastAsia="Calibri" w:cs="Arial"/>
          <w:i/>
          <w:iCs/>
          <w:sz w:val="24"/>
          <w:szCs w:val="24"/>
        </w:rPr>
      </w:pPr>
      <w:r>
        <w:rPr>
          <w:rFonts w:ascii="Arial" w:hAnsi="Arial" w:eastAsia="Calibri" w:cs="Arial"/>
          <w:i/>
          <w:iCs/>
          <w:sz w:val="24"/>
          <w:szCs w:val="24"/>
        </w:rPr>
        <w:t>143,74 EUR mjesečno – 12 glasova</w:t>
      </w:r>
    </w:p>
    <w:p w14:paraId="03A91A86">
      <w:pPr>
        <w:pStyle w:val="9"/>
        <w:numPr>
          <w:ilvl w:val="0"/>
          <w:numId w:val="2"/>
        </w:numPr>
        <w:tabs>
          <w:tab w:val="left" w:pos="426"/>
        </w:tabs>
        <w:spacing w:after="120" w:line="264" w:lineRule="auto"/>
        <w:jc w:val="both"/>
        <w:rPr>
          <w:rFonts w:ascii="Arial" w:hAnsi="Arial" w:eastAsia="Calibri" w:cs="Arial"/>
          <w:i/>
          <w:iCs/>
          <w:sz w:val="24"/>
          <w:szCs w:val="24"/>
        </w:rPr>
      </w:pPr>
      <w:r>
        <w:rPr>
          <w:rFonts w:ascii="Arial" w:hAnsi="Arial" w:eastAsia="Calibri" w:cs="Arial"/>
          <w:i/>
          <w:iCs/>
          <w:sz w:val="24"/>
          <w:szCs w:val="24"/>
        </w:rPr>
        <w:t>527,31 EUR mjesečno – 40 glasova.“</w:t>
      </w:r>
    </w:p>
    <w:p w14:paraId="66AA9EC2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Članak 2. </w:t>
      </w:r>
    </w:p>
    <w:p w14:paraId="4E68A8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Ovaj Poslovnik stupa na snagu danom donošenja. </w:t>
      </w:r>
    </w:p>
    <w:p w14:paraId="742E9557">
      <w:pPr>
        <w:jc w:val="both"/>
        <w:rPr>
          <w:rFonts w:ascii="Arial" w:hAnsi="Arial" w:cs="Arial"/>
          <w:sz w:val="24"/>
          <w:szCs w:val="24"/>
        </w:rPr>
      </w:pPr>
    </w:p>
    <w:p w14:paraId="22D302D5">
      <w:pPr>
        <w:spacing w:after="0"/>
        <w:ind w:left="2126"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PREDSJEDNIK UDRUŽENJA CESTOVNOG PROMETA</w:t>
      </w:r>
    </w:p>
    <w:p w14:paraId="09555580">
      <w:pPr>
        <w:spacing w:after="0"/>
        <w:ind w:left="21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HGK</w:t>
      </w:r>
    </w:p>
    <w:p w14:paraId="233682A7">
      <w:pPr>
        <w:spacing w:after="0"/>
        <w:rPr>
          <w:rFonts w:ascii="Arial" w:hAnsi="Arial" w:cs="Arial"/>
          <w:sz w:val="24"/>
          <w:szCs w:val="24"/>
        </w:rPr>
      </w:pPr>
    </w:p>
    <w:p w14:paraId="126E9F16">
      <w:pPr>
        <w:spacing w:after="0"/>
        <w:rPr>
          <w:rFonts w:ascii="Arial" w:hAnsi="Arial" w:cs="Arial"/>
          <w:sz w:val="24"/>
          <w:szCs w:val="24"/>
        </w:rPr>
      </w:pPr>
    </w:p>
    <w:p w14:paraId="5818DA6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KLASA:</w:t>
      </w:r>
    </w:p>
    <w:p w14:paraId="68420F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URBROJ: </w:t>
      </w:r>
    </w:p>
    <w:p w14:paraId="4D6812B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Zagrebu, 29. rujna 2026. godine</w:t>
      </w:r>
    </w:p>
    <w:sectPr>
      <w:footerReference r:id="rId5" w:type="default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801310"/>
      <w:docPartObj>
        <w:docPartGallery w:val="AutoText"/>
      </w:docPartObj>
    </w:sdtPr>
    <w:sdtContent>
      <w:p w14:paraId="607FF22D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B04DA3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971291"/>
    <w:multiLevelType w:val="multilevel"/>
    <w:tmpl w:val="02971291"/>
    <w:lvl w:ilvl="0" w:tentative="0">
      <w:start w:val="2"/>
      <w:numFmt w:val="bullet"/>
      <w:lvlText w:val="-"/>
      <w:lvlJc w:val="left"/>
      <w:pPr>
        <w:ind w:left="780" w:hanging="360"/>
      </w:pPr>
      <w:rPr>
        <w:rFonts w:hint="default" w:ascii="Arial" w:hAnsi="Arial" w:eastAsia="Calibri" w:cs="Arial"/>
      </w:rPr>
    </w:lvl>
    <w:lvl w:ilvl="1" w:tentative="0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">
    <w:nsid w:val="0E2C55D6"/>
    <w:multiLevelType w:val="multilevel"/>
    <w:tmpl w:val="0E2C55D6"/>
    <w:lvl w:ilvl="0" w:tentative="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60A"/>
    <w:rsid w:val="000166F2"/>
    <w:rsid w:val="00044BB8"/>
    <w:rsid w:val="000C7B72"/>
    <w:rsid w:val="00253156"/>
    <w:rsid w:val="003D4DBD"/>
    <w:rsid w:val="00437FFD"/>
    <w:rsid w:val="004E7C85"/>
    <w:rsid w:val="005228E5"/>
    <w:rsid w:val="005512FC"/>
    <w:rsid w:val="00571EF9"/>
    <w:rsid w:val="00586346"/>
    <w:rsid w:val="005E0683"/>
    <w:rsid w:val="00626A19"/>
    <w:rsid w:val="00636764"/>
    <w:rsid w:val="006D2FD2"/>
    <w:rsid w:val="006D43B0"/>
    <w:rsid w:val="006E4805"/>
    <w:rsid w:val="007355D4"/>
    <w:rsid w:val="0075360A"/>
    <w:rsid w:val="00762370"/>
    <w:rsid w:val="0083173D"/>
    <w:rsid w:val="009609DE"/>
    <w:rsid w:val="009A2F8D"/>
    <w:rsid w:val="009B05A8"/>
    <w:rsid w:val="00A810CB"/>
    <w:rsid w:val="00AE45FD"/>
    <w:rsid w:val="00AE6661"/>
    <w:rsid w:val="00B0016C"/>
    <w:rsid w:val="00B257D9"/>
    <w:rsid w:val="00B71A77"/>
    <w:rsid w:val="00B82D8C"/>
    <w:rsid w:val="00BC07D7"/>
    <w:rsid w:val="00C04B59"/>
    <w:rsid w:val="00C21CC9"/>
    <w:rsid w:val="00CA1801"/>
    <w:rsid w:val="00CC0E2F"/>
    <w:rsid w:val="00CD54B2"/>
    <w:rsid w:val="00D94675"/>
    <w:rsid w:val="00DA475D"/>
    <w:rsid w:val="00E04819"/>
    <w:rsid w:val="00E63790"/>
    <w:rsid w:val="00EB5970"/>
    <w:rsid w:val="00F0433E"/>
    <w:rsid w:val="00F93005"/>
    <w:rsid w:val="37B6048E"/>
    <w:rsid w:val="4449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semiHidden/>
    <w:unhideWhenUsed/>
    <w:uiPriority w:val="99"/>
    <w:rPr>
      <w:rFonts w:ascii="Times New Roman" w:hAnsi="Times New Roman" w:cs="Times New Roman"/>
      <w:sz w:val="24"/>
      <w:szCs w:val="24"/>
    </w:rPr>
  </w:style>
  <w:style w:type="character" w:customStyle="1" w:styleId="7">
    <w:name w:val="Header Char"/>
    <w:basedOn w:val="2"/>
    <w:link w:val="5"/>
    <w:qFormat/>
    <w:uiPriority w:val="99"/>
  </w:style>
  <w:style w:type="character" w:customStyle="1" w:styleId="8">
    <w:name w:val="Footer Char"/>
    <w:basedOn w:val="2"/>
    <w:link w:val="4"/>
    <w:qFormat/>
    <w:uiPriority w:val="99"/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val="hr-HR" w:eastAsia="hr-HR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Hrvatska gospodarska komora</Company>
  <Pages>2</Pages>
  <Words>300</Words>
  <Characters>1871</Characters>
  <Lines>16</Lines>
  <Paragraphs>4</Paragraphs>
  <TotalTime>57</TotalTime>
  <ScaleCrop>false</ScaleCrop>
  <LinksUpToDate>false</LinksUpToDate>
  <CharactersWithSpaces>2324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2026-08-27T14:07:00Z</dcterms:created>
  <dc:creator>Tihana Kukavčić</dc:creator>
  <cp:lastModifiedBy>ifresl</cp:lastModifiedBy>
  <dcterms:modified xsi:type="dcterms:W3CDTF">2026-09-04T10:26:54Z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eyJoZGlkIjoiMjQ1ZjAyOTI5Y2NlYTZkMWJiY2IyZTYwM2QxMDFhMzIifQ==</vt:lpwstr>
  </property>
  <property fmtid="{D5CDD505-2E9C-101B-9397-08002B2CF9AE}" pid="3" name="KSOProductBuildVer">
    <vt:lpwstr>1033-12.1.0.28485</vt:lpwstr>
  </property>
  <property fmtid="{D5CDD505-2E9C-101B-9397-08002B2CF9AE}" pid="4" name="ICV">
    <vt:lpwstr>FBCB8977EF5046D39AD3BDDA3B374A9A_13</vt:lpwstr>
  </property>
</Properties>
</file>