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BE243" w14:textId="77777777" w:rsidR="002A4772" w:rsidRPr="003414D5" w:rsidRDefault="002A4772" w:rsidP="003414D5">
      <w:pPr>
        <w:jc w:val="left"/>
        <w:rPr>
          <w:rFonts w:cs="Times New Roman"/>
          <w:sz w:val="28"/>
          <w:szCs w:val="28"/>
        </w:rPr>
      </w:pPr>
      <w:bookmarkStart w:id="0" w:name="_GoBack"/>
      <w:bookmarkEnd w:id="0"/>
    </w:p>
    <w:p w14:paraId="0903F1F8" w14:textId="77777777" w:rsidR="002A4772" w:rsidRPr="003414D5" w:rsidRDefault="002A4772" w:rsidP="003414D5">
      <w:pPr>
        <w:jc w:val="center"/>
        <w:rPr>
          <w:rFonts w:cs="Times New Roman"/>
          <w:sz w:val="28"/>
          <w:szCs w:val="28"/>
        </w:rPr>
      </w:pPr>
      <w:r w:rsidRPr="003414D5">
        <w:rPr>
          <w:rFonts w:cs="Times New Roman"/>
          <w:sz w:val="28"/>
          <w:szCs w:val="28"/>
        </w:rPr>
        <w:t>REPUBLIKA HRVATSKA</w:t>
      </w:r>
    </w:p>
    <w:p w14:paraId="301BA8D0" w14:textId="52D8CEA9" w:rsidR="002A4772" w:rsidRPr="003414D5" w:rsidRDefault="003414D5" w:rsidP="003414D5">
      <w:pPr>
        <w:jc w:val="center"/>
        <w:rPr>
          <w:rFonts w:cs="Times New Roman"/>
          <w:sz w:val="28"/>
          <w:szCs w:val="28"/>
        </w:rPr>
      </w:pPr>
      <w:r w:rsidRPr="003414D5">
        <w:rPr>
          <w:rFonts w:cs="Times New Roman"/>
          <w:sz w:val="28"/>
          <w:szCs w:val="28"/>
        </w:rPr>
        <w:t>MINISTARSTVO ZAŠ</w:t>
      </w:r>
      <w:r w:rsidR="002A4772" w:rsidRPr="003414D5">
        <w:rPr>
          <w:rFonts w:cs="Times New Roman"/>
          <w:sz w:val="28"/>
          <w:szCs w:val="28"/>
        </w:rPr>
        <w:t>TITE OKOLIŠA I ENERGETIKE</w:t>
      </w:r>
    </w:p>
    <w:p w14:paraId="75A8A41E" w14:textId="77777777" w:rsidR="002A4772" w:rsidRPr="003414D5" w:rsidRDefault="002A4772" w:rsidP="003414D5">
      <w:pPr>
        <w:jc w:val="left"/>
        <w:rPr>
          <w:rFonts w:cs="Times New Roman"/>
          <w:sz w:val="28"/>
          <w:szCs w:val="28"/>
        </w:rPr>
      </w:pPr>
    </w:p>
    <w:p w14:paraId="61BB3179" w14:textId="77777777" w:rsidR="00581EF2" w:rsidRPr="003414D5" w:rsidRDefault="00581EF2" w:rsidP="003414D5">
      <w:pPr>
        <w:jc w:val="left"/>
        <w:rPr>
          <w:rFonts w:cs="Times New Roman"/>
          <w:sz w:val="28"/>
          <w:szCs w:val="28"/>
        </w:rPr>
      </w:pPr>
    </w:p>
    <w:p w14:paraId="61AD0FF4" w14:textId="6BF5A9F8" w:rsidR="002A4772" w:rsidRPr="003414D5" w:rsidRDefault="002A4772" w:rsidP="003414D5">
      <w:pPr>
        <w:ind w:left="7080" w:firstLine="708"/>
        <w:jc w:val="left"/>
        <w:rPr>
          <w:rFonts w:cs="Times New Roman"/>
          <w:sz w:val="28"/>
          <w:szCs w:val="28"/>
        </w:rPr>
      </w:pPr>
      <w:r w:rsidRPr="003414D5">
        <w:rPr>
          <w:rFonts w:cs="Times New Roman"/>
          <w:sz w:val="28"/>
          <w:szCs w:val="28"/>
        </w:rPr>
        <w:t>NACRT</w:t>
      </w:r>
    </w:p>
    <w:p w14:paraId="4749E3A0" w14:textId="77777777" w:rsidR="002A4772" w:rsidRPr="003414D5" w:rsidRDefault="002A4772" w:rsidP="003414D5">
      <w:pPr>
        <w:jc w:val="left"/>
        <w:rPr>
          <w:rFonts w:cs="Times New Roman"/>
          <w:sz w:val="28"/>
          <w:szCs w:val="28"/>
        </w:rPr>
      </w:pPr>
    </w:p>
    <w:p w14:paraId="53B5C0DF" w14:textId="77777777" w:rsidR="002A4772" w:rsidRPr="006414E6" w:rsidRDefault="002A4772" w:rsidP="002A4772">
      <w:pPr>
        <w:tabs>
          <w:tab w:val="left" w:pos="5387"/>
        </w:tabs>
        <w:spacing w:line="280" w:lineRule="exact"/>
        <w:rPr>
          <w:rFonts w:cs="Times New Roman"/>
          <w:sz w:val="32"/>
          <w:szCs w:val="32"/>
        </w:rPr>
      </w:pPr>
    </w:p>
    <w:p w14:paraId="7EB51E36" w14:textId="77777777" w:rsidR="002A4772" w:rsidRPr="006414E6" w:rsidRDefault="002A4772" w:rsidP="002A4772">
      <w:pPr>
        <w:tabs>
          <w:tab w:val="left" w:pos="5387"/>
        </w:tabs>
        <w:spacing w:line="280" w:lineRule="exact"/>
        <w:rPr>
          <w:rFonts w:cs="Times New Roman"/>
          <w:sz w:val="32"/>
          <w:szCs w:val="32"/>
        </w:rPr>
      </w:pPr>
    </w:p>
    <w:p w14:paraId="0554F50F" w14:textId="77777777" w:rsidR="002A4772" w:rsidRPr="006414E6" w:rsidRDefault="002A4772" w:rsidP="002A4772">
      <w:pPr>
        <w:tabs>
          <w:tab w:val="left" w:pos="5387"/>
        </w:tabs>
        <w:spacing w:line="280" w:lineRule="exact"/>
        <w:rPr>
          <w:rFonts w:cs="Times New Roman"/>
          <w:sz w:val="32"/>
          <w:szCs w:val="32"/>
        </w:rPr>
      </w:pPr>
    </w:p>
    <w:p w14:paraId="3DE46CC3" w14:textId="168A877E" w:rsidR="002A4772" w:rsidRPr="00EE3488" w:rsidRDefault="002A4772" w:rsidP="00EE3488">
      <w:pPr>
        <w:pStyle w:val="Title"/>
      </w:pPr>
      <w:r w:rsidRPr="00EE3488">
        <w:t>PRIJEDLOG STRATEGIJE NISKOUGLJIČNOG RAZVOJA</w:t>
      </w:r>
      <w:r w:rsidR="0063004A" w:rsidRPr="00EE3488">
        <w:t xml:space="preserve"> </w:t>
      </w:r>
      <w:r w:rsidRPr="00EE3488">
        <w:t>REPUBLIKE HRVATSKE</w:t>
      </w:r>
      <w:r w:rsidR="0063004A" w:rsidRPr="00EE3488">
        <w:t xml:space="preserve"> </w:t>
      </w:r>
      <w:r w:rsidRPr="00EE3488">
        <w:t>DO 2030. S POGLEDOM NA 2050. GODINU</w:t>
      </w:r>
    </w:p>
    <w:p w14:paraId="7F2D375F" w14:textId="77777777" w:rsidR="002A4772" w:rsidRPr="006414E6" w:rsidRDefault="002A4772" w:rsidP="0063004A"/>
    <w:p w14:paraId="04B2431B" w14:textId="77777777" w:rsidR="002A4772" w:rsidRPr="006414E6" w:rsidRDefault="002A4772" w:rsidP="002A4772">
      <w:pPr>
        <w:tabs>
          <w:tab w:val="left" w:pos="5387"/>
        </w:tabs>
        <w:spacing w:line="280" w:lineRule="exact"/>
        <w:rPr>
          <w:rFonts w:cs="Times New Roman"/>
          <w:sz w:val="32"/>
          <w:szCs w:val="32"/>
        </w:rPr>
      </w:pPr>
    </w:p>
    <w:p w14:paraId="45C52592" w14:textId="77777777" w:rsidR="002A4772" w:rsidRPr="006414E6" w:rsidRDefault="002A4772" w:rsidP="002A4772">
      <w:pPr>
        <w:jc w:val="left"/>
        <w:rPr>
          <w:rFonts w:cs="Times New Roman"/>
          <w:sz w:val="28"/>
          <w:szCs w:val="28"/>
        </w:rPr>
      </w:pPr>
    </w:p>
    <w:p w14:paraId="373F25CF" w14:textId="77777777" w:rsidR="002A4772" w:rsidRPr="006414E6" w:rsidRDefault="002A4772" w:rsidP="002A4772">
      <w:pPr>
        <w:jc w:val="left"/>
        <w:rPr>
          <w:rFonts w:cs="Times New Roman"/>
          <w:sz w:val="28"/>
          <w:szCs w:val="28"/>
        </w:rPr>
      </w:pPr>
    </w:p>
    <w:p w14:paraId="0C9A52E4" w14:textId="0F39AA60" w:rsidR="002A4772" w:rsidRPr="006414E6" w:rsidRDefault="002A4772" w:rsidP="002A4772">
      <w:pPr>
        <w:jc w:val="left"/>
        <w:rPr>
          <w:rFonts w:cs="Times New Roman"/>
          <w:sz w:val="28"/>
          <w:szCs w:val="28"/>
        </w:rPr>
      </w:pPr>
    </w:p>
    <w:p w14:paraId="176A9C65" w14:textId="77777777" w:rsidR="002A4772" w:rsidRPr="006414E6" w:rsidRDefault="002A4772" w:rsidP="002A4772">
      <w:pPr>
        <w:jc w:val="left"/>
        <w:rPr>
          <w:rFonts w:cs="Times New Roman"/>
          <w:sz w:val="28"/>
          <w:szCs w:val="28"/>
        </w:rPr>
      </w:pPr>
    </w:p>
    <w:p w14:paraId="6FFE7E91" w14:textId="77777777" w:rsidR="002A4772" w:rsidRPr="006414E6" w:rsidRDefault="002A4772" w:rsidP="002A4772">
      <w:pPr>
        <w:jc w:val="left"/>
        <w:rPr>
          <w:rFonts w:cs="Times New Roman"/>
          <w:sz w:val="28"/>
          <w:szCs w:val="28"/>
        </w:rPr>
      </w:pPr>
    </w:p>
    <w:p w14:paraId="114A8381" w14:textId="77777777" w:rsidR="002A4772" w:rsidRPr="006414E6" w:rsidRDefault="002A4772" w:rsidP="002A4772">
      <w:pPr>
        <w:jc w:val="left"/>
        <w:rPr>
          <w:rFonts w:cs="Times New Roman"/>
          <w:sz w:val="28"/>
          <w:szCs w:val="28"/>
        </w:rPr>
      </w:pPr>
    </w:p>
    <w:p w14:paraId="1FB229B4" w14:textId="77777777" w:rsidR="002A4772" w:rsidRPr="006414E6" w:rsidRDefault="002A4772" w:rsidP="002A4772">
      <w:pPr>
        <w:jc w:val="left"/>
        <w:rPr>
          <w:rFonts w:cs="Times New Roman"/>
          <w:sz w:val="28"/>
          <w:szCs w:val="28"/>
        </w:rPr>
      </w:pPr>
    </w:p>
    <w:p w14:paraId="10F69996" w14:textId="77777777" w:rsidR="002A4772" w:rsidRPr="006414E6" w:rsidRDefault="002A4772" w:rsidP="002A4772">
      <w:pPr>
        <w:jc w:val="left"/>
        <w:rPr>
          <w:rFonts w:cs="Times New Roman"/>
          <w:sz w:val="28"/>
          <w:szCs w:val="28"/>
        </w:rPr>
      </w:pPr>
    </w:p>
    <w:p w14:paraId="5F6ED600" w14:textId="77777777" w:rsidR="002A4772" w:rsidRPr="006414E6" w:rsidRDefault="002A4772" w:rsidP="002A4772">
      <w:pPr>
        <w:jc w:val="left"/>
        <w:rPr>
          <w:rFonts w:cs="Times New Roman"/>
          <w:sz w:val="28"/>
          <w:szCs w:val="28"/>
        </w:rPr>
      </w:pPr>
    </w:p>
    <w:p w14:paraId="3A1494EB" w14:textId="77777777" w:rsidR="002A4772" w:rsidRPr="006414E6" w:rsidRDefault="002A4772" w:rsidP="002A4772">
      <w:pPr>
        <w:jc w:val="center"/>
        <w:rPr>
          <w:rFonts w:cs="Times New Roman"/>
          <w:sz w:val="28"/>
          <w:szCs w:val="28"/>
        </w:rPr>
      </w:pPr>
      <w:r w:rsidRPr="006414E6">
        <w:rPr>
          <w:rFonts w:cs="Times New Roman"/>
          <w:sz w:val="28"/>
          <w:szCs w:val="28"/>
        </w:rPr>
        <w:t xml:space="preserve">Zagreb, </w:t>
      </w:r>
      <w:r w:rsidR="00BF3651" w:rsidRPr="006414E6">
        <w:rPr>
          <w:rFonts w:cs="Times New Roman"/>
          <w:sz w:val="28"/>
          <w:szCs w:val="28"/>
        </w:rPr>
        <w:t>travanj</w:t>
      </w:r>
      <w:r w:rsidRPr="006414E6">
        <w:rPr>
          <w:rFonts w:cs="Times New Roman"/>
          <w:sz w:val="28"/>
          <w:szCs w:val="28"/>
        </w:rPr>
        <w:t xml:space="preserve"> 2020.</w:t>
      </w:r>
    </w:p>
    <w:p w14:paraId="53C85DF2" w14:textId="2ECD6334" w:rsidR="00374424" w:rsidRDefault="00374424">
      <w:pPr>
        <w:rPr>
          <w:rFonts w:cs="Times New Roman"/>
          <w:b/>
          <w:sz w:val="32"/>
          <w:szCs w:val="32"/>
        </w:rPr>
      </w:pPr>
      <w:r>
        <w:rPr>
          <w:rFonts w:cs="Times New Roman"/>
          <w:b/>
          <w:sz w:val="32"/>
          <w:szCs w:val="32"/>
        </w:rPr>
        <w:br w:type="page"/>
      </w:r>
    </w:p>
    <w:p w14:paraId="48C8F2E4" w14:textId="77777777" w:rsidR="00B46835" w:rsidRPr="006414E6" w:rsidRDefault="00B46835" w:rsidP="00EE3488">
      <w:pPr>
        <w:pStyle w:val="Heading1"/>
      </w:pPr>
      <w:bookmarkStart w:id="1" w:name="_Toc21006459"/>
      <w:bookmarkStart w:id="2" w:name="_Toc39133250"/>
      <w:r w:rsidRPr="006414E6">
        <w:lastRenderedPageBreak/>
        <w:t>S</w:t>
      </w:r>
      <w:r w:rsidR="00815E50" w:rsidRPr="006414E6">
        <w:t>adržaj</w:t>
      </w:r>
      <w:bookmarkEnd w:id="1"/>
      <w:bookmarkEnd w:id="2"/>
    </w:p>
    <w:p w14:paraId="056B9CA4" w14:textId="2DA225A2" w:rsidR="0063530B" w:rsidRDefault="004E7FB7">
      <w:pPr>
        <w:pStyle w:val="TOC1"/>
        <w:tabs>
          <w:tab w:val="right" w:leader="dot" w:pos="9060"/>
        </w:tabs>
        <w:rPr>
          <w:szCs w:val="22"/>
          <w:lang w:val="hr-HR" w:eastAsia="hr-HR"/>
        </w:rPr>
      </w:pPr>
      <w:r w:rsidRPr="006414E6">
        <w:rPr>
          <w:rFonts w:cs="Times New Roman"/>
          <w:szCs w:val="22"/>
        </w:rPr>
        <w:fldChar w:fldCharType="begin"/>
      </w:r>
      <w:r w:rsidRPr="006414E6">
        <w:rPr>
          <w:rFonts w:cs="Times New Roman"/>
          <w:szCs w:val="22"/>
        </w:rPr>
        <w:instrText xml:space="preserve"> TOC \o "1-3" \h \z \u </w:instrText>
      </w:r>
      <w:r w:rsidRPr="006414E6">
        <w:rPr>
          <w:rFonts w:cs="Times New Roman"/>
          <w:szCs w:val="22"/>
        </w:rPr>
        <w:fldChar w:fldCharType="separate"/>
      </w:r>
      <w:hyperlink w:anchor="_Toc39133250" w:history="1">
        <w:r w:rsidR="0063530B" w:rsidRPr="008B39E4">
          <w:rPr>
            <w:rStyle w:val="Hyperlink"/>
          </w:rPr>
          <w:t>Sadržaj</w:t>
        </w:r>
        <w:r w:rsidR="0063530B">
          <w:rPr>
            <w:webHidden/>
          </w:rPr>
          <w:tab/>
        </w:r>
        <w:r w:rsidR="0063530B">
          <w:rPr>
            <w:webHidden/>
          </w:rPr>
          <w:fldChar w:fldCharType="begin"/>
        </w:r>
        <w:r w:rsidR="0063530B">
          <w:rPr>
            <w:webHidden/>
          </w:rPr>
          <w:instrText xml:space="preserve"> PAGEREF _Toc39133250 \h </w:instrText>
        </w:r>
        <w:r w:rsidR="0063530B">
          <w:rPr>
            <w:webHidden/>
          </w:rPr>
        </w:r>
        <w:r w:rsidR="0063530B">
          <w:rPr>
            <w:webHidden/>
          </w:rPr>
          <w:fldChar w:fldCharType="separate"/>
        </w:r>
        <w:r w:rsidR="0063530B">
          <w:rPr>
            <w:webHidden/>
          </w:rPr>
          <w:t>2</w:t>
        </w:r>
        <w:r w:rsidR="0063530B">
          <w:rPr>
            <w:webHidden/>
          </w:rPr>
          <w:fldChar w:fldCharType="end"/>
        </w:r>
      </w:hyperlink>
    </w:p>
    <w:p w14:paraId="0C6505DD" w14:textId="21DF564E" w:rsidR="0063530B" w:rsidRDefault="00BA6891">
      <w:pPr>
        <w:pStyle w:val="TOC1"/>
        <w:tabs>
          <w:tab w:val="right" w:leader="dot" w:pos="9060"/>
        </w:tabs>
        <w:rPr>
          <w:szCs w:val="22"/>
          <w:lang w:val="hr-HR" w:eastAsia="hr-HR"/>
        </w:rPr>
      </w:pPr>
      <w:hyperlink w:anchor="_Toc39133251" w:history="1">
        <w:r w:rsidR="0063530B" w:rsidRPr="008B39E4">
          <w:rPr>
            <w:rStyle w:val="Hyperlink"/>
          </w:rPr>
          <w:t>POPIS KRATICA</w:t>
        </w:r>
        <w:r w:rsidR="0063530B">
          <w:rPr>
            <w:webHidden/>
          </w:rPr>
          <w:tab/>
        </w:r>
        <w:r w:rsidR="0063530B">
          <w:rPr>
            <w:webHidden/>
          </w:rPr>
          <w:fldChar w:fldCharType="begin"/>
        </w:r>
        <w:r w:rsidR="0063530B">
          <w:rPr>
            <w:webHidden/>
          </w:rPr>
          <w:instrText xml:space="preserve"> PAGEREF _Toc39133251 \h </w:instrText>
        </w:r>
        <w:r w:rsidR="0063530B">
          <w:rPr>
            <w:webHidden/>
          </w:rPr>
        </w:r>
        <w:r w:rsidR="0063530B">
          <w:rPr>
            <w:webHidden/>
          </w:rPr>
          <w:fldChar w:fldCharType="separate"/>
        </w:r>
        <w:r w:rsidR="0063530B">
          <w:rPr>
            <w:webHidden/>
          </w:rPr>
          <w:t>5</w:t>
        </w:r>
        <w:r w:rsidR="0063530B">
          <w:rPr>
            <w:webHidden/>
          </w:rPr>
          <w:fldChar w:fldCharType="end"/>
        </w:r>
      </w:hyperlink>
    </w:p>
    <w:p w14:paraId="1A9EB14D" w14:textId="6D6887ED" w:rsidR="0063530B" w:rsidRDefault="00BA6891">
      <w:pPr>
        <w:pStyle w:val="TOC1"/>
        <w:tabs>
          <w:tab w:val="right" w:leader="dot" w:pos="9060"/>
        </w:tabs>
        <w:rPr>
          <w:szCs w:val="22"/>
          <w:lang w:val="hr-HR" w:eastAsia="hr-HR"/>
        </w:rPr>
      </w:pPr>
      <w:hyperlink w:anchor="_Toc39133252" w:history="1">
        <w:r w:rsidR="0063530B" w:rsidRPr="008B39E4">
          <w:rPr>
            <w:rStyle w:val="Hyperlink"/>
          </w:rPr>
          <w:t>1.</w:t>
        </w:r>
        <w:r w:rsidR="0063530B">
          <w:rPr>
            <w:szCs w:val="22"/>
            <w:lang w:val="hr-HR" w:eastAsia="hr-HR"/>
          </w:rPr>
          <w:tab/>
        </w:r>
        <w:r w:rsidR="0063530B" w:rsidRPr="008B39E4">
          <w:rPr>
            <w:rStyle w:val="Hyperlink"/>
          </w:rPr>
          <w:t>PREGLED I PROCES RAZVOJA STRATEGIJE</w:t>
        </w:r>
        <w:r w:rsidR="0063530B">
          <w:rPr>
            <w:webHidden/>
          </w:rPr>
          <w:tab/>
        </w:r>
        <w:r w:rsidR="0063530B">
          <w:rPr>
            <w:webHidden/>
          </w:rPr>
          <w:fldChar w:fldCharType="begin"/>
        </w:r>
        <w:r w:rsidR="0063530B">
          <w:rPr>
            <w:webHidden/>
          </w:rPr>
          <w:instrText xml:space="preserve"> PAGEREF _Toc39133252 \h </w:instrText>
        </w:r>
        <w:r w:rsidR="0063530B">
          <w:rPr>
            <w:webHidden/>
          </w:rPr>
        </w:r>
        <w:r w:rsidR="0063530B">
          <w:rPr>
            <w:webHidden/>
          </w:rPr>
          <w:fldChar w:fldCharType="separate"/>
        </w:r>
        <w:r w:rsidR="0063530B">
          <w:rPr>
            <w:webHidden/>
          </w:rPr>
          <w:t>6</w:t>
        </w:r>
        <w:r w:rsidR="0063530B">
          <w:rPr>
            <w:webHidden/>
          </w:rPr>
          <w:fldChar w:fldCharType="end"/>
        </w:r>
      </w:hyperlink>
    </w:p>
    <w:p w14:paraId="55048B6C" w14:textId="0AA0FCF6" w:rsidR="0063530B" w:rsidRDefault="00BA6891">
      <w:pPr>
        <w:pStyle w:val="TOC2"/>
        <w:tabs>
          <w:tab w:val="left" w:pos="1128"/>
        </w:tabs>
        <w:rPr>
          <w:noProof/>
          <w:lang w:val="hr-HR" w:eastAsia="hr-HR"/>
        </w:rPr>
      </w:pPr>
      <w:hyperlink w:anchor="_Toc39133253" w:history="1">
        <w:r w:rsidR="0063530B" w:rsidRPr="008B39E4">
          <w:rPr>
            <w:rStyle w:val="Hyperlink"/>
            <w:noProof/>
          </w:rPr>
          <w:t>1.1.</w:t>
        </w:r>
        <w:r w:rsidR="0063530B">
          <w:rPr>
            <w:noProof/>
            <w:lang w:val="hr-HR" w:eastAsia="hr-HR"/>
          </w:rPr>
          <w:tab/>
        </w:r>
        <w:r w:rsidR="0063530B" w:rsidRPr="008B39E4">
          <w:rPr>
            <w:rStyle w:val="Hyperlink"/>
            <w:noProof/>
          </w:rPr>
          <w:t>SAŽETAK</w:t>
        </w:r>
        <w:r w:rsidR="0063530B">
          <w:rPr>
            <w:noProof/>
            <w:webHidden/>
          </w:rPr>
          <w:tab/>
        </w:r>
        <w:r w:rsidR="0063530B">
          <w:rPr>
            <w:noProof/>
            <w:webHidden/>
          </w:rPr>
          <w:fldChar w:fldCharType="begin"/>
        </w:r>
        <w:r w:rsidR="0063530B">
          <w:rPr>
            <w:noProof/>
            <w:webHidden/>
          </w:rPr>
          <w:instrText xml:space="preserve"> PAGEREF _Toc39133253 \h </w:instrText>
        </w:r>
        <w:r w:rsidR="0063530B">
          <w:rPr>
            <w:noProof/>
            <w:webHidden/>
          </w:rPr>
        </w:r>
        <w:r w:rsidR="0063530B">
          <w:rPr>
            <w:noProof/>
            <w:webHidden/>
          </w:rPr>
          <w:fldChar w:fldCharType="separate"/>
        </w:r>
        <w:r w:rsidR="0063530B">
          <w:rPr>
            <w:noProof/>
            <w:webHidden/>
          </w:rPr>
          <w:t>6</w:t>
        </w:r>
        <w:r w:rsidR="0063530B">
          <w:rPr>
            <w:noProof/>
            <w:webHidden/>
          </w:rPr>
          <w:fldChar w:fldCharType="end"/>
        </w:r>
      </w:hyperlink>
    </w:p>
    <w:p w14:paraId="2A658DC5" w14:textId="474B8B32" w:rsidR="0063530B" w:rsidRDefault="00BA6891">
      <w:pPr>
        <w:pStyle w:val="TOC2"/>
        <w:tabs>
          <w:tab w:val="left" w:pos="1128"/>
        </w:tabs>
        <w:rPr>
          <w:noProof/>
          <w:lang w:val="hr-HR" w:eastAsia="hr-HR"/>
        </w:rPr>
      </w:pPr>
      <w:hyperlink w:anchor="_Toc39133254" w:history="1">
        <w:r w:rsidR="0063530B" w:rsidRPr="008B39E4">
          <w:rPr>
            <w:rStyle w:val="Hyperlink"/>
            <w:noProof/>
          </w:rPr>
          <w:t>1.2.</w:t>
        </w:r>
        <w:r w:rsidR="0063530B">
          <w:rPr>
            <w:noProof/>
            <w:lang w:val="hr-HR" w:eastAsia="hr-HR"/>
          </w:rPr>
          <w:tab/>
        </w:r>
        <w:r w:rsidR="0063530B" w:rsidRPr="008B39E4">
          <w:rPr>
            <w:rStyle w:val="Hyperlink"/>
            <w:noProof/>
          </w:rPr>
          <w:t>PRAVNI KONTEKST I KONTEKST POLITIKA</w:t>
        </w:r>
        <w:r w:rsidR="0063530B">
          <w:rPr>
            <w:noProof/>
            <w:webHidden/>
          </w:rPr>
          <w:tab/>
        </w:r>
        <w:r w:rsidR="0063530B">
          <w:rPr>
            <w:noProof/>
            <w:webHidden/>
          </w:rPr>
          <w:fldChar w:fldCharType="begin"/>
        </w:r>
        <w:r w:rsidR="0063530B">
          <w:rPr>
            <w:noProof/>
            <w:webHidden/>
          </w:rPr>
          <w:instrText xml:space="preserve"> PAGEREF _Toc39133254 \h </w:instrText>
        </w:r>
        <w:r w:rsidR="0063530B">
          <w:rPr>
            <w:noProof/>
            <w:webHidden/>
          </w:rPr>
        </w:r>
        <w:r w:rsidR="0063530B">
          <w:rPr>
            <w:noProof/>
            <w:webHidden/>
          </w:rPr>
          <w:fldChar w:fldCharType="separate"/>
        </w:r>
        <w:r w:rsidR="0063530B">
          <w:rPr>
            <w:noProof/>
            <w:webHidden/>
          </w:rPr>
          <w:t>13</w:t>
        </w:r>
        <w:r w:rsidR="0063530B">
          <w:rPr>
            <w:noProof/>
            <w:webHidden/>
          </w:rPr>
          <w:fldChar w:fldCharType="end"/>
        </w:r>
      </w:hyperlink>
    </w:p>
    <w:p w14:paraId="14FC88C0" w14:textId="6AD8F81F" w:rsidR="0063530B" w:rsidRDefault="00BA6891">
      <w:pPr>
        <w:pStyle w:val="TOC2"/>
        <w:tabs>
          <w:tab w:val="left" w:pos="1128"/>
        </w:tabs>
        <w:rPr>
          <w:noProof/>
          <w:lang w:val="hr-HR" w:eastAsia="hr-HR"/>
        </w:rPr>
      </w:pPr>
      <w:hyperlink w:anchor="_Toc39133255" w:history="1">
        <w:r w:rsidR="0063530B" w:rsidRPr="008B39E4">
          <w:rPr>
            <w:rStyle w:val="Hyperlink"/>
            <w:noProof/>
          </w:rPr>
          <w:t>1.3.</w:t>
        </w:r>
        <w:r w:rsidR="0063530B">
          <w:rPr>
            <w:noProof/>
            <w:lang w:val="hr-HR" w:eastAsia="hr-HR"/>
          </w:rPr>
          <w:tab/>
        </w:r>
        <w:r w:rsidR="0063530B" w:rsidRPr="008B39E4">
          <w:rPr>
            <w:rStyle w:val="Hyperlink"/>
            <w:noProof/>
          </w:rPr>
          <w:t>KRONOLOGIJA IZRADE NISKOUGLJIČNE STRATEGIJE I JAVNO SAVJETOVANJE</w:t>
        </w:r>
        <w:r w:rsidR="0063530B">
          <w:rPr>
            <w:noProof/>
            <w:webHidden/>
          </w:rPr>
          <w:tab/>
        </w:r>
        <w:r w:rsidR="0063530B">
          <w:rPr>
            <w:noProof/>
            <w:webHidden/>
          </w:rPr>
          <w:fldChar w:fldCharType="begin"/>
        </w:r>
        <w:r w:rsidR="0063530B">
          <w:rPr>
            <w:noProof/>
            <w:webHidden/>
          </w:rPr>
          <w:instrText xml:space="preserve"> PAGEREF _Toc39133255 \h </w:instrText>
        </w:r>
        <w:r w:rsidR="0063530B">
          <w:rPr>
            <w:noProof/>
            <w:webHidden/>
          </w:rPr>
        </w:r>
        <w:r w:rsidR="0063530B">
          <w:rPr>
            <w:noProof/>
            <w:webHidden/>
          </w:rPr>
          <w:fldChar w:fldCharType="separate"/>
        </w:r>
        <w:r w:rsidR="0063530B">
          <w:rPr>
            <w:noProof/>
            <w:webHidden/>
          </w:rPr>
          <w:t>16</w:t>
        </w:r>
        <w:r w:rsidR="0063530B">
          <w:rPr>
            <w:noProof/>
            <w:webHidden/>
          </w:rPr>
          <w:fldChar w:fldCharType="end"/>
        </w:r>
      </w:hyperlink>
    </w:p>
    <w:p w14:paraId="3716DA7C" w14:textId="081ACE4A" w:rsidR="0063530B" w:rsidRDefault="00BA6891">
      <w:pPr>
        <w:pStyle w:val="TOC3"/>
        <w:rPr>
          <w:lang w:val="hr-HR" w:eastAsia="hr-HR"/>
        </w:rPr>
      </w:pPr>
      <w:hyperlink w:anchor="_Toc39133256" w:history="1">
        <w:r w:rsidR="0063530B" w:rsidRPr="008B39E4">
          <w:rPr>
            <w:rStyle w:val="Hyperlink"/>
          </w:rPr>
          <w:t>1.3.1. Vizije za 2050. godinu i prepoznate potrebe po sektorima</w:t>
        </w:r>
        <w:r w:rsidR="0063530B">
          <w:rPr>
            <w:webHidden/>
          </w:rPr>
          <w:tab/>
        </w:r>
        <w:r w:rsidR="0063530B">
          <w:rPr>
            <w:webHidden/>
          </w:rPr>
          <w:fldChar w:fldCharType="begin"/>
        </w:r>
        <w:r w:rsidR="0063530B">
          <w:rPr>
            <w:webHidden/>
          </w:rPr>
          <w:instrText xml:space="preserve"> PAGEREF _Toc39133256 \h </w:instrText>
        </w:r>
        <w:r w:rsidR="0063530B">
          <w:rPr>
            <w:webHidden/>
          </w:rPr>
        </w:r>
        <w:r w:rsidR="0063530B">
          <w:rPr>
            <w:webHidden/>
          </w:rPr>
          <w:fldChar w:fldCharType="separate"/>
        </w:r>
        <w:r w:rsidR="0063530B">
          <w:rPr>
            <w:webHidden/>
          </w:rPr>
          <w:t>17</w:t>
        </w:r>
        <w:r w:rsidR="0063530B">
          <w:rPr>
            <w:webHidden/>
          </w:rPr>
          <w:fldChar w:fldCharType="end"/>
        </w:r>
      </w:hyperlink>
    </w:p>
    <w:p w14:paraId="02C88B63" w14:textId="644B18AC" w:rsidR="0063530B" w:rsidRDefault="00BA6891">
      <w:pPr>
        <w:pStyle w:val="TOC2"/>
        <w:tabs>
          <w:tab w:val="left" w:pos="1128"/>
        </w:tabs>
        <w:rPr>
          <w:noProof/>
          <w:lang w:val="hr-HR" w:eastAsia="hr-HR"/>
        </w:rPr>
      </w:pPr>
      <w:hyperlink w:anchor="_Toc39133257" w:history="1">
        <w:r w:rsidR="0063530B" w:rsidRPr="008B39E4">
          <w:rPr>
            <w:rStyle w:val="Hyperlink"/>
            <w:noProof/>
          </w:rPr>
          <w:t>1.4.</w:t>
        </w:r>
        <w:r w:rsidR="0063530B">
          <w:rPr>
            <w:noProof/>
            <w:lang w:val="hr-HR" w:eastAsia="hr-HR"/>
          </w:rPr>
          <w:tab/>
        </w:r>
        <w:r w:rsidR="0063530B" w:rsidRPr="008B39E4">
          <w:rPr>
            <w:rStyle w:val="Hyperlink"/>
            <w:noProof/>
          </w:rPr>
          <w:t>METODOLOŠKI PRISTUP</w:t>
        </w:r>
        <w:r w:rsidR="0063530B">
          <w:rPr>
            <w:noProof/>
            <w:webHidden/>
          </w:rPr>
          <w:tab/>
        </w:r>
        <w:r w:rsidR="0063530B">
          <w:rPr>
            <w:noProof/>
            <w:webHidden/>
          </w:rPr>
          <w:fldChar w:fldCharType="begin"/>
        </w:r>
        <w:r w:rsidR="0063530B">
          <w:rPr>
            <w:noProof/>
            <w:webHidden/>
          </w:rPr>
          <w:instrText xml:space="preserve"> PAGEREF _Toc39133257 \h </w:instrText>
        </w:r>
        <w:r w:rsidR="0063530B">
          <w:rPr>
            <w:noProof/>
            <w:webHidden/>
          </w:rPr>
        </w:r>
        <w:r w:rsidR="0063530B">
          <w:rPr>
            <w:noProof/>
            <w:webHidden/>
          </w:rPr>
          <w:fldChar w:fldCharType="separate"/>
        </w:r>
        <w:r w:rsidR="0063530B">
          <w:rPr>
            <w:noProof/>
            <w:webHidden/>
          </w:rPr>
          <w:t>20</w:t>
        </w:r>
        <w:r w:rsidR="0063530B">
          <w:rPr>
            <w:noProof/>
            <w:webHidden/>
          </w:rPr>
          <w:fldChar w:fldCharType="end"/>
        </w:r>
      </w:hyperlink>
    </w:p>
    <w:p w14:paraId="6297FB40" w14:textId="64BC3D36" w:rsidR="0063530B" w:rsidRDefault="00BA6891">
      <w:pPr>
        <w:pStyle w:val="TOC1"/>
        <w:tabs>
          <w:tab w:val="right" w:leader="dot" w:pos="9060"/>
        </w:tabs>
        <w:rPr>
          <w:szCs w:val="22"/>
          <w:lang w:val="hr-HR" w:eastAsia="hr-HR"/>
        </w:rPr>
      </w:pPr>
      <w:hyperlink w:anchor="_Toc39133258" w:history="1">
        <w:r w:rsidR="0063530B" w:rsidRPr="008B39E4">
          <w:rPr>
            <w:rStyle w:val="Hyperlink"/>
          </w:rPr>
          <w:t>2.</w:t>
        </w:r>
        <w:r w:rsidR="0063530B">
          <w:rPr>
            <w:szCs w:val="22"/>
            <w:lang w:val="hr-HR" w:eastAsia="hr-HR"/>
          </w:rPr>
          <w:tab/>
        </w:r>
        <w:r w:rsidR="0063530B" w:rsidRPr="008B39E4">
          <w:rPr>
            <w:rStyle w:val="Hyperlink"/>
          </w:rPr>
          <w:t>SITUACIJA U REPUBLICI HRVATSKOJ</w:t>
        </w:r>
        <w:r w:rsidR="0063530B">
          <w:rPr>
            <w:webHidden/>
          </w:rPr>
          <w:tab/>
        </w:r>
        <w:r w:rsidR="0063530B">
          <w:rPr>
            <w:webHidden/>
          </w:rPr>
          <w:fldChar w:fldCharType="begin"/>
        </w:r>
        <w:r w:rsidR="0063530B">
          <w:rPr>
            <w:webHidden/>
          </w:rPr>
          <w:instrText xml:space="preserve"> PAGEREF _Toc39133258 \h </w:instrText>
        </w:r>
        <w:r w:rsidR="0063530B">
          <w:rPr>
            <w:webHidden/>
          </w:rPr>
        </w:r>
        <w:r w:rsidR="0063530B">
          <w:rPr>
            <w:webHidden/>
          </w:rPr>
          <w:fldChar w:fldCharType="separate"/>
        </w:r>
        <w:r w:rsidR="0063530B">
          <w:rPr>
            <w:webHidden/>
          </w:rPr>
          <w:t>21</w:t>
        </w:r>
        <w:r w:rsidR="0063530B">
          <w:rPr>
            <w:webHidden/>
          </w:rPr>
          <w:fldChar w:fldCharType="end"/>
        </w:r>
      </w:hyperlink>
    </w:p>
    <w:p w14:paraId="7B8EBF7C" w14:textId="2C3DCFD5" w:rsidR="0063530B" w:rsidRDefault="00BA6891">
      <w:pPr>
        <w:pStyle w:val="TOC2"/>
        <w:tabs>
          <w:tab w:val="left" w:pos="1128"/>
        </w:tabs>
        <w:rPr>
          <w:noProof/>
          <w:lang w:val="hr-HR" w:eastAsia="hr-HR"/>
        </w:rPr>
      </w:pPr>
      <w:hyperlink w:anchor="_Toc39133259" w:history="1">
        <w:r w:rsidR="0063530B" w:rsidRPr="008B39E4">
          <w:rPr>
            <w:rStyle w:val="Hyperlink"/>
            <w:noProof/>
          </w:rPr>
          <w:t>2.1.</w:t>
        </w:r>
        <w:r w:rsidR="0063530B">
          <w:rPr>
            <w:noProof/>
            <w:lang w:val="hr-HR" w:eastAsia="hr-HR"/>
          </w:rPr>
          <w:tab/>
        </w:r>
        <w:r w:rsidR="0063530B" w:rsidRPr="008B39E4">
          <w:rPr>
            <w:rStyle w:val="Hyperlink"/>
            <w:noProof/>
          </w:rPr>
          <w:t>GOSPODARSKI POKAZATELJI</w:t>
        </w:r>
        <w:r w:rsidR="0063530B">
          <w:rPr>
            <w:noProof/>
            <w:webHidden/>
          </w:rPr>
          <w:tab/>
        </w:r>
        <w:r w:rsidR="0063530B">
          <w:rPr>
            <w:noProof/>
            <w:webHidden/>
          </w:rPr>
          <w:fldChar w:fldCharType="begin"/>
        </w:r>
        <w:r w:rsidR="0063530B">
          <w:rPr>
            <w:noProof/>
            <w:webHidden/>
          </w:rPr>
          <w:instrText xml:space="preserve"> PAGEREF _Toc39133259 \h </w:instrText>
        </w:r>
        <w:r w:rsidR="0063530B">
          <w:rPr>
            <w:noProof/>
            <w:webHidden/>
          </w:rPr>
        </w:r>
        <w:r w:rsidR="0063530B">
          <w:rPr>
            <w:noProof/>
            <w:webHidden/>
          </w:rPr>
          <w:fldChar w:fldCharType="separate"/>
        </w:r>
        <w:r w:rsidR="0063530B">
          <w:rPr>
            <w:noProof/>
            <w:webHidden/>
          </w:rPr>
          <w:t>21</w:t>
        </w:r>
        <w:r w:rsidR="0063530B">
          <w:rPr>
            <w:noProof/>
            <w:webHidden/>
          </w:rPr>
          <w:fldChar w:fldCharType="end"/>
        </w:r>
      </w:hyperlink>
    </w:p>
    <w:p w14:paraId="2E54E4D8" w14:textId="7F3C2AEF" w:rsidR="0063530B" w:rsidRDefault="00BA6891">
      <w:pPr>
        <w:pStyle w:val="TOC2"/>
        <w:tabs>
          <w:tab w:val="left" w:pos="1128"/>
        </w:tabs>
        <w:rPr>
          <w:noProof/>
          <w:lang w:val="hr-HR" w:eastAsia="hr-HR"/>
        </w:rPr>
      </w:pPr>
      <w:hyperlink w:anchor="_Toc39133260" w:history="1">
        <w:r w:rsidR="0063530B" w:rsidRPr="008B39E4">
          <w:rPr>
            <w:rStyle w:val="Hyperlink"/>
            <w:noProof/>
          </w:rPr>
          <w:t>2.2.</w:t>
        </w:r>
        <w:r w:rsidR="0063530B">
          <w:rPr>
            <w:noProof/>
            <w:lang w:val="hr-HR" w:eastAsia="hr-HR"/>
          </w:rPr>
          <w:tab/>
        </w:r>
        <w:r w:rsidR="0063530B" w:rsidRPr="008B39E4">
          <w:rPr>
            <w:rStyle w:val="Hyperlink"/>
            <w:noProof/>
          </w:rPr>
          <w:t>SOCIOLOŠKI POKAZATELJI</w:t>
        </w:r>
        <w:r w:rsidR="0063530B">
          <w:rPr>
            <w:noProof/>
            <w:webHidden/>
          </w:rPr>
          <w:tab/>
        </w:r>
        <w:r w:rsidR="0063530B">
          <w:rPr>
            <w:noProof/>
            <w:webHidden/>
          </w:rPr>
          <w:fldChar w:fldCharType="begin"/>
        </w:r>
        <w:r w:rsidR="0063530B">
          <w:rPr>
            <w:noProof/>
            <w:webHidden/>
          </w:rPr>
          <w:instrText xml:space="preserve"> PAGEREF _Toc39133260 \h </w:instrText>
        </w:r>
        <w:r w:rsidR="0063530B">
          <w:rPr>
            <w:noProof/>
            <w:webHidden/>
          </w:rPr>
        </w:r>
        <w:r w:rsidR="0063530B">
          <w:rPr>
            <w:noProof/>
            <w:webHidden/>
          </w:rPr>
          <w:fldChar w:fldCharType="separate"/>
        </w:r>
        <w:r w:rsidR="0063530B">
          <w:rPr>
            <w:noProof/>
            <w:webHidden/>
          </w:rPr>
          <w:t>21</w:t>
        </w:r>
        <w:r w:rsidR="0063530B">
          <w:rPr>
            <w:noProof/>
            <w:webHidden/>
          </w:rPr>
          <w:fldChar w:fldCharType="end"/>
        </w:r>
      </w:hyperlink>
    </w:p>
    <w:p w14:paraId="09DC026C" w14:textId="252BB7CE" w:rsidR="0063530B" w:rsidRDefault="00BA6891">
      <w:pPr>
        <w:pStyle w:val="TOC2"/>
        <w:tabs>
          <w:tab w:val="left" w:pos="1128"/>
        </w:tabs>
        <w:rPr>
          <w:noProof/>
          <w:lang w:val="hr-HR" w:eastAsia="hr-HR"/>
        </w:rPr>
      </w:pPr>
      <w:hyperlink w:anchor="_Toc39133261" w:history="1">
        <w:r w:rsidR="0063530B" w:rsidRPr="008B39E4">
          <w:rPr>
            <w:rStyle w:val="Hyperlink"/>
            <w:noProof/>
          </w:rPr>
          <w:t>2.3.</w:t>
        </w:r>
        <w:r w:rsidR="0063530B">
          <w:rPr>
            <w:noProof/>
            <w:lang w:val="hr-HR" w:eastAsia="hr-HR"/>
          </w:rPr>
          <w:tab/>
        </w:r>
        <w:r w:rsidR="0063530B" w:rsidRPr="008B39E4">
          <w:rPr>
            <w:rStyle w:val="Hyperlink"/>
            <w:noProof/>
          </w:rPr>
          <w:t>EMISIJE STAKLENIČKIH PLINOVA</w:t>
        </w:r>
        <w:r w:rsidR="0063530B">
          <w:rPr>
            <w:noProof/>
            <w:webHidden/>
          </w:rPr>
          <w:tab/>
        </w:r>
        <w:r w:rsidR="0063530B">
          <w:rPr>
            <w:noProof/>
            <w:webHidden/>
          </w:rPr>
          <w:fldChar w:fldCharType="begin"/>
        </w:r>
        <w:r w:rsidR="0063530B">
          <w:rPr>
            <w:noProof/>
            <w:webHidden/>
          </w:rPr>
          <w:instrText xml:space="preserve"> PAGEREF _Toc39133261 \h </w:instrText>
        </w:r>
        <w:r w:rsidR="0063530B">
          <w:rPr>
            <w:noProof/>
            <w:webHidden/>
          </w:rPr>
        </w:r>
        <w:r w:rsidR="0063530B">
          <w:rPr>
            <w:noProof/>
            <w:webHidden/>
          </w:rPr>
          <w:fldChar w:fldCharType="separate"/>
        </w:r>
        <w:r w:rsidR="0063530B">
          <w:rPr>
            <w:noProof/>
            <w:webHidden/>
          </w:rPr>
          <w:t>22</w:t>
        </w:r>
        <w:r w:rsidR="0063530B">
          <w:rPr>
            <w:noProof/>
            <w:webHidden/>
          </w:rPr>
          <w:fldChar w:fldCharType="end"/>
        </w:r>
      </w:hyperlink>
    </w:p>
    <w:p w14:paraId="58559571" w14:textId="5D2E157B" w:rsidR="0063530B" w:rsidRDefault="00BA6891">
      <w:pPr>
        <w:pStyle w:val="TOC3"/>
        <w:rPr>
          <w:lang w:val="hr-HR" w:eastAsia="hr-HR"/>
        </w:rPr>
      </w:pPr>
      <w:hyperlink w:anchor="_Toc39133262" w:history="1">
        <w:r w:rsidR="0063530B" w:rsidRPr="008B39E4">
          <w:rPr>
            <w:rStyle w:val="Hyperlink"/>
          </w:rPr>
          <w:t>2.3.1. Trend emisija</w:t>
        </w:r>
        <w:r w:rsidR="0063530B">
          <w:rPr>
            <w:webHidden/>
          </w:rPr>
          <w:tab/>
        </w:r>
        <w:r w:rsidR="0063530B">
          <w:rPr>
            <w:webHidden/>
          </w:rPr>
          <w:fldChar w:fldCharType="begin"/>
        </w:r>
        <w:r w:rsidR="0063530B">
          <w:rPr>
            <w:webHidden/>
          </w:rPr>
          <w:instrText xml:space="preserve"> PAGEREF _Toc39133262 \h </w:instrText>
        </w:r>
        <w:r w:rsidR="0063530B">
          <w:rPr>
            <w:webHidden/>
          </w:rPr>
        </w:r>
        <w:r w:rsidR="0063530B">
          <w:rPr>
            <w:webHidden/>
          </w:rPr>
          <w:fldChar w:fldCharType="separate"/>
        </w:r>
        <w:r w:rsidR="0063530B">
          <w:rPr>
            <w:webHidden/>
          </w:rPr>
          <w:t>22</w:t>
        </w:r>
        <w:r w:rsidR="0063530B">
          <w:rPr>
            <w:webHidden/>
          </w:rPr>
          <w:fldChar w:fldCharType="end"/>
        </w:r>
      </w:hyperlink>
    </w:p>
    <w:p w14:paraId="6652F055" w14:textId="4ABF5AFE" w:rsidR="0063530B" w:rsidRDefault="00BA6891">
      <w:pPr>
        <w:pStyle w:val="TOC3"/>
        <w:tabs>
          <w:tab w:val="left" w:pos="1400"/>
        </w:tabs>
        <w:rPr>
          <w:lang w:val="hr-HR" w:eastAsia="hr-HR"/>
        </w:rPr>
      </w:pPr>
      <w:hyperlink w:anchor="_Toc39133263" w:history="1">
        <w:r w:rsidR="0063530B" w:rsidRPr="008B39E4">
          <w:rPr>
            <w:rStyle w:val="Hyperlink"/>
          </w:rPr>
          <w:t>2.3.2.</w:t>
        </w:r>
        <w:r w:rsidR="0063530B">
          <w:rPr>
            <w:lang w:val="hr-HR" w:eastAsia="hr-HR"/>
          </w:rPr>
          <w:tab/>
        </w:r>
        <w:r w:rsidR="0063530B" w:rsidRPr="008B39E4">
          <w:rPr>
            <w:rStyle w:val="Hyperlink"/>
          </w:rPr>
          <w:t>Trend emisija s obzirom na sustav trgovanja emisijskim jedinicama (ETS)</w:t>
        </w:r>
        <w:r w:rsidR="0063530B">
          <w:rPr>
            <w:webHidden/>
          </w:rPr>
          <w:tab/>
        </w:r>
        <w:r w:rsidR="0063530B">
          <w:rPr>
            <w:webHidden/>
          </w:rPr>
          <w:fldChar w:fldCharType="begin"/>
        </w:r>
        <w:r w:rsidR="0063530B">
          <w:rPr>
            <w:webHidden/>
          </w:rPr>
          <w:instrText xml:space="preserve"> PAGEREF _Toc39133263 \h </w:instrText>
        </w:r>
        <w:r w:rsidR="0063530B">
          <w:rPr>
            <w:webHidden/>
          </w:rPr>
        </w:r>
        <w:r w:rsidR="0063530B">
          <w:rPr>
            <w:webHidden/>
          </w:rPr>
          <w:fldChar w:fldCharType="separate"/>
        </w:r>
        <w:r w:rsidR="0063530B">
          <w:rPr>
            <w:webHidden/>
          </w:rPr>
          <w:t>24</w:t>
        </w:r>
        <w:r w:rsidR="0063530B">
          <w:rPr>
            <w:webHidden/>
          </w:rPr>
          <w:fldChar w:fldCharType="end"/>
        </w:r>
      </w:hyperlink>
    </w:p>
    <w:p w14:paraId="16DAD661" w14:textId="765DBF20" w:rsidR="0063530B" w:rsidRDefault="00BA6891">
      <w:pPr>
        <w:pStyle w:val="TOC3"/>
        <w:rPr>
          <w:lang w:val="hr-HR" w:eastAsia="hr-HR"/>
        </w:rPr>
      </w:pPr>
      <w:hyperlink w:anchor="_Toc39133264" w:history="1">
        <w:r w:rsidR="0063530B" w:rsidRPr="008B39E4">
          <w:rPr>
            <w:rStyle w:val="Hyperlink"/>
          </w:rPr>
          <w:t>2.3.3. Odvajanje trenda gospodarskog rasta od emisije stakleničkih plinova</w:t>
        </w:r>
        <w:r w:rsidR="0063530B">
          <w:rPr>
            <w:webHidden/>
          </w:rPr>
          <w:tab/>
        </w:r>
        <w:r w:rsidR="0063530B">
          <w:rPr>
            <w:webHidden/>
          </w:rPr>
          <w:fldChar w:fldCharType="begin"/>
        </w:r>
        <w:r w:rsidR="0063530B">
          <w:rPr>
            <w:webHidden/>
          </w:rPr>
          <w:instrText xml:space="preserve"> PAGEREF _Toc39133264 \h </w:instrText>
        </w:r>
        <w:r w:rsidR="0063530B">
          <w:rPr>
            <w:webHidden/>
          </w:rPr>
        </w:r>
        <w:r w:rsidR="0063530B">
          <w:rPr>
            <w:webHidden/>
          </w:rPr>
          <w:fldChar w:fldCharType="separate"/>
        </w:r>
        <w:r w:rsidR="0063530B">
          <w:rPr>
            <w:webHidden/>
          </w:rPr>
          <w:t>25</w:t>
        </w:r>
        <w:r w:rsidR="0063530B">
          <w:rPr>
            <w:webHidden/>
          </w:rPr>
          <w:fldChar w:fldCharType="end"/>
        </w:r>
      </w:hyperlink>
    </w:p>
    <w:p w14:paraId="645F177C" w14:textId="6AF47231" w:rsidR="0063530B" w:rsidRDefault="00BA6891">
      <w:pPr>
        <w:pStyle w:val="TOC1"/>
        <w:tabs>
          <w:tab w:val="right" w:leader="dot" w:pos="9060"/>
        </w:tabs>
        <w:rPr>
          <w:szCs w:val="22"/>
          <w:lang w:val="hr-HR" w:eastAsia="hr-HR"/>
        </w:rPr>
      </w:pPr>
      <w:hyperlink w:anchor="_Toc39133265" w:history="1">
        <w:r w:rsidR="0063530B" w:rsidRPr="008B39E4">
          <w:rPr>
            <w:rStyle w:val="Hyperlink"/>
          </w:rPr>
          <w:t xml:space="preserve">3. </w:t>
        </w:r>
        <w:r w:rsidR="0063530B">
          <w:rPr>
            <w:szCs w:val="22"/>
            <w:lang w:val="hr-HR" w:eastAsia="hr-HR"/>
          </w:rPr>
          <w:tab/>
        </w:r>
        <w:r w:rsidR="0063530B" w:rsidRPr="008B39E4">
          <w:rPr>
            <w:rStyle w:val="Hyperlink"/>
          </w:rPr>
          <w:t>UKUPNO SMANJENJE EMISIJA STAKLENIČKIH PLINOVA</w:t>
        </w:r>
        <w:r w:rsidR="0063530B">
          <w:rPr>
            <w:webHidden/>
          </w:rPr>
          <w:tab/>
        </w:r>
        <w:r w:rsidR="0063530B">
          <w:rPr>
            <w:webHidden/>
          </w:rPr>
          <w:fldChar w:fldCharType="begin"/>
        </w:r>
        <w:r w:rsidR="0063530B">
          <w:rPr>
            <w:webHidden/>
          </w:rPr>
          <w:instrText xml:space="preserve"> PAGEREF _Toc39133265 \h </w:instrText>
        </w:r>
        <w:r w:rsidR="0063530B">
          <w:rPr>
            <w:webHidden/>
          </w:rPr>
        </w:r>
        <w:r w:rsidR="0063530B">
          <w:rPr>
            <w:webHidden/>
          </w:rPr>
          <w:fldChar w:fldCharType="separate"/>
        </w:r>
        <w:r w:rsidR="0063530B">
          <w:rPr>
            <w:webHidden/>
          </w:rPr>
          <w:t>26</w:t>
        </w:r>
        <w:r w:rsidR="0063530B">
          <w:rPr>
            <w:webHidden/>
          </w:rPr>
          <w:fldChar w:fldCharType="end"/>
        </w:r>
      </w:hyperlink>
    </w:p>
    <w:p w14:paraId="2F14DE7E" w14:textId="1A0D1AC4" w:rsidR="0063530B" w:rsidRDefault="00BA6891">
      <w:pPr>
        <w:pStyle w:val="TOC2"/>
        <w:tabs>
          <w:tab w:val="left" w:pos="1128"/>
        </w:tabs>
        <w:rPr>
          <w:noProof/>
          <w:lang w:val="hr-HR" w:eastAsia="hr-HR"/>
        </w:rPr>
      </w:pPr>
      <w:hyperlink w:anchor="_Toc39133266" w:history="1">
        <w:r w:rsidR="0063530B" w:rsidRPr="008B39E4">
          <w:rPr>
            <w:rStyle w:val="Hyperlink"/>
            <w:noProof/>
          </w:rPr>
          <w:t>3.1.</w:t>
        </w:r>
        <w:r w:rsidR="0063530B">
          <w:rPr>
            <w:noProof/>
            <w:lang w:val="hr-HR" w:eastAsia="hr-HR"/>
          </w:rPr>
          <w:tab/>
        </w:r>
        <w:r w:rsidR="0063530B" w:rsidRPr="008B39E4">
          <w:rPr>
            <w:rStyle w:val="Hyperlink"/>
            <w:noProof/>
          </w:rPr>
          <w:t>PREDVIĐENA SMANJENJA EMISIJA DO 2050. GODINE</w:t>
        </w:r>
        <w:r w:rsidR="0063530B">
          <w:rPr>
            <w:noProof/>
            <w:webHidden/>
          </w:rPr>
          <w:tab/>
        </w:r>
        <w:r w:rsidR="0063530B">
          <w:rPr>
            <w:noProof/>
            <w:webHidden/>
          </w:rPr>
          <w:fldChar w:fldCharType="begin"/>
        </w:r>
        <w:r w:rsidR="0063530B">
          <w:rPr>
            <w:noProof/>
            <w:webHidden/>
          </w:rPr>
          <w:instrText xml:space="preserve"> PAGEREF _Toc39133266 \h </w:instrText>
        </w:r>
        <w:r w:rsidR="0063530B">
          <w:rPr>
            <w:noProof/>
            <w:webHidden/>
          </w:rPr>
        </w:r>
        <w:r w:rsidR="0063530B">
          <w:rPr>
            <w:noProof/>
            <w:webHidden/>
          </w:rPr>
          <w:fldChar w:fldCharType="separate"/>
        </w:r>
        <w:r w:rsidR="0063530B">
          <w:rPr>
            <w:noProof/>
            <w:webHidden/>
          </w:rPr>
          <w:t>26</w:t>
        </w:r>
        <w:r w:rsidR="0063530B">
          <w:rPr>
            <w:noProof/>
            <w:webHidden/>
          </w:rPr>
          <w:fldChar w:fldCharType="end"/>
        </w:r>
      </w:hyperlink>
    </w:p>
    <w:p w14:paraId="4EA85792" w14:textId="586556B6" w:rsidR="0063530B" w:rsidRDefault="00BA6891">
      <w:pPr>
        <w:pStyle w:val="TOC2"/>
        <w:tabs>
          <w:tab w:val="left" w:pos="1128"/>
        </w:tabs>
        <w:rPr>
          <w:noProof/>
          <w:lang w:val="hr-HR" w:eastAsia="hr-HR"/>
        </w:rPr>
      </w:pPr>
      <w:hyperlink w:anchor="_Toc39133267" w:history="1">
        <w:r w:rsidR="0063530B" w:rsidRPr="008B39E4">
          <w:rPr>
            <w:rStyle w:val="Hyperlink"/>
            <w:noProof/>
          </w:rPr>
          <w:t>3.2.</w:t>
        </w:r>
        <w:r w:rsidR="0063530B">
          <w:rPr>
            <w:noProof/>
            <w:lang w:val="hr-HR" w:eastAsia="hr-HR"/>
          </w:rPr>
          <w:tab/>
        </w:r>
        <w:r w:rsidR="0063530B" w:rsidRPr="008B39E4">
          <w:rPr>
            <w:rStyle w:val="Hyperlink"/>
            <w:noProof/>
          </w:rPr>
          <w:t>CILJEVI REPUBLIKE HRVATSKE</w:t>
        </w:r>
        <w:r w:rsidR="0063530B">
          <w:rPr>
            <w:noProof/>
            <w:webHidden/>
          </w:rPr>
          <w:tab/>
        </w:r>
        <w:r w:rsidR="0063530B">
          <w:rPr>
            <w:noProof/>
            <w:webHidden/>
          </w:rPr>
          <w:fldChar w:fldCharType="begin"/>
        </w:r>
        <w:r w:rsidR="0063530B">
          <w:rPr>
            <w:noProof/>
            <w:webHidden/>
          </w:rPr>
          <w:instrText xml:space="preserve"> PAGEREF _Toc39133267 \h </w:instrText>
        </w:r>
        <w:r w:rsidR="0063530B">
          <w:rPr>
            <w:noProof/>
            <w:webHidden/>
          </w:rPr>
        </w:r>
        <w:r w:rsidR="0063530B">
          <w:rPr>
            <w:noProof/>
            <w:webHidden/>
          </w:rPr>
          <w:fldChar w:fldCharType="separate"/>
        </w:r>
        <w:r w:rsidR="0063530B">
          <w:rPr>
            <w:noProof/>
            <w:webHidden/>
          </w:rPr>
          <w:t>28</w:t>
        </w:r>
        <w:r w:rsidR="0063530B">
          <w:rPr>
            <w:noProof/>
            <w:webHidden/>
          </w:rPr>
          <w:fldChar w:fldCharType="end"/>
        </w:r>
      </w:hyperlink>
    </w:p>
    <w:p w14:paraId="2B34670A" w14:textId="4E454AAD" w:rsidR="0063530B" w:rsidRDefault="00BA6891">
      <w:pPr>
        <w:pStyle w:val="TOC3"/>
        <w:tabs>
          <w:tab w:val="left" w:pos="1400"/>
        </w:tabs>
        <w:rPr>
          <w:lang w:val="hr-HR" w:eastAsia="hr-HR"/>
        </w:rPr>
      </w:pPr>
      <w:hyperlink w:anchor="_Toc39133268" w:history="1">
        <w:r w:rsidR="0063530B" w:rsidRPr="008B39E4">
          <w:rPr>
            <w:rStyle w:val="Hyperlink"/>
          </w:rPr>
          <w:t>3.2.1.</w:t>
        </w:r>
        <w:r w:rsidR="0063530B">
          <w:rPr>
            <w:lang w:val="hr-HR" w:eastAsia="hr-HR"/>
          </w:rPr>
          <w:tab/>
        </w:r>
        <w:r w:rsidR="0063530B" w:rsidRPr="008B39E4">
          <w:rPr>
            <w:rStyle w:val="Hyperlink"/>
          </w:rPr>
          <w:t>Ciljevi Republike Hrvatske do 2020. godine</w:t>
        </w:r>
        <w:r w:rsidR="0063530B">
          <w:rPr>
            <w:webHidden/>
          </w:rPr>
          <w:tab/>
        </w:r>
        <w:r w:rsidR="0063530B">
          <w:rPr>
            <w:webHidden/>
          </w:rPr>
          <w:fldChar w:fldCharType="begin"/>
        </w:r>
        <w:r w:rsidR="0063530B">
          <w:rPr>
            <w:webHidden/>
          </w:rPr>
          <w:instrText xml:space="preserve"> PAGEREF _Toc39133268 \h </w:instrText>
        </w:r>
        <w:r w:rsidR="0063530B">
          <w:rPr>
            <w:webHidden/>
          </w:rPr>
        </w:r>
        <w:r w:rsidR="0063530B">
          <w:rPr>
            <w:webHidden/>
          </w:rPr>
          <w:fldChar w:fldCharType="separate"/>
        </w:r>
        <w:r w:rsidR="0063530B">
          <w:rPr>
            <w:webHidden/>
          </w:rPr>
          <w:t>29</w:t>
        </w:r>
        <w:r w:rsidR="0063530B">
          <w:rPr>
            <w:webHidden/>
          </w:rPr>
          <w:fldChar w:fldCharType="end"/>
        </w:r>
      </w:hyperlink>
    </w:p>
    <w:p w14:paraId="1461ACCC" w14:textId="6804B2FA" w:rsidR="0063530B" w:rsidRDefault="00BA6891">
      <w:pPr>
        <w:pStyle w:val="TOC3"/>
        <w:tabs>
          <w:tab w:val="left" w:pos="1400"/>
        </w:tabs>
        <w:rPr>
          <w:lang w:val="hr-HR" w:eastAsia="hr-HR"/>
        </w:rPr>
      </w:pPr>
      <w:hyperlink w:anchor="_Toc39133269" w:history="1">
        <w:r w:rsidR="0063530B" w:rsidRPr="008B39E4">
          <w:rPr>
            <w:rStyle w:val="Hyperlink"/>
          </w:rPr>
          <w:t>3.2.2.</w:t>
        </w:r>
        <w:r w:rsidR="0063530B">
          <w:rPr>
            <w:lang w:val="hr-HR" w:eastAsia="hr-HR"/>
          </w:rPr>
          <w:tab/>
        </w:r>
        <w:r w:rsidR="0063530B" w:rsidRPr="008B39E4">
          <w:rPr>
            <w:rStyle w:val="Hyperlink"/>
          </w:rPr>
          <w:t>Ciljevi Republike Hrvatske do 2030. godine</w:t>
        </w:r>
        <w:r w:rsidR="0063530B">
          <w:rPr>
            <w:webHidden/>
          </w:rPr>
          <w:tab/>
        </w:r>
        <w:r w:rsidR="0063530B">
          <w:rPr>
            <w:webHidden/>
          </w:rPr>
          <w:fldChar w:fldCharType="begin"/>
        </w:r>
        <w:r w:rsidR="0063530B">
          <w:rPr>
            <w:webHidden/>
          </w:rPr>
          <w:instrText xml:space="preserve"> PAGEREF _Toc39133269 \h </w:instrText>
        </w:r>
        <w:r w:rsidR="0063530B">
          <w:rPr>
            <w:webHidden/>
          </w:rPr>
        </w:r>
        <w:r w:rsidR="0063530B">
          <w:rPr>
            <w:webHidden/>
          </w:rPr>
          <w:fldChar w:fldCharType="separate"/>
        </w:r>
        <w:r w:rsidR="0063530B">
          <w:rPr>
            <w:webHidden/>
          </w:rPr>
          <w:t>29</w:t>
        </w:r>
        <w:r w:rsidR="0063530B">
          <w:rPr>
            <w:webHidden/>
          </w:rPr>
          <w:fldChar w:fldCharType="end"/>
        </w:r>
      </w:hyperlink>
    </w:p>
    <w:p w14:paraId="022ED080" w14:textId="1D3F6BD0" w:rsidR="0063530B" w:rsidRDefault="00BA6891">
      <w:pPr>
        <w:pStyle w:val="TOC3"/>
        <w:tabs>
          <w:tab w:val="left" w:pos="1400"/>
        </w:tabs>
        <w:rPr>
          <w:lang w:val="hr-HR" w:eastAsia="hr-HR"/>
        </w:rPr>
      </w:pPr>
      <w:hyperlink w:anchor="_Toc39133270" w:history="1">
        <w:r w:rsidR="0063530B" w:rsidRPr="008B39E4">
          <w:rPr>
            <w:rStyle w:val="Hyperlink"/>
          </w:rPr>
          <w:t>3.2.3.</w:t>
        </w:r>
        <w:r w:rsidR="0063530B">
          <w:rPr>
            <w:lang w:val="hr-HR" w:eastAsia="hr-HR"/>
          </w:rPr>
          <w:tab/>
        </w:r>
        <w:r w:rsidR="0063530B" w:rsidRPr="008B39E4">
          <w:rPr>
            <w:rStyle w:val="Hyperlink"/>
          </w:rPr>
          <w:t>Ciljevi Republike Hrvatske do 2050. godine</w:t>
        </w:r>
        <w:r w:rsidR="0063530B">
          <w:rPr>
            <w:webHidden/>
          </w:rPr>
          <w:tab/>
        </w:r>
        <w:r w:rsidR="0063530B">
          <w:rPr>
            <w:webHidden/>
          </w:rPr>
          <w:fldChar w:fldCharType="begin"/>
        </w:r>
        <w:r w:rsidR="0063530B">
          <w:rPr>
            <w:webHidden/>
          </w:rPr>
          <w:instrText xml:space="preserve"> PAGEREF _Toc39133270 \h </w:instrText>
        </w:r>
        <w:r w:rsidR="0063530B">
          <w:rPr>
            <w:webHidden/>
          </w:rPr>
        </w:r>
        <w:r w:rsidR="0063530B">
          <w:rPr>
            <w:webHidden/>
          </w:rPr>
          <w:fldChar w:fldCharType="separate"/>
        </w:r>
        <w:r w:rsidR="0063530B">
          <w:rPr>
            <w:webHidden/>
          </w:rPr>
          <w:t>29</w:t>
        </w:r>
        <w:r w:rsidR="0063530B">
          <w:rPr>
            <w:webHidden/>
          </w:rPr>
          <w:fldChar w:fldCharType="end"/>
        </w:r>
      </w:hyperlink>
    </w:p>
    <w:p w14:paraId="59016F6D" w14:textId="22FDFDB9" w:rsidR="0063530B" w:rsidRDefault="00BA6891">
      <w:pPr>
        <w:pStyle w:val="TOC2"/>
        <w:tabs>
          <w:tab w:val="left" w:pos="1128"/>
        </w:tabs>
        <w:rPr>
          <w:noProof/>
          <w:lang w:val="hr-HR" w:eastAsia="hr-HR"/>
        </w:rPr>
      </w:pPr>
      <w:hyperlink w:anchor="_Toc39133271" w:history="1">
        <w:r w:rsidR="0063530B" w:rsidRPr="008B39E4">
          <w:rPr>
            <w:rStyle w:val="Hyperlink"/>
            <w:noProof/>
          </w:rPr>
          <w:t>3.3.</w:t>
        </w:r>
        <w:r w:rsidR="0063530B">
          <w:rPr>
            <w:noProof/>
            <w:lang w:val="hr-HR" w:eastAsia="hr-HR"/>
          </w:rPr>
          <w:tab/>
        </w:r>
        <w:r w:rsidR="0063530B" w:rsidRPr="008B39E4">
          <w:rPr>
            <w:rStyle w:val="Hyperlink"/>
            <w:noProof/>
          </w:rPr>
          <w:t>TREND RAZVOJA</w:t>
        </w:r>
        <w:r w:rsidR="0063530B">
          <w:rPr>
            <w:noProof/>
            <w:webHidden/>
          </w:rPr>
          <w:tab/>
        </w:r>
        <w:r w:rsidR="0063530B">
          <w:rPr>
            <w:noProof/>
            <w:webHidden/>
          </w:rPr>
          <w:fldChar w:fldCharType="begin"/>
        </w:r>
        <w:r w:rsidR="0063530B">
          <w:rPr>
            <w:noProof/>
            <w:webHidden/>
          </w:rPr>
          <w:instrText xml:space="preserve"> PAGEREF _Toc39133271 \h </w:instrText>
        </w:r>
        <w:r w:rsidR="0063530B">
          <w:rPr>
            <w:noProof/>
            <w:webHidden/>
          </w:rPr>
        </w:r>
        <w:r w:rsidR="0063530B">
          <w:rPr>
            <w:noProof/>
            <w:webHidden/>
          </w:rPr>
          <w:fldChar w:fldCharType="separate"/>
        </w:r>
        <w:r w:rsidR="0063530B">
          <w:rPr>
            <w:noProof/>
            <w:webHidden/>
          </w:rPr>
          <w:t>30</w:t>
        </w:r>
        <w:r w:rsidR="0063530B">
          <w:rPr>
            <w:noProof/>
            <w:webHidden/>
          </w:rPr>
          <w:fldChar w:fldCharType="end"/>
        </w:r>
      </w:hyperlink>
    </w:p>
    <w:p w14:paraId="271C99E5" w14:textId="6AE5469B" w:rsidR="0063530B" w:rsidRDefault="00BA6891">
      <w:pPr>
        <w:pStyle w:val="TOC3"/>
        <w:tabs>
          <w:tab w:val="left" w:pos="1400"/>
        </w:tabs>
        <w:rPr>
          <w:lang w:val="hr-HR" w:eastAsia="hr-HR"/>
        </w:rPr>
      </w:pPr>
      <w:hyperlink w:anchor="_Toc39133272" w:history="1">
        <w:r w:rsidR="0063530B" w:rsidRPr="008B39E4">
          <w:rPr>
            <w:rStyle w:val="Hyperlink"/>
          </w:rPr>
          <w:t>3.3.1.</w:t>
        </w:r>
        <w:r w:rsidR="0063530B">
          <w:rPr>
            <w:lang w:val="hr-HR" w:eastAsia="hr-HR"/>
          </w:rPr>
          <w:tab/>
        </w:r>
        <w:r w:rsidR="0063530B" w:rsidRPr="008B39E4">
          <w:rPr>
            <w:rStyle w:val="Hyperlink"/>
          </w:rPr>
          <w:t>Makroekonomski parametri</w:t>
        </w:r>
        <w:r w:rsidR="0063530B">
          <w:rPr>
            <w:webHidden/>
          </w:rPr>
          <w:tab/>
        </w:r>
        <w:r w:rsidR="0063530B">
          <w:rPr>
            <w:webHidden/>
          </w:rPr>
          <w:fldChar w:fldCharType="begin"/>
        </w:r>
        <w:r w:rsidR="0063530B">
          <w:rPr>
            <w:webHidden/>
          </w:rPr>
          <w:instrText xml:space="preserve"> PAGEREF _Toc39133272 \h </w:instrText>
        </w:r>
        <w:r w:rsidR="0063530B">
          <w:rPr>
            <w:webHidden/>
          </w:rPr>
        </w:r>
        <w:r w:rsidR="0063530B">
          <w:rPr>
            <w:webHidden/>
          </w:rPr>
          <w:fldChar w:fldCharType="separate"/>
        </w:r>
        <w:r w:rsidR="0063530B">
          <w:rPr>
            <w:webHidden/>
          </w:rPr>
          <w:t>30</w:t>
        </w:r>
        <w:r w:rsidR="0063530B">
          <w:rPr>
            <w:webHidden/>
          </w:rPr>
          <w:fldChar w:fldCharType="end"/>
        </w:r>
      </w:hyperlink>
    </w:p>
    <w:p w14:paraId="0F48A2E3" w14:textId="1EBAE97D" w:rsidR="0063530B" w:rsidRDefault="00BA6891">
      <w:pPr>
        <w:pStyle w:val="TOC3"/>
        <w:tabs>
          <w:tab w:val="left" w:pos="1400"/>
        </w:tabs>
        <w:rPr>
          <w:lang w:val="hr-HR" w:eastAsia="hr-HR"/>
        </w:rPr>
      </w:pPr>
      <w:hyperlink w:anchor="_Toc39133273" w:history="1">
        <w:r w:rsidR="0063530B" w:rsidRPr="008B39E4">
          <w:rPr>
            <w:rStyle w:val="Hyperlink"/>
          </w:rPr>
          <w:t>3.3.2.</w:t>
        </w:r>
        <w:r w:rsidR="0063530B">
          <w:rPr>
            <w:lang w:val="hr-HR" w:eastAsia="hr-HR"/>
          </w:rPr>
          <w:tab/>
        </w:r>
        <w:r w:rsidR="0063530B" w:rsidRPr="008B39E4">
          <w:rPr>
            <w:rStyle w:val="Hyperlink"/>
          </w:rPr>
          <w:t>Utvrđivanje scenarija</w:t>
        </w:r>
        <w:r w:rsidR="0063530B">
          <w:rPr>
            <w:webHidden/>
          </w:rPr>
          <w:tab/>
        </w:r>
        <w:r w:rsidR="0063530B">
          <w:rPr>
            <w:webHidden/>
          </w:rPr>
          <w:fldChar w:fldCharType="begin"/>
        </w:r>
        <w:r w:rsidR="0063530B">
          <w:rPr>
            <w:webHidden/>
          </w:rPr>
          <w:instrText xml:space="preserve"> PAGEREF _Toc39133273 \h </w:instrText>
        </w:r>
        <w:r w:rsidR="0063530B">
          <w:rPr>
            <w:webHidden/>
          </w:rPr>
        </w:r>
        <w:r w:rsidR="0063530B">
          <w:rPr>
            <w:webHidden/>
          </w:rPr>
          <w:fldChar w:fldCharType="separate"/>
        </w:r>
        <w:r w:rsidR="0063530B">
          <w:rPr>
            <w:webHidden/>
          </w:rPr>
          <w:t>33</w:t>
        </w:r>
        <w:r w:rsidR="0063530B">
          <w:rPr>
            <w:webHidden/>
          </w:rPr>
          <w:fldChar w:fldCharType="end"/>
        </w:r>
      </w:hyperlink>
    </w:p>
    <w:p w14:paraId="709D96E2" w14:textId="1955A86D" w:rsidR="0063530B" w:rsidRDefault="00BA6891">
      <w:pPr>
        <w:pStyle w:val="TOC1"/>
        <w:tabs>
          <w:tab w:val="right" w:leader="dot" w:pos="9060"/>
        </w:tabs>
        <w:rPr>
          <w:szCs w:val="22"/>
          <w:lang w:val="hr-HR" w:eastAsia="hr-HR"/>
        </w:rPr>
      </w:pPr>
      <w:hyperlink w:anchor="_Toc39133274" w:history="1">
        <w:r w:rsidR="0063530B" w:rsidRPr="008B39E4">
          <w:rPr>
            <w:rStyle w:val="Hyperlink"/>
          </w:rPr>
          <w:t>4.</w:t>
        </w:r>
        <w:r w:rsidR="0063530B">
          <w:rPr>
            <w:szCs w:val="22"/>
            <w:lang w:val="hr-HR" w:eastAsia="hr-HR"/>
          </w:rPr>
          <w:tab/>
        </w:r>
        <w:r w:rsidR="0063530B" w:rsidRPr="008B39E4">
          <w:rPr>
            <w:rStyle w:val="Hyperlink"/>
          </w:rPr>
          <w:t>ENERGIJA IZ OBNOVLJIVIH IZVORA</w:t>
        </w:r>
        <w:r w:rsidR="0063530B">
          <w:rPr>
            <w:webHidden/>
          </w:rPr>
          <w:tab/>
        </w:r>
        <w:r w:rsidR="0063530B">
          <w:rPr>
            <w:webHidden/>
          </w:rPr>
          <w:fldChar w:fldCharType="begin"/>
        </w:r>
        <w:r w:rsidR="0063530B">
          <w:rPr>
            <w:webHidden/>
          </w:rPr>
          <w:instrText xml:space="preserve"> PAGEREF _Toc39133274 \h </w:instrText>
        </w:r>
        <w:r w:rsidR="0063530B">
          <w:rPr>
            <w:webHidden/>
          </w:rPr>
        </w:r>
        <w:r w:rsidR="0063530B">
          <w:rPr>
            <w:webHidden/>
          </w:rPr>
          <w:fldChar w:fldCharType="separate"/>
        </w:r>
        <w:r w:rsidR="0063530B">
          <w:rPr>
            <w:webHidden/>
          </w:rPr>
          <w:t>35</w:t>
        </w:r>
        <w:r w:rsidR="0063530B">
          <w:rPr>
            <w:webHidden/>
          </w:rPr>
          <w:fldChar w:fldCharType="end"/>
        </w:r>
      </w:hyperlink>
    </w:p>
    <w:p w14:paraId="68B253AF" w14:textId="029D9AEE" w:rsidR="0063530B" w:rsidRDefault="00BA6891">
      <w:pPr>
        <w:pStyle w:val="TOC1"/>
        <w:tabs>
          <w:tab w:val="right" w:leader="dot" w:pos="9060"/>
        </w:tabs>
        <w:rPr>
          <w:szCs w:val="22"/>
          <w:lang w:val="hr-HR" w:eastAsia="hr-HR"/>
        </w:rPr>
      </w:pPr>
      <w:hyperlink w:anchor="_Toc39133275" w:history="1">
        <w:r w:rsidR="0063530B" w:rsidRPr="008B39E4">
          <w:rPr>
            <w:rStyle w:val="Hyperlink"/>
          </w:rPr>
          <w:t>5.</w:t>
        </w:r>
        <w:r w:rsidR="0063530B">
          <w:rPr>
            <w:szCs w:val="22"/>
            <w:lang w:val="hr-HR" w:eastAsia="hr-HR"/>
          </w:rPr>
          <w:tab/>
        </w:r>
        <w:r w:rsidR="0063530B" w:rsidRPr="008B39E4">
          <w:rPr>
            <w:rStyle w:val="Hyperlink"/>
          </w:rPr>
          <w:t>ENERGETSKA UČINKOVITOST</w:t>
        </w:r>
        <w:r w:rsidR="0063530B">
          <w:rPr>
            <w:webHidden/>
          </w:rPr>
          <w:tab/>
        </w:r>
        <w:r w:rsidR="0063530B">
          <w:rPr>
            <w:webHidden/>
          </w:rPr>
          <w:fldChar w:fldCharType="begin"/>
        </w:r>
        <w:r w:rsidR="0063530B">
          <w:rPr>
            <w:webHidden/>
          </w:rPr>
          <w:instrText xml:space="preserve"> PAGEREF _Toc39133275 \h </w:instrText>
        </w:r>
        <w:r w:rsidR="0063530B">
          <w:rPr>
            <w:webHidden/>
          </w:rPr>
        </w:r>
        <w:r w:rsidR="0063530B">
          <w:rPr>
            <w:webHidden/>
          </w:rPr>
          <w:fldChar w:fldCharType="separate"/>
        </w:r>
        <w:r w:rsidR="0063530B">
          <w:rPr>
            <w:webHidden/>
          </w:rPr>
          <w:t>36</w:t>
        </w:r>
        <w:r w:rsidR="0063530B">
          <w:rPr>
            <w:webHidden/>
          </w:rPr>
          <w:fldChar w:fldCharType="end"/>
        </w:r>
      </w:hyperlink>
    </w:p>
    <w:p w14:paraId="1C415CE2" w14:textId="3BE50E25" w:rsidR="0063530B" w:rsidRDefault="00BA6891">
      <w:pPr>
        <w:pStyle w:val="TOC1"/>
        <w:tabs>
          <w:tab w:val="right" w:leader="dot" w:pos="9060"/>
        </w:tabs>
        <w:rPr>
          <w:szCs w:val="22"/>
          <w:lang w:val="hr-HR" w:eastAsia="hr-HR"/>
        </w:rPr>
      </w:pPr>
      <w:hyperlink w:anchor="_Toc39133276" w:history="1">
        <w:r w:rsidR="0063530B" w:rsidRPr="008B39E4">
          <w:rPr>
            <w:rStyle w:val="Hyperlink"/>
          </w:rPr>
          <w:t xml:space="preserve">6. </w:t>
        </w:r>
        <w:r w:rsidR="0063530B">
          <w:rPr>
            <w:szCs w:val="22"/>
            <w:lang w:val="hr-HR" w:eastAsia="hr-HR"/>
          </w:rPr>
          <w:tab/>
        </w:r>
        <w:r w:rsidR="0063530B" w:rsidRPr="008B39E4">
          <w:rPr>
            <w:rStyle w:val="Hyperlink"/>
          </w:rPr>
          <w:t>SCENARIJI NISKOUGLJIČNOG RAZVOJA PO SEKTORIMA</w:t>
        </w:r>
        <w:r w:rsidR="0063530B">
          <w:rPr>
            <w:webHidden/>
          </w:rPr>
          <w:tab/>
        </w:r>
        <w:r w:rsidR="0063530B">
          <w:rPr>
            <w:webHidden/>
          </w:rPr>
          <w:fldChar w:fldCharType="begin"/>
        </w:r>
        <w:r w:rsidR="0063530B">
          <w:rPr>
            <w:webHidden/>
          </w:rPr>
          <w:instrText xml:space="preserve"> PAGEREF _Toc39133276 \h </w:instrText>
        </w:r>
        <w:r w:rsidR="0063530B">
          <w:rPr>
            <w:webHidden/>
          </w:rPr>
        </w:r>
        <w:r w:rsidR="0063530B">
          <w:rPr>
            <w:webHidden/>
          </w:rPr>
          <w:fldChar w:fldCharType="separate"/>
        </w:r>
        <w:r w:rsidR="0063530B">
          <w:rPr>
            <w:webHidden/>
          </w:rPr>
          <w:t>37</w:t>
        </w:r>
        <w:r w:rsidR="0063530B">
          <w:rPr>
            <w:webHidden/>
          </w:rPr>
          <w:fldChar w:fldCharType="end"/>
        </w:r>
      </w:hyperlink>
    </w:p>
    <w:p w14:paraId="12950AB1" w14:textId="6F9E48F7" w:rsidR="0063530B" w:rsidRDefault="00BA6891">
      <w:pPr>
        <w:pStyle w:val="TOC2"/>
        <w:tabs>
          <w:tab w:val="left" w:pos="1128"/>
        </w:tabs>
        <w:rPr>
          <w:noProof/>
          <w:lang w:val="hr-HR" w:eastAsia="hr-HR"/>
        </w:rPr>
      </w:pPr>
      <w:hyperlink w:anchor="_Toc39133277" w:history="1">
        <w:r w:rsidR="0063530B" w:rsidRPr="008B39E4">
          <w:rPr>
            <w:rStyle w:val="Hyperlink"/>
            <w:noProof/>
          </w:rPr>
          <w:t xml:space="preserve">6.1. </w:t>
        </w:r>
        <w:r w:rsidR="0063530B">
          <w:rPr>
            <w:noProof/>
            <w:lang w:val="hr-HR" w:eastAsia="hr-HR"/>
          </w:rPr>
          <w:tab/>
        </w:r>
        <w:r w:rsidR="0063530B" w:rsidRPr="008B39E4">
          <w:rPr>
            <w:rStyle w:val="Hyperlink"/>
            <w:noProof/>
          </w:rPr>
          <w:t>PROIZVODNJA ELEKTRIČNE ENERGIJE I TOPLINE</w:t>
        </w:r>
        <w:r w:rsidR="0063530B">
          <w:rPr>
            <w:noProof/>
            <w:webHidden/>
          </w:rPr>
          <w:tab/>
        </w:r>
        <w:r w:rsidR="0063530B">
          <w:rPr>
            <w:noProof/>
            <w:webHidden/>
          </w:rPr>
          <w:fldChar w:fldCharType="begin"/>
        </w:r>
        <w:r w:rsidR="0063530B">
          <w:rPr>
            <w:noProof/>
            <w:webHidden/>
          </w:rPr>
          <w:instrText xml:space="preserve"> PAGEREF _Toc39133277 \h </w:instrText>
        </w:r>
        <w:r w:rsidR="0063530B">
          <w:rPr>
            <w:noProof/>
            <w:webHidden/>
          </w:rPr>
        </w:r>
        <w:r w:rsidR="0063530B">
          <w:rPr>
            <w:noProof/>
            <w:webHidden/>
          </w:rPr>
          <w:fldChar w:fldCharType="separate"/>
        </w:r>
        <w:r w:rsidR="0063530B">
          <w:rPr>
            <w:noProof/>
            <w:webHidden/>
          </w:rPr>
          <w:t>38</w:t>
        </w:r>
        <w:r w:rsidR="0063530B">
          <w:rPr>
            <w:noProof/>
            <w:webHidden/>
          </w:rPr>
          <w:fldChar w:fldCharType="end"/>
        </w:r>
      </w:hyperlink>
    </w:p>
    <w:p w14:paraId="7AC7F1CD" w14:textId="413BD156" w:rsidR="0063530B" w:rsidRDefault="00BA6891">
      <w:pPr>
        <w:pStyle w:val="TOC3"/>
        <w:rPr>
          <w:lang w:val="hr-HR" w:eastAsia="hr-HR"/>
        </w:rPr>
      </w:pPr>
      <w:hyperlink w:anchor="_Toc39133278" w:history="1">
        <w:r w:rsidR="0063530B" w:rsidRPr="008B39E4">
          <w:rPr>
            <w:rStyle w:val="Hyperlink"/>
          </w:rPr>
          <w:t>6.1.1. Emisije stakleničkih plinova</w:t>
        </w:r>
        <w:r w:rsidR="0063530B">
          <w:rPr>
            <w:webHidden/>
          </w:rPr>
          <w:tab/>
        </w:r>
        <w:r w:rsidR="0063530B">
          <w:rPr>
            <w:webHidden/>
          </w:rPr>
          <w:fldChar w:fldCharType="begin"/>
        </w:r>
        <w:r w:rsidR="0063530B">
          <w:rPr>
            <w:webHidden/>
          </w:rPr>
          <w:instrText xml:space="preserve"> PAGEREF _Toc39133278 \h </w:instrText>
        </w:r>
        <w:r w:rsidR="0063530B">
          <w:rPr>
            <w:webHidden/>
          </w:rPr>
        </w:r>
        <w:r w:rsidR="0063530B">
          <w:rPr>
            <w:webHidden/>
          </w:rPr>
          <w:fldChar w:fldCharType="separate"/>
        </w:r>
        <w:r w:rsidR="0063530B">
          <w:rPr>
            <w:webHidden/>
          </w:rPr>
          <w:t>38</w:t>
        </w:r>
        <w:r w:rsidR="0063530B">
          <w:rPr>
            <w:webHidden/>
          </w:rPr>
          <w:fldChar w:fldCharType="end"/>
        </w:r>
      </w:hyperlink>
    </w:p>
    <w:p w14:paraId="63944CF1" w14:textId="6DE5B834" w:rsidR="0063530B" w:rsidRDefault="00BA6891">
      <w:pPr>
        <w:pStyle w:val="TOC3"/>
        <w:tabs>
          <w:tab w:val="left" w:pos="1400"/>
        </w:tabs>
        <w:rPr>
          <w:lang w:val="hr-HR" w:eastAsia="hr-HR"/>
        </w:rPr>
      </w:pPr>
      <w:hyperlink w:anchor="_Toc39133279" w:history="1">
        <w:r w:rsidR="0063530B" w:rsidRPr="008B39E4">
          <w:rPr>
            <w:rStyle w:val="Hyperlink"/>
          </w:rPr>
          <w:t>6.1.2.</w:t>
        </w:r>
        <w:r w:rsidR="0063530B">
          <w:rPr>
            <w:lang w:val="hr-HR" w:eastAsia="hr-HR"/>
          </w:rPr>
          <w:tab/>
        </w:r>
        <w:r w:rsidR="0063530B" w:rsidRPr="008B39E4">
          <w:rPr>
            <w:rStyle w:val="Hyperlink"/>
          </w:rPr>
          <w:t>Politike i mjere za niskougljični razvoj</w:t>
        </w:r>
        <w:r w:rsidR="0063530B">
          <w:rPr>
            <w:webHidden/>
          </w:rPr>
          <w:tab/>
        </w:r>
        <w:r w:rsidR="0063530B">
          <w:rPr>
            <w:webHidden/>
          </w:rPr>
          <w:fldChar w:fldCharType="begin"/>
        </w:r>
        <w:r w:rsidR="0063530B">
          <w:rPr>
            <w:webHidden/>
          </w:rPr>
          <w:instrText xml:space="preserve"> PAGEREF _Toc39133279 \h </w:instrText>
        </w:r>
        <w:r w:rsidR="0063530B">
          <w:rPr>
            <w:webHidden/>
          </w:rPr>
        </w:r>
        <w:r w:rsidR="0063530B">
          <w:rPr>
            <w:webHidden/>
          </w:rPr>
          <w:fldChar w:fldCharType="separate"/>
        </w:r>
        <w:r w:rsidR="0063530B">
          <w:rPr>
            <w:webHidden/>
          </w:rPr>
          <w:t>38</w:t>
        </w:r>
        <w:r w:rsidR="0063530B">
          <w:rPr>
            <w:webHidden/>
          </w:rPr>
          <w:fldChar w:fldCharType="end"/>
        </w:r>
      </w:hyperlink>
    </w:p>
    <w:p w14:paraId="4B58A2F9" w14:textId="09F26D14" w:rsidR="0063530B" w:rsidRDefault="00BA6891">
      <w:pPr>
        <w:pStyle w:val="TOC3"/>
        <w:rPr>
          <w:lang w:val="hr-HR" w:eastAsia="hr-HR"/>
        </w:rPr>
      </w:pPr>
      <w:hyperlink w:anchor="_Toc39133280" w:history="1">
        <w:r w:rsidR="0063530B" w:rsidRPr="008B39E4">
          <w:rPr>
            <w:rStyle w:val="Hyperlink"/>
          </w:rPr>
          <w:t>6.1.3. Smjernice za niskougljični razvoj</w:t>
        </w:r>
        <w:r w:rsidR="0063530B">
          <w:rPr>
            <w:webHidden/>
          </w:rPr>
          <w:tab/>
        </w:r>
        <w:r w:rsidR="0063530B">
          <w:rPr>
            <w:webHidden/>
          </w:rPr>
          <w:fldChar w:fldCharType="begin"/>
        </w:r>
        <w:r w:rsidR="0063530B">
          <w:rPr>
            <w:webHidden/>
          </w:rPr>
          <w:instrText xml:space="preserve"> PAGEREF _Toc39133280 \h </w:instrText>
        </w:r>
        <w:r w:rsidR="0063530B">
          <w:rPr>
            <w:webHidden/>
          </w:rPr>
        </w:r>
        <w:r w:rsidR="0063530B">
          <w:rPr>
            <w:webHidden/>
          </w:rPr>
          <w:fldChar w:fldCharType="separate"/>
        </w:r>
        <w:r w:rsidR="0063530B">
          <w:rPr>
            <w:webHidden/>
          </w:rPr>
          <w:t>40</w:t>
        </w:r>
        <w:r w:rsidR="0063530B">
          <w:rPr>
            <w:webHidden/>
          </w:rPr>
          <w:fldChar w:fldCharType="end"/>
        </w:r>
      </w:hyperlink>
    </w:p>
    <w:p w14:paraId="22711A1A" w14:textId="3F58BC33" w:rsidR="0063530B" w:rsidRDefault="00BA6891">
      <w:pPr>
        <w:pStyle w:val="TOC2"/>
        <w:tabs>
          <w:tab w:val="left" w:pos="1128"/>
        </w:tabs>
        <w:rPr>
          <w:noProof/>
          <w:lang w:val="hr-HR" w:eastAsia="hr-HR"/>
        </w:rPr>
      </w:pPr>
      <w:hyperlink w:anchor="_Toc39133281" w:history="1">
        <w:r w:rsidR="0063530B" w:rsidRPr="008B39E4">
          <w:rPr>
            <w:rStyle w:val="Hyperlink"/>
            <w:noProof/>
          </w:rPr>
          <w:t xml:space="preserve">6.2. </w:t>
        </w:r>
        <w:r w:rsidR="0063530B">
          <w:rPr>
            <w:noProof/>
            <w:lang w:val="hr-HR" w:eastAsia="hr-HR"/>
          </w:rPr>
          <w:tab/>
        </w:r>
        <w:r w:rsidR="0063530B" w:rsidRPr="008B39E4">
          <w:rPr>
            <w:rStyle w:val="Hyperlink"/>
            <w:noProof/>
          </w:rPr>
          <w:t>PROIZVODNJA I PRERADA GORIVA</w:t>
        </w:r>
        <w:r w:rsidR="0063530B">
          <w:rPr>
            <w:noProof/>
            <w:webHidden/>
          </w:rPr>
          <w:tab/>
        </w:r>
        <w:r w:rsidR="0063530B">
          <w:rPr>
            <w:noProof/>
            <w:webHidden/>
          </w:rPr>
          <w:fldChar w:fldCharType="begin"/>
        </w:r>
        <w:r w:rsidR="0063530B">
          <w:rPr>
            <w:noProof/>
            <w:webHidden/>
          </w:rPr>
          <w:instrText xml:space="preserve"> PAGEREF _Toc39133281 \h </w:instrText>
        </w:r>
        <w:r w:rsidR="0063530B">
          <w:rPr>
            <w:noProof/>
            <w:webHidden/>
          </w:rPr>
        </w:r>
        <w:r w:rsidR="0063530B">
          <w:rPr>
            <w:noProof/>
            <w:webHidden/>
          </w:rPr>
          <w:fldChar w:fldCharType="separate"/>
        </w:r>
        <w:r w:rsidR="0063530B">
          <w:rPr>
            <w:noProof/>
            <w:webHidden/>
          </w:rPr>
          <w:t>41</w:t>
        </w:r>
        <w:r w:rsidR="0063530B">
          <w:rPr>
            <w:noProof/>
            <w:webHidden/>
          </w:rPr>
          <w:fldChar w:fldCharType="end"/>
        </w:r>
      </w:hyperlink>
    </w:p>
    <w:p w14:paraId="680323A5" w14:textId="2A3656BB" w:rsidR="0063530B" w:rsidRDefault="00BA6891">
      <w:pPr>
        <w:pStyle w:val="TOC3"/>
        <w:rPr>
          <w:lang w:val="hr-HR" w:eastAsia="hr-HR"/>
        </w:rPr>
      </w:pPr>
      <w:hyperlink w:anchor="_Toc39133282" w:history="1">
        <w:r w:rsidR="0063530B" w:rsidRPr="008B39E4">
          <w:rPr>
            <w:rStyle w:val="Hyperlink"/>
          </w:rPr>
          <w:t>6.2.1. Emisije stakleničkih plinova</w:t>
        </w:r>
        <w:r w:rsidR="0063530B">
          <w:rPr>
            <w:webHidden/>
          </w:rPr>
          <w:tab/>
        </w:r>
        <w:r w:rsidR="0063530B">
          <w:rPr>
            <w:webHidden/>
          </w:rPr>
          <w:fldChar w:fldCharType="begin"/>
        </w:r>
        <w:r w:rsidR="0063530B">
          <w:rPr>
            <w:webHidden/>
          </w:rPr>
          <w:instrText xml:space="preserve"> PAGEREF _Toc39133282 \h </w:instrText>
        </w:r>
        <w:r w:rsidR="0063530B">
          <w:rPr>
            <w:webHidden/>
          </w:rPr>
        </w:r>
        <w:r w:rsidR="0063530B">
          <w:rPr>
            <w:webHidden/>
          </w:rPr>
          <w:fldChar w:fldCharType="separate"/>
        </w:r>
        <w:r w:rsidR="0063530B">
          <w:rPr>
            <w:webHidden/>
          </w:rPr>
          <w:t>41</w:t>
        </w:r>
        <w:r w:rsidR="0063530B">
          <w:rPr>
            <w:webHidden/>
          </w:rPr>
          <w:fldChar w:fldCharType="end"/>
        </w:r>
      </w:hyperlink>
    </w:p>
    <w:p w14:paraId="5B7B66BA" w14:textId="16AD3486" w:rsidR="0063530B" w:rsidRDefault="00BA6891">
      <w:pPr>
        <w:pStyle w:val="TOC3"/>
        <w:rPr>
          <w:lang w:val="hr-HR" w:eastAsia="hr-HR"/>
        </w:rPr>
      </w:pPr>
      <w:hyperlink w:anchor="_Toc39133283" w:history="1">
        <w:r w:rsidR="0063530B" w:rsidRPr="008B39E4">
          <w:rPr>
            <w:rStyle w:val="Hyperlink"/>
          </w:rPr>
          <w:t>6.2.2. Politike i mjere za niskougljični razvoj</w:t>
        </w:r>
        <w:r w:rsidR="0063530B">
          <w:rPr>
            <w:webHidden/>
          </w:rPr>
          <w:tab/>
        </w:r>
        <w:r w:rsidR="0063530B">
          <w:rPr>
            <w:webHidden/>
          </w:rPr>
          <w:fldChar w:fldCharType="begin"/>
        </w:r>
        <w:r w:rsidR="0063530B">
          <w:rPr>
            <w:webHidden/>
          </w:rPr>
          <w:instrText xml:space="preserve"> PAGEREF _Toc39133283 \h </w:instrText>
        </w:r>
        <w:r w:rsidR="0063530B">
          <w:rPr>
            <w:webHidden/>
          </w:rPr>
        </w:r>
        <w:r w:rsidR="0063530B">
          <w:rPr>
            <w:webHidden/>
          </w:rPr>
          <w:fldChar w:fldCharType="separate"/>
        </w:r>
        <w:r w:rsidR="0063530B">
          <w:rPr>
            <w:webHidden/>
          </w:rPr>
          <w:t>41</w:t>
        </w:r>
        <w:r w:rsidR="0063530B">
          <w:rPr>
            <w:webHidden/>
          </w:rPr>
          <w:fldChar w:fldCharType="end"/>
        </w:r>
      </w:hyperlink>
    </w:p>
    <w:p w14:paraId="2820DC17" w14:textId="4A767937" w:rsidR="0063530B" w:rsidRDefault="00BA6891">
      <w:pPr>
        <w:pStyle w:val="TOC3"/>
        <w:rPr>
          <w:lang w:val="hr-HR" w:eastAsia="hr-HR"/>
        </w:rPr>
      </w:pPr>
      <w:hyperlink w:anchor="_Toc39133284" w:history="1">
        <w:r w:rsidR="0063530B" w:rsidRPr="008B39E4">
          <w:rPr>
            <w:rStyle w:val="Hyperlink"/>
          </w:rPr>
          <w:t>6.2.3. Smjernice za niskougljični razvoj</w:t>
        </w:r>
        <w:r w:rsidR="0063530B">
          <w:rPr>
            <w:webHidden/>
          </w:rPr>
          <w:tab/>
        </w:r>
        <w:r w:rsidR="0063530B">
          <w:rPr>
            <w:webHidden/>
          </w:rPr>
          <w:fldChar w:fldCharType="begin"/>
        </w:r>
        <w:r w:rsidR="0063530B">
          <w:rPr>
            <w:webHidden/>
          </w:rPr>
          <w:instrText xml:space="preserve"> PAGEREF _Toc39133284 \h </w:instrText>
        </w:r>
        <w:r w:rsidR="0063530B">
          <w:rPr>
            <w:webHidden/>
          </w:rPr>
        </w:r>
        <w:r w:rsidR="0063530B">
          <w:rPr>
            <w:webHidden/>
          </w:rPr>
          <w:fldChar w:fldCharType="separate"/>
        </w:r>
        <w:r w:rsidR="0063530B">
          <w:rPr>
            <w:webHidden/>
          </w:rPr>
          <w:t>42</w:t>
        </w:r>
        <w:r w:rsidR="0063530B">
          <w:rPr>
            <w:webHidden/>
          </w:rPr>
          <w:fldChar w:fldCharType="end"/>
        </w:r>
      </w:hyperlink>
    </w:p>
    <w:p w14:paraId="0FA83520" w14:textId="319237AF" w:rsidR="0063530B" w:rsidRDefault="00BA6891">
      <w:pPr>
        <w:pStyle w:val="TOC2"/>
        <w:tabs>
          <w:tab w:val="left" w:pos="1128"/>
        </w:tabs>
        <w:rPr>
          <w:noProof/>
          <w:lang w:val="hr-HR" w:eastAsia="hr-HR"/>
        </w:rPr>
      </w:pPr>
      <w:hyperlink w:anchor="_Toc39133285" w:history="1">
        <w:r w:rsidR="0063530B" w:rsidRPr="008B39E4">
          <w:rPr>
            <w:rStyle w:val="Hyperlink"/>
            <w:noProof/>
          </w:rPr>
          <w:t>6.3.</w:t>
        </w:r>
        <w:r w:rsidR="0063530B">
          <w:rPr>
            <w:noProof/>
            <w:lang w:val="hr-HR" w:eastAsia="hr-HR"/>
          </w:rPr>
          <w:tab/>
        </w:r>
        <w:r w:rsidR="0063530B" w:rsidRPr="008B39E4">
          <w:rPr>
            <w:rStyle w:val="Hyperlink"/>
            <w:noProof/>
          </w:rPr>
          <w:t>PROMET</w:t>
        </w:r>
        <w:r w:rsidR="0063530B">
          <w:rPr>
            <w:noProof/>
            <w:webHidden/>
          </w:rPr>
          <w:tab/>
        </w:r>
        <w:r w:rsidR="0063530B">
          <w:rPr>
            <w:noProof/>
            <w:webHidden/>
          </w:rPr>
          <w:fldChar w:fldCharType="begin"/>
        </w:r>
        <w:r w:rsidR="0063530B">
          <w:rPr>
            <w:noProof/>
            <w:webHidden/>
          </w:rPr>
          <w:instrText xml:space="preserve"> PAGEREF _Toc39133285 \h </w:instrText>
        </w:r>
        <w:r w:rsidR="0063530B">
          <w:rPr>
            <w:noProof/>
            <w:webHidden/>
          </w:rPr>
        </w:r>
        <w:r w:rsidR="0063530B">
          <w:rPr>
            <w:noProof/>
            <w:webHidden/>
          </w:rPr>
          <w:fldChar w:fldCharType="separate"/>
        </w:r>
        <w:r w:rsidR="0063530B">
          <w:rPr>
            <w:noProof/>
            <w:webHidden/>
          </w:rPr>
          <w:t>43</w:t>
        </w:r>
        <w:r w:rsidR="0063530B">
          <w:rPr>
            <w:noProof/>
            <w:webHidden/>
          </w:rPr>
          <w:fldChar w:fldCharType="end"/>
        </w:r>
      </w:hyperlink>
    </w:p>
    <w:p w14:paraId="430ACD23" w14:textId="404A2A69" w:rsidR="0063530B" w:rsidRDefault="00BA6891">
      <w:pPr>
        <w:pStyle w:val="TOC3"/>
        <w:tabs>
          <w:tab w:val="left" w:pos="1400"/>
        </w:tabs>
        <w:rPr>
          <w:lang w:val="hr-HR" w:eastAsia="hr-HR"/>
        </w:rPr>
      </w:pPr>
      <w:hyperlink w:anchor="_Toc39133286" w:history="1">
        <w:r w:rsidR="0063530B" w:rsidRPr="008B39E4">
          <w:rPr>
            <w:rStyle w:val="Hyperlink"/>
          </w:rPr>
          <w:t>6.3.1.</w:t>
        </w:r>
        <w:r w:rsidR="0063530B">
          <w:rPr>
            <w:lang w:val="hr-HR" w:eastAsia="hr-HR"/>
          </w:rPr>
          <w:tab/>
        </w:r>
        <w:r w:rsidR="0063530B" w:rsidRPr="008B39E4">
          <w:rPr>
            <w:rStyle w:val="Hyperlink"/>
          </w:rPr>
          <w:t>Emisije stakleničkih plinova</w:t>
        </w:r>
        <w:r w:rsidR="0063530B">
          <w:rPr>
            <w:webHidden/>
          </w:rPr>
          <w:tab/>
        </w:r>
        <w:r w:rsidR="0063530B">
          <w:rPr>
            <w:webHidden/>
          </w:rPr>
          <w:fldChar w:fldCharType="begin"/>
        </w:r>
        <w:r w:rsidR="0063530B">
          <w:rPr>
            <w:webHidden/>
          </w:rPr>
          <w:instrText xml:space="preserve"> PAGEREF _Toc39133286 \h </w:instrText>
        </w:r>
        <w:r w:rsidR="0063530B">
          <w:rPr>
            <w:webHidden/>
          </w:rPr>
        </w:r>
        <w:r w:rsidR="0063530B">
          <w:rPr>
            <w:webHidden/>
          </w:rPr>
          <w:fldChar w:fldCharType="separate"/>
        </w:r>
        <w:r w:rsidR="0063530B">
          <w:rPr>
            <w:webHidden/>
          </w:rPr>
          <w:t>43</w:t>
        </w:r>
        <w:r w:rsidR="0063530B">
          <w:rPr>
            <w:webHidden/>
          </w:rPr>
          <w:fldChar w:fldCharType="end"/>
        </w:r>
      </w:hyperlink>
    </w:p>
    <w:p w14:paraId="106CA09E" w14:textId="4602B71C" w:rsidR="0063530B" w:rsidRDefault="00BA6891">
      <w:pPr>
        <w:pStyle w:val="TOC3"/>
        <w:tabs>
          <w:tab w:val="left" w:pos="1400"/>
        </w:tabs>
        <w:rPr>
          <w:lang w:val="hr-HR" w:eastAsia="hr-HR"/>
        </w:rPr>
      </w:pPr>
      <w:hyperlink w:anchor="_Toc39133287" w:history="1">
        <w:r w:rsidR="0063530B" w:rsidRPr="008B39E4">
          <w:rPr>
            <w:rStyle w:val="Hyperlink"/>
          </w:rPr>
          <w:t>6.3.2.</w:t>
        </w:r>
        <w:r w:rsidR="0063530B">
          <w:rPr>
            <w:lang w:val="hr-HR" w:eastAsia="hr-HR"/>
          </w:rPr>
          <w:tab/>
        </w:r>
        <w:r w:rsidR="0063530B" w:rsidRPr="008B39E4">
          <w:rPr>
            <w:rStyle w:val="Hyperlink"/>
          </w:rPr>
          <w:t>Politike i mjere za niskougljični razvoj</w:t>
        </w:r>
        <w:r w:rsidR="0063530B">
          <w:rPr>
            <w:webHidden/>
          </w:rPr>
          <w:tab/>
        </w:r>
        <w:r w:rsidR="0063530B">
          <w:rPr>
            <w:webHidden/>
          </w:rPr>
          <w:fldChar w:fldCharType="begin"/>
        </w:r>
        <w:r w:rsidR="0063530B">
          <w:rPr>
            <w:webHidden/>
          </w:rPr>
          <w:instrText xml:space="preserve"> PAGEREF _Toc39133287 \h </w:instrText>
        </w:r>
        <w:r w:rsidR="0063530B">
          <w:rPr>
            <w:webHidden/>
          </w:rPr>
        </w:r>
        <w:r w:rsidR="0063530B">
          <w:rPr>
            <w:webHidden/>
          </w:rPr>
          <w:fldChar w:fldCharType="separate"/>
        </w:r>
        <w:r w:rsidR="0063530B">
          <w:rPr>
            <w:webHidden/>
          </w:rPr>
          <w:t>43</w:t>
        </w:r>
        <w:r w:rsidR="0063530B">
          <w:rPr>
            <w:webHidden/>
          </w:rPr>
          <w:fldChar w:fldCharType="end"/>
        </w:r>
      </w:hyperlink>
    </w:p>
    <w:p w14:paraId="325A8C44" w14:textId="36FEF375" w:rsidR="0063530B" w:rsidRDefault="00BA6891">
      <w:pPr>
        <w:pStyle w:val="TOC3"/>
        <w:tabs>
          <w:tab w:val="left" w:pos="1400"/>
        </w:tabs>
        <w:rPr>
          <w:lang w:val="hr-HR" w:eastAsia="hr-HR"/>
        </w:rPr>
      </w:pPr>
      <w:hyperlink w:anchor="_Toc39133288" w:history="1">
        <w:r w:rsidR="0063530B" w:rsidRPr="008B39E4">
          <w:rPr>
            <w:rStyle w:val="Hyperlink"/>
          </w:rPr>
          <w:t>6.3.3.</w:t>
        </w:r>
        <w:r w:rsidR="0063530B">
          <w:rPr>
            <w:lang w:val="hr-HR" w:eastAsia="hr-HR"/>
          </w:rPr>
          <w:tab/>
        </w:r>
        <w:r w:rsidR="0063530B" w:rsidRPr="008B39E4">
          <w:rPr>
            <w:rStyle w:val="Hyperlink"/>
          </w:rPr>
          <w:t>Smjernice za niskougljični razvoj</w:t>
        </w:r>
        <w:r w:rsidR="0063530B">
          <w:rPr>
            <w:webHidden/>
          </w:rPr>
          <w:tab/>
        </w:r>
        <w:r w:rsidR="0063530B">
          <w:rPr>
            <w:webHidden/>
          </w:rPr>
          <w:fldChar w:fldCharType="begin"/>
        </w:r>
        <w:r w:rsidR="0063530B">
          <w:rPr>
            <w:webHidden/>
          </w:rPr>
          <w:instrText xml:space="preserve"> PAGEREF _Toc39133288 \h </w:instrText>
        </w:r>
        <w:r w:rsidR="0063530B">
          <w:rPr>
            <w:webHidden/>
          </w:rPr>
        </w:r>
        <w:r w:rsidR="0063530B">
          <w:rPr>
            <w:webHidden/>
          </w:rPr>
          <w:fldChar w:fldCharType="separate"/>
        </w:r>
        <w:r w:rsidR="0063530B">
          <w:rPr>
            <w:webHidden/>
          </w:rPr>
          <w:t>44</w:t>
        </w:r>
        <w:r w:rsidR="0063530B">
          <w:rPr>
            <w:webHidden/>
          </w:rPr>
          <w:fldChar w:fldCharType="end"/>
        </w:r>
      </w:hyperlink>
    </w:p>
    <w:p w14:paraId="56C3CF63" w14:textId="63A9FB48" w:rsidR="0063530B" w:rsidRDefault="00BA6891">
      <w:pPr>
        <w:pStyle w:val="TOC2"/>
        <w:tabs>
          <w:tab w:val="left" w:pos="1128"/>
        </w:tabs>
        <w:rPr>
          <w:noProof/>
          <w:lang w:val="hr-HR" w:eastAsia="hr-HR"/>
        </w:rPr>
      </w:pPr>
      <w:hyperlink w:anchor="_Toc39133289" w:history="1">
        <w:r w:rsidR="0063530B" w:rsidRPr="008B39E4">
          <w:rPr>
            <w:rStyle w:val="Hyperlink"/>
            <w:noProof/>
          </w:rPr>
          <w:t>6.4.</w:t>
        </w:r>
        <w:r w:rsidR="0063530B">
          <w:rPr>
            <w:noProof/>
            <w:lang w:val="hr-HR" w:eastAsia="hr-HR"/>
          </w:rPr>
          <w:tab/>
        </w:r>
        <w:r w:rsidR="0063530B" w:rsidRPr="008B39E4">
          <w:rPr>
            <w:rStyle w:val="Hyperlink"/>
            <w:noProof/>
          </w:rPr>
          <w:t>SEKTOR OPĆE POTROŠNJE</w:t>
        </w:r>
        <w:r w:rsidR="0063530B">
          <w:rPr>
            <w:noProof/>
            <w:webHidden/>
          </w:rPr>
          <w:tab/>
        </w:r>
        <w:r w:rsidR="0063530B">
          <w:rPr>
            <w:noProof/>
            <w:webHidden/>
          </w:rPr>
          <w:fldChar w:fldCharType="begin"/>
        </w:r>
        <w:r w:rsidR="0063530B">
          <w:rPr>
            <w:noProof/>
            <w:webHidden/>
          </w:rPr>
          <w:instrText xml:space="preserve"> PAGEREF _Toc39133289 \h </w:instrText>
        </w:r>
        <w:r w:rsidR="0063530B">
          <w:rPr>
            <w:noProof/>
            <w:webHidden/>
          </w:rPr>
        </w:r>
        <w:r w:rsidR="0063530B">
          <w:rPr>
            <w:noProof/>
            <w:webHidden/>
          </w:rPr>
          <w:fldChar w:fldCharType="separate"/>
        </w:r>
        <w:r w:rsidR="0063530B">
          <w:rPr>
            <w:noProof/>
            <w:webHidden/>
          </w:rPr>
          <w:t>45</w:t>
        </w:r>
        <w:r w:rsidR="0063530B">
          <w:rPr>
            <w:noProof/>
            <w:webHidden/>
          </w:rPr>
          <w:fldChar w:fldCharType="end"/>
        </w:r>
      </w:hyperlink>
    </w:p>
    <w:p w14:paraId="30F7FC22" w14:textId="64F98566" w:rsidR="0063530B" w:rsidRDefault="00BA6891">
      <w:pPr>
        <w:pStyle w:val="TOC3"/>
        <w:tabs>
          <w:tab w:val="left" w:pos="1400"/>
        </w:tabs>
        <w:rPr>
          <w:lang w:val="hr-HR" w:eastAsia="hr-HR"/>
        </w:rPr>
      </w:pPr>
      <w:hyperlink w:anchor="_Toc39133290" w:history="1">
        <w:r w:rsidR="0063530B" w:rsidRPr="008B39E4">
          <w:rPr>
            <w:rStyle w:val="Hyperlink"/>
          </w:rPr>
          <w:t>6.4.1.</w:t>
        </w:r>
        <w:r w:rsidR="0063530B">
          <w:rPr>
            <w:lang w:val="hr-HR" w:eastAsia="hr-HR"/>
          </w:rPr>
          <w:tab/>
        </w:r>
        <w:r w:rsidR="0063530B" w:rsidRPr="008B39E4">
          <w:rPr>
            <w:rStyle w:val="Hyperlink"/>
          </w:rPr>
          <w:t>Emisije stakleničkih plinova</w:t>
        </w:r>
        <w:r w:rsidR="0063530B">
          <w:rPr>
            <w:webHidden/>
          </w:rPr>
          <w:tab/>
        </w:r>
        <w:r w:rsidR="0063530B">
          <w:rPr>
            <w:webHidden/>
          </w:rPr>
          <w:fldChar w:fldCharType="begin"/>
        </w:r>
        <w:r w:rsidR="0063530B">
          <w:rPr>
            <w:webHidden/>
          </w:rPr>
          <w:instrText xml:space="preserve"> PAGEREF _Toc39133290 \h </w:instrText>
        </w:r>
        <w:r w:rsidR="0063530B">
          <w:rPr>
            <w:webHidden/>
          </w:rPr>
        </w:r>
        <w:r w:rsidR="0063530B">
          <w:rPr>
            <w:webHidden/>
          </w:rPr>
          <w:fldChar w:fldCharType="separate"/>
        </w:r>
        <w:r w:rsidR="0063530B">
          <w:rPr>
            <w:webHidden/>
          </w:rPr>
          <w:t>45</w:t>
        </w:r>
        <w:r w:rsidR="0063530B">
          <w:rPr>
            <w:webHidden/>
          </w:rPr>
          <w:fldChar w:fldCharType="end"/>
        </w:r>
      </w:hyperlink>
    </w:p>
    <w:p w14:paraId="34905ECC" w14:textId="5F060590" w:rsidR="0063530B" w:rsidRDefault="00BA6891">
      <w:pPr>
        <w:pStyle w:val="TOC3"/>
        <w:rPr>
          <w:lang w:val="hr-HR" w:eastAsia="hr-HR"/>
        </w:rPr>
      </w:pPr>
      <w:hyperlink w:anchor="_Toc39133291" w:history="1">
        <w:r w:rsidR="0063530B" w:rsidRPr="008B39E4">
          <w:rPr>
            <w:rStyle w:val="Hyperlink"/>
          </w:rPr>
          <w:t>6.4.2. Politike i mjere za niskougljični razvoj</w:t>
        </w:r>
        <w:r w:rsidR="0063530B">
          <w:rPr>
            <w:webHidden/>
          </w:rPr>
          <w:tab/>
        </w:r>
        <w:r w:rsidR="0063530B">
          <w:rPr>
            <w:webHidden/>
          </w:rPr>
          <w:fldChar w:fldCharType="begin"/>
        </w:r>
        <w:r w:rsidR="0063530B">
          <w:rPr>
            <w:webHidden/>
          </w:rPr>
          <w:instrText xml:space="preserve"> PAGEREF _Toc39133291 \h </w:instrText>
        </w:r>
        <w:r w:rsidR="0063530B">
          <w:rPr>
            <w:webHidden/>
          </w:rPr>
        </w:r>
        <w:r w:rsidR="0063530B">
          <w:rPr>
            <w:webHidden/>
          </w:rPr>
          <w:fldChar w:fldCharType="separate"/>
        </w:r>
        <w:r w:rsidR="0063530B">
          <w:rPr>
            <w:webHidden/>
          </w:rPr>
          <w:t>46</w:t>
        </w:r>
        <w:r w:rsidR="0063530B">
          <w:rPr>
            <w:webHidden/>
          </w:rPr>
          <w:fldChar w:fldCharType="end"/>
        </w:r>
      </w:hyperlink>
    </w:p>
    <w:p w14:paraId="219185AA" w14:textId="56212E0F" w:rsidR="0063530B" w:rsidRDefault="00BA6891">
      <w:pPr>
        <w:pStyle w:val="TOC3"/>
        <w:rPr>
          <w:lang w:val="hr-HR" w:eastAsia="hr-HR"/>
        </w:rPr>
      </w:pPr>
      <w:hyperlink w:anchor="_Toc39133292" w:history="1">
        <w:r w:rsidR="0063530B" w:rsidRPr="008B39E4">
          <w:rPr>
            <w:rStyle w:val="Hyperlink"/>
          </w:rPr>
          <w:t>6.4.3. Smjernice za niskougljični razvoj</w:t>
        </w:r>
        <w:r w:rsidR="0063530B">
          <w:rPr>
            <w:webHidden/>
          </w:rPr>
          <w:tab/>
        </w:r>
        <w:r w:rsidR="0063530B">
          <w:rPr>
            <w:webHidden/>
          </w:rPr>
          <w:fldChar w:fldCharType="begin"/>
        </w:r>
        <w:r w:rsidR="0063530B">
          <w:rPr>
            <w:webHidden/>
          </w:rPr>
          <w:instrText xml:space="preserve"> PAGEREF _Toc39133292 \h </w:instrText>
        </w:r>
        <w:r w:rsidR="0063530B">
          <w:rPr>
            <w:webHidden/>
          </w:rPr>
        </w:r>
        <w:r w:rsidR="0063530B">
          <w:rPr>
            <w:webHidden/>
          </w:rPr>
          <w:fldChar w:fldCharType="separate"/>
        </w:r>
        <w:r w:rsidR="0063530B">
          <w:rPr>
            <w:webHidden/>
          </w:rPr>
          <w:t>47</w:t>
        </w:r>
        <w:r w:rsidR="0063530B">
          <w:rPr>
            <w:webHidden/>
          </w:rPr>
          <w:fldChar w:fldCharType="end"/>
        </w:r>
      </w:hyperlink>
    </w:p>
    <w:p w14:paraId="66C17E28" w14:textId="02F94465" w:rsidR="0063530B" w:rsidRDefault="00BA6891">
      <w:pPr>
        <w:pStyle w:val="TOC2"/>
        <w:tabs>
          <w:tab w:val="left" w:pos="1128"/>
        </w:tabs>
        <w:rPr>
          <w:noProof/>
          <w:lang w:val="hr-HR" w:eastAsia="hr-HR"/>
        </w:rPr>
      </w:pPr>
      <w:hyperlink w:anchor="_Toc39133293" w:history="1">
        <w:r w:rsidR="0063530B" w:rsidRPr="008B39E4">
          <w:rPr>
            <w:rStyle w:val="Hyperlink"/>
            <w:noProof/>
          </w:rPr>
          <w:t>6.5.</w:t>
        </w:r>
        <w:r w:rsidR="0063530B">
          <w:rPr>
            <w:noProof/>
            <w:lang w:val="hr-HR" w:eastAsia="hr-HR"/>
          </w:rPr>
          <w:tab/>
        </w:r>
        <w:r w:rsidR="0063530B" w:rsidRPr="008B39E4">
          <w:rPr>
            <w:rStyle w:val="Hyperlink"/>
            <w:noProof/>
          </w:rPr>
          <w:t>INDUSTRIJA</w:t>
        </w:r>
        <w:r w:rsidR="0063530B">
          <w:rPr>
            <w:noProof/>
            <w:webHidden/>
          </w:rPr>
          <w:tab/>
        </w:r>
        <w:r w:rsidR="0063530B">
          <w:rPr>
            <w:noProof/>
            <w:webHidden/>
          </w:rPr>
          <w:fldChar w:fldCharType="begin"/>
        </w:r>
        <w:r w:rsidR="0063530B">
          <w:rPr>
            <w:noProof/>
            <w:webHidden/>
          </w:rPr>
          <w:instrText xml:space="preserve"> PAGEREF _Toc39133293 \h </w:instrText>
        </w:r>
        <w:r w:rsidR="0063530B">
          <w:rPr>
            <w:noProof/>
            <w:webHidden/>
          </w:rPr>
        </w:r>
        <w:r w:rsidR="0063530B">
          <w:rPr>
            <w:noProof/>
            <w:webHidden/>
          </w:rPr>
          <w:fldChar w:fldCharType="separate"/>
        </w:r>
        <w:r w:rsidR="0063530B">
          <w:rPr>
            <w:noProof/>
            <w:webHidden/>
          </w:rPr>
          <w:t>48</w:t>
        </w:r>
        <w:r w:rsidR="0063530B">
          <w:rPr>
            <w:noProof/>
            <w:webHidden/>
          </w:rPr>
          <w:fldChar w:fldCharType="end"/>
        </w:r>
      </w:hyperlink>
    </w:p>
    <w:p w14:paraId="2811B59A" w14:textId="198F28BD" w:rsidR="0063530B" w:rsidRDefault="00BA6891">
      <w:pPr>
        <w:pStyle w:val="TOC3"/>
        <w:tabs>
          <w:tab w:val="left" w:pos="1400"/>
        </w:tabs>
        <w:rPr>
          <w:lang w:val="hr-HR" w:eastAsia="hr-HR"/>
        </w:rPr>
      </w:pPr>
      <w:hyperlink w:anchor="_Toc39133294" w:history="1">
        <w:r w:rsidR="0063530B" w:rsidRPr="008B39E4">
          <w:rPr>
            <w:rStyle w:val="Hyperlink"/>
          </w:rPr>
          <w:t>6.5.1.</w:t>
        </w:r>
        <w:r w:rsidR="0063530B">
          <w:rPr>
            <w:lang w:val="hr-HR" w:eastAsia="hr-HR"/>
          </w:rPr>
          <w:tab/>
        </w:r>
        <w:r w:rsidR="0063530B" w:rsidRPr="008B39E4">
          <w:rPr>
            <w:rStyle w:val="Hyperlink"/>
          </w:rPr>
          <w:t>Emisije stakleničkih plinova</w:t>
        </w:r>
        <w:r w:rsidR="0063530B">
          <w:rPr>
            <w:webHidden/>
          </w:rPr>
          <w:tab/>
        </w:r>
        <w:r w:rsidR="0063530B">
          <w:rPr>
            <w:webHidden/>
          </w:rPr>
          <w:fldChar w:fldCharType="begin"/>
        </w:r>
        <w:r w:rsidR="0063530B">
          <w:rPr>
            <w:webHidden/>
          </w:rPr>
          <w:instrText xml:space="preserve"> PAGEREF _Toc39133294 \h </w:instrText>
        </w:r>
        <w:r w:rsidR="0063530B">
          <w:rPr>
            <w:webHidden/>
          </w:rPr>
        </w:r>
        <w:r w:rsidR="0063530B">
          <w:rPr>
            <w:webHidden/>
          </w:rPr>
          <w:fldChar w:fldCharType="separate"/>
        </w:r>
        <w:r w:rsidR="0063530B">
          <w:rPr>
            <w:webHidden/>
          </w:rPr>
          <w:t>48</w:t>
        </w:r>
        <w:r w:rsidR="0063530B">
          <w:rPr>
            <w:webHidden/>
          </w:rPr>
          <w:fldChar w:fldCharType="end"/>
        </w:r>
      </w:hyperlink>
    </w:p>
    <w:p w14:paraId="4A708C18" w14:textId="4B60A3AF" w:rsidR="0063530B" w:rsidRDefault="00BA6891">
      <w:pPr>
        <w:pStyle w:val="TOC3"/>
        <w:tabs>
          <w:tab w:val="left" w:pos="1400"/>
        </w:tabs>
        <w:rPr>
          <w:lang w:val="hr-HR" w:eastAsia="hr-HR"/>
        </w:rPr>
      </w:pPr>
      <w:hyperlink w:anchor="_Toc39133295" w:history="1">
        <w:r w:rsidR="0063530B" w:rsidRPr="008B39E4">
          <w:rPr>
            <w:rStyle w:val="Hyperlink"/>
          </w:rPr>
          <w:t>6.5.2.</w:t>
        </w:r>
        <w:r w:rsidR="0063530B">
          <w:rPr>
            <w:lang w:val="hr-HR" w:eastAsia="hr-HR"/>
          </w:rPr>
          <w:tab/>
        </w:r>
        <w:r w:rsidR="0063530B" w:rsidRPr="008B39E4">
          <w:rPr>
            <w:rStyle w:val="Hyperlink"/>
          </w:rPr>
          <w:t>Politike i mjere za niskougljični razvoj</w:t>
        </w:r>
        <w:r w:rsidR="0063530B">
          <w:rPr>
            <w:webHidden/>
          </w:rPr>
          <w:tab/>
        </w:r>
        <w:r w:rsidR="0063530B">
          <w:rPr>
            <w:webHidden/>
          </w:rPr>
          <w:fldChar w:fldCharType="begin"/>
        </w:r>
        <w:r w:rsidR="0063530B">
          <w:rPr>
            <w:webHidden/>
          </w:rPr>
          <w:instrText xml:space="preserve"> PAGEREF _Toc39133295 \h </w:instrText>
        </w:r>
        <w:r w:rsidR="0063530B">
          <w:rPr>
            <w:webHidden/>
          </w:rPr>
        </w:r>
        <w:r w:rsidR="0063530B">
          <w:rPr>
            <w:webHidden/>
          </w:rPr>
          <w:fldChar w:fldCharType="separate"/>
        </w:r>
        <w:r w:rsidR="0063530B">
          <w:rPr>
            <w:webHidden/>
          </w:rPr>
          <w:t>48</w:t>
        </w:r>
        <w:r w:rsidR="0063530B">
          <w:rPr>
            <w:webHidden/>
          </w:rPr>
          <w:fldChar w:fldCharType="end"/>
        </w:r>
      </w:hyperlink>
    </w:p>
    <w:p w14:paraId="5ABB4291" w14:textId="361B68F4" w:rsidR="0063530B" w:rsidRDefault="00BA6891">
      <w:pPr>
        <w:pStyle w:val="TOC3"/>
        <w:tabs>
          <w:tab w:val="left" w:pos="1400"/>
        </w:tabs>
        <w:rPr>
          <w:lang w:val="hr-HR" w:eastAsia="hr-HR"/>
        </w:rPr>
      </w:pPr>
      <w:hyperlink w:anchor="_Toc39133296" w:history="1">
        <w:r w:rsidR="0063530B" w:rsidRPr="008B39E4">
          <w:rPr>
            <w:rStyle w:val="Hyperlink"/>
          </w:rPr>
          <w:t>6.5.3.</w:t>
        </w:r>
        <w:r w:rsidR="0063530B">
          <w:rPr>
            <w:lang w:val="hr-HR" w:eastAsia="hr-HR"/>
          </w:rPr>
          <w:tab/>
        </w:r>
        <w:r w:rsidR="0063530B" w:rsidRPr="008B39E4">
          <w:rPr>
            <w:rStyle w:val="Hyperlink"/>
          </w:rPr>
          <w:t>Smjernice za niskougljični razvoj</w:t>
        </w:r>
        <w:r w:rsidR="0063530B">
          <w:rPr>
            <w:webHidden/>
          </w:rPr>
          <w:tab/>
        </w:r>
        <w:r w:rsidR="0063530B">
          <w:rPr>
            <w:webHidden/>
          </w:rPr>
          <w:fldChar w:fldCharType="begin"/>
        </w:r>
        <w:r w:rsidR="0063530B">
          <w:rPr>
            <w:webHidden/>
          </w:rPr>
          <w:instrText xml:space="preserve"> PAGEREF _Toc39133296 \h </w:instrText>
        </w:r>
        <w:r w:rsidR="0063530B">
          <w:rPr>
            <w:webHidden/>
          </w:rPr>
        </w:r>
        <w:r w:rsidR="0063530B">
          <w:rPr>
            <w:webHidden/>
          </w:rPr>
          <w:fldChar w:fldCharType="separate"/>
        </w:r>
        <w:r w:rsidR="0063530B">
          <w:rPr>
            <w:webHidden/>
          </w:rPr>
          <w:t>49</w:t>
        </w:r>
        <w:r w:rsidR="0063530B">
          <w:rPr>
            <w:webHidden/>
          </w:rPr>
          <w:fldChar w:fldCharType="end"/>
        </w:r>
      </w:hyperlink>
    </w:p>
    <w:p w14:paraId="5CF5AA50" w14:textId="7AE84E27" w:rsidR="0063530B" w:rsidRDefault="00BA6891">
      <w:pPr>
        <w:pStyle w:val="TOC2"/>
        <w:tabs>
          <w:tab w:val="left" w:pos="1128"/>
        </w:tabs>
        <w:rPr>
          <w:noProof/>
          <w:lang w:val="hr-HR" w:eastAsia="hr-HR"/>
        </w:rPr>
      </w:pPr>
      <w:hyperlink w:anchor="_Toc39133297" w:history="1">
        <w:r w:rsidR="0063530B" w:rsidRPr="008B39E4">
          <w:rPr>
            <w:rStyle w:val="Hyperlink"/>
            <w:noProof/>
          </w:rPr>
          <w:t xml:space="preserve">6.6. </w:t>
        </w:r>
        <w:r w:rsidR="0063530B">
          <w:rPr>
            <w:noProof/>
            <w:lang w:val="hr-HR" w:eastAsia="hr-HR"/>
          </w:rPr>
          <w:tab/>
        </w:r>
        <w:r w:rsidR="0063530B" w:rsidRPr="008B39E4">
          <w:rPr>
            <w:rStyle w:val="Hyperlink"/>
            <w:noProof/>
          </w:rPr>
          <w:t>POLJOPRIVREDA</w:t>
        </w:r>
        <w:r w:rsidR="0063530B">
          <w:rPr>
            <w:noProof/>
            <w:webHidden/>
          </w:rPr>
          <w:tab/>
        </w:r>
        <w:r w:rsidR="0063530B">
          <w:rPr>
            <w:noProof/>
            <w:webHidden/>
          </w:rPr>
          <w:fldChar w:fldCharType="begin"/>
        </w:r>
        <w:r w:rsidR="0063530B">
          <w:rPr>
            <w:noProof/>
            <w:webHidden/>
          </w:rPr>
          <w:instrText xml:space="preserve"> PAGEREF _Toc39133297 \h </w:instrText>
        </w:r>
        <w:r w:rsidR="0063530B">
          <w:rPr>
            <w:noProof/>
            <w:webHidden/>
          </w:rPr>
        </w:r>
        <w:r w:rsidR="0063530B">
          <w:rPr>
            <w:noProof/>
            <w:webHidden/>
          </w:rPr>
          <w:fldChar w:fldCharType="separate"/>
        </w:r>
        <w:r w:rsidR="0063530B">
          <w:rPr>
            <w:noProof/>
            <w:webHidden/>
          </w:rPr>
          <w:t>50</w:t>
        </w:r>
        <w:r w:rsidR="0063530B">
          <w:rPr>
            <w:noProof/>
            <w:webHidden/>
          </w:rPr>
          <w:fldChar w:fldCharType="end"/>
        </w:r>
      </w:hyperlink>
    </w:p>
    <w:p w14:paraId="57939FA5" w14:textId="5620BCCD" w:rsidR="0063530B" w:rsidRDefault="00BA6891">
      <w:pPr>
        <w:pStyle w:val="TOC3"/>
        <w:rPr>
          <w:lang w:val="hr-HR" w:eastAsia="hr-HR"/>
        </w:rPr>
      </w:pPr>
      <w:hyperlink w:anchor="_Toc39133298" w:history="1">
        <w:r w:rsidR="0063530B" w:rsidRPr="008B39E4">
          <w:rPr>
            <w:rStyle w:val="Hyperlink"/>
          </w:rPr>
          <w:t>6.6.1. Emisije stakleničkih plinova</w:t>
        </w:r>
        <w:r w:rsidR="0063530B">
          <w:rPr>
            <w:webHidden/>
          </w:rPr>
          <w:tab/>
        </w:r>
        <w:r w:rsidR="0063530B">
          <w:rPr>
            <w:webHidden/>
          </w:rPr>
          <w:fldChar w:fldCharType="begin"/>
        </w:r>
        <w:r w:rsidR="0063530B">
          <w:rPr>
            <w:webHidden/>
          </w:rPr>
          <w:instrText xml:space="preserve"> PAGEREF _Toc39133298 \h </w:instrText>
        </w:r>
        <w:r w:rsidR="0063530B">
          <w:rPr>
            <w:webHidden/>
          </w:rPr>
        </w:r>
        <w:r w:rsidR="0063530B">
          <w:rPr>
            <w:webHidden/>
          </w:rPr>
          <w:fldChar w:fldCharType="separate"/>
        </w:r>
        <w:r w:rsidR="0063530B">
          <w:rPr>
            <w:webHidden/>
          </w:rPr>
          <w:t>50</w:t>
        </w:r>
        <w:r w:rsidR="0063530B">
          <w:rPr>
            <w:webHidden/>
          </w:rPr>
          <w:fldChar w:fldCharType="end"/>
        </w:r>
      </w:hyperlink>
    </w:p>
    <w:p w14:paraId="55605BF3" w14:textId="59C7C26B" w:rsidR="0063530B" w:rsidRDefault="00BA6891">
      <w:pPr>
        <w:pStyle w:val="TOC3"/>
        <w:rPr>
          <w:lang w:val="hr-HR" w:eastAsia="hr-HR"/>
        </w:rPr>
      </w:pPr>
      <w:hyperlink w:anchor="_Toc39133299" w:history="1">
        <w:r w:rsidR="0063530B" w:rsidRPr="008B39E4">
          <w:rPr>
            <w:rStyle w:val="Hyperlink"/>
          </w:rPr>
          <w:t>6.6.2. Politike i mjere za niskougljični razvoj</w:t>
        </w:r>
        <w:r w:rsidR="0063530B">
          <w:rPr>
            <w:webHidden/>
          </w:rPr>
          <w:tab/>
        </w:r>
        <w:r w:rsidR="0063530B">
          <w:rPr>
            <w:webHidden/>
          </w:rPr>
          <w:fldChar w:fldCharType="begin"/>
        </w:r>
        <w:r w:rsidR="0063530B">
          <w:rPr>
            <w:webHidden/>
          </w:rPr>
          <w:instrText xml:space="preserve"> PAGEREF _Toc39133299 \h </w:instrText>
        </w:r>
        <w:r w:rsidR="0063530B">
          <w:rPr>
            <w:webHidden/>
          </w:rPr>
        </w:r>
        <w:r w:rsidR="0063530B">
          <w:rPr>
            <w:webHidden/>
          </w:rPr>
          <w:fldChar w:fldCharType="separate"/>
        </w:r>
        <w:r w:rsidR="0063530B">
          <w:rPr>
            <w:webHidden/>
          </w:rPr>
          <w:t>50</w:t>
        </w:r>
        <w:r w:rsidR="0063530B">
          <w:rPr>
            <w:webHidden/>
          </w:rPr>
          <w:fldChar w:fldCharType="end"/>
        </w:r>
      </w:hyperlink>
    </w:p>
    <w:p w14:paraId="6CB45F67" w14:textId="6B5F572E" w:rsidR="0063530B" w:rsidRDefault="00BA6891">
      <w:pPr>
        <w:pStyle w:val="TOC3"/>
        <w:rPr>
          <w:lang w:val="hr-HR" w:eastAsia="hr-HR"/>
        </w:rPr>
      </w:pPr>
      <w:hyperlink w:anchor="_Toc39133300" w:history="1">
        <w:r w:rsidR="0063530B" w:rsidRPr="008B39E4">
          <w:rPr>
            <w:rStyle w:val="Hyperlink"/>
          </w:rPr>
          <w:t>6.6.3. Smjernice za niskougljični razvoj</w:t>
        </w:r>
        <w:r w:rsidR="0063530B">
          <w:rPr>
            <w:webHidden/>
          </w:rPr>
          <w:tab/>
        </w:r>
        <w:r w:rsidR="0063530B">
          <w:rPr>
            <w:webHidden/>
          </w:rPr>
          <w:fldChar w:fldCharType="begin"/>
        </w:r>
        <w:r w:rsidR="0063530B">
          <w:rPr>
            <w:webHidden/>
          </w:rPr>
          <w:instrText xml:space="preserve"> PAGEREF _Toc39133300 \h </w:instrText>
        </w:r>
        <w:r w:rsidR="0063530B">
          <w:rPr>
            <w:webHidden/>
          </w:rPr>
        </w:r>
        <w:r w:rsidR="0063530B">
          <w:rPr>
            <w:webHidden/>
          </w:rPr>
          <w:fldChar w:fldCharType="separate"/>
        </w:r>
        <w:r w:rsidR="0063530B">
          <w:rPr>
            <w:webHidden/>
          </w:rPr>
          <w:t>52</w:t>
        </w:r>
        <w:r w:rsidR="0063530B">
          <w:rPr>
            <w:webHidden/>
          </w:rPr>
          <w:fldChar w:fldCharType="end"/>
        </w:r>
      </w:hyperlink>
    </w:p>
    <w:p w14:paraId="5EBCE25C" w14:textId="79114E1F" w:rsidR="0063530B" w:rsidRDefault="00BA6891">
      <w:pPr>
        <w:pStyle w:val="TOC2"/>
        <w:tabs>
          <w:tab w:val="left" w:pos="1128"/>
        </w:tabs>
        <w:rPr>
          <w:noProof/>
          <w:lang w:val="hr-HR" w:eastAsia="hr-HR"/>
        </w:rPr>
      </w:pPr>
      <w:hyperlink w:anchor="_Toc39133301" w:history="1">
        <w:r w:rsidR="0063530B" w:rsidRPr="008B39E4">
          <w:rPr>
            <w:rStyle w:val="Hyperlink"/>
            <w:noProof/>
          </w:rPr>
          <w:t xml:space="preserve">6.7. </w:t>
        </w:r>
        <w:r w:rsidR="0063530B">
          <w:rPr>
            <w:noProof/>
            <w:lang w:val="hr-HR" w:eastAsia="hr-HR"/>
          </w:rPr>
          <w:tab/>
        </w:r>
        <w:r w:rsidR="0063530B" w:rsidRPr="008B39E4">
          <w:rPr>
            <w:rStyle w:val="Hyperlink"/>
            <w:noProof/>
          </w:rPr>
          <w:t>GOSPODARENJE OTPADOM</w:t>
        </w:r>
        <w:r w:rsidR="0063530B">
          <w:rPr>
            <w:noProof/>
            <w:webHidden/>
          </w:rPr>
          <w:tab/>
        </w:r>
        <w:r w:rsidR="0063530B">
          <w:rPr>
            <w:noProof/>
            <w:webHidden/>
          </w:rPr>
          <w:fldChar w:fldCharType="begin"/>
        </w:r>
        <w:r w:rsidR="0063530B">
          <w:rPr>
            <w:noProof/>
            <w:webHidden/>
          </w:rPr>
          <w:instrText xml:space="preserve"> PAGEREF _Toc39133301 \h </w:instrText>
        </w:r>
        <w:r w:rsidR="0063530B">
          <w:rPr>
            <w:noProof/>
            <w:webHidden/>
          </w:rPr>
        </w:r>
        <w:r w:rsidR="0063530B">
          <w:rPr>
            <w:noProof/>
            <w:webHidden/>
          </w:rPr>
          <w:fldChar w:fldCharType="separate"/>
        </w:r>
        <w:r w:rsidR="0063530B">
          <w:rPr>
            <w:noProof/>
            <w:webHidden/>
          </w:rPr>
          <w:t>53</w:t>
        </w:r>
        <w:r w:rsidR="0063530B">
          <w:rPr>
            <w:noProof/>
            <w:webHidden/>
          </w:rPr>
          <w:fldChar w:fldCharType="end"/>
        </w:r>
      </w:hyperlink>
    </w:p>
    <w:p w14:paraId="0F44CBA7" w14:textId="092FBEEE" w:rsidR="0063530B" w:rsidRDefault="00BA6891">
      <w:pPr>
        <w:pStyle w:val="TOC3"/>
        <w:rPr>
          <w:lang w:val="hr-HR" w:eastAsia="hr-HR"/>
        </w:rPr>
      </w:pPr>
      <w:hyperlink w:anchor="_Toc39133302" w:history="1">
        <w:r w:rsidR="0063530B" w:rsidRPr="008B39E4">
          <w:rPr>
            <w:rStyle w:val="Hyperlink"/>
          </w:rPr>
          <w:t>6.7.1. Emisije stakleničkih plinova</w:t>
        </w:r>
        <w:r w:rsidR="0063530B">
          <w:rPr>
            <w:webHidden/>
          </w:rPr>
          <w:tab/>
        </w:r>
        <w:r w:rsidR="0063530B">
          <w:rPr>
            <w:webHidden/>
          </w:rPr>
          <w:fldChar w:fldCharType="begin"/>
        </w:r>
        <w:r w:rsidR="0063530B">
          <w:rPr>
            <w:webHidden/>
          </w:rPr>
          <w:instrText xml:space="preserve"> PAGEREF _Toc39133302 \h </w:instrText>
        </w:r>
        <w:r w:rsidR="0063530B">
          <w:rPr>
            <w:webHidden/>
          </w:rPr>
        </w:r>
        <w:r w:rsidR="0063530B">
          <w:rPr>
            <w:webHidden/>
          </w:rPr>
          <w:fldChar w:fldCharType="separate"/>
        </w:r>
        <w:r w:rsidR="0063530B">
          <w:rPr>
            <w:webHidden/>
          </w:rPr>
          <w:t>53</w:t>
        </w:r>
        <w:r w:rsidR="0063530B">
          <w:rPr>
            <w:webHidden/>
          </w:rPr>
          <w:fldChar w:fldCharType="end"/>
        </w:r>
      </w:hyperlink>
    </w:p>
    <w:p w14:paraId="5D456C2E" w14:textId="36B9DBD5" w:rsidR="0063530B" w:rsidRDefault="00BA6891">
      <w:pPr>
        <w:pStyle w:val="TOC3"/>
        <w:rPr>
          <w:lang w:val="hr-HR" w:eastAsia="hr-HR"/>
        </w:rPr>
      </w:pPr>
      <w:hyperlink w:anchor="_Toc39133303" w:history="1">
        <w:r w:rsidR="0063530B" w:rsidRPr="008B39E4">
          <w:rPr>
            <w:rStyle w:val="Hyperlink"/>
          </w:rPr>
          <w:t>6.7.2. Politike i mjere za niskougljični razvoj</w:t>
        </w:r>
        <w:r w:rsidR="0063530B">
          <w:rPr>
            <w:webHidden/>
          </w:rPr>
          <w:tab/>
        </w:r>
        <w:r w:rsidR="0063530B">
          <w:rPr>
            <w:webHidden/>
          </w:rPr>
          <w:fldChar w:fldCharType="begin"/>
        </w:r>
        <w:r w:rsidR="0063530B">
          <w:rPr>
            <w:webHidden/>
          </w:rPr>
          <w:instrText xml:space="preserve"> PAGEREF _Toc39133303 \h </w:instrText>
        </w:r>
        <w:r w:rsidR="0063530B">
          <w:rPr>
            <w:webHidden/>
          </w:rPr>
        </w:r>
        <w:r w:rsidR="0063530B">
          <w:rPr>
            <w:webHidden/>
          </w:rPr>
          <w:fldChar w:fldCharType="separate"/>
        </w:r>
        <w:r w:rsidR="0063530B">
          <w:rPr>
            <w:webHidden/>
          </w:rPr>
          <w:t>53</w:t>
        </w:r>
        <w:r w:rsidR="0063530B">
          <w:rPr>
            <w:webHidden/>
          </w:rPr>
          <w:fldChar w:fldCharType="end"/>
        </w:r>
      </w:hyperlink>
    </w:p>
    <w:p w14:paraId="4B54087C" w14:textId="28B8B4D6" w:rsidR="0063530B" w:rsidRDefault="00BA6891">
      <w:pPr>
        <w:pStyle w:val="TOC3"/>
        <w:rPr>
          <w:lang w:val="hr-HR" w:eastAsia="hr-HR"/>
        </w:rPr>
      </w:pPr>
      <w:hyperlink w:anchor="_Toc39133304" w:history="1">
        <w:r w:rsidR="0063530B" w:rsidRPr="008B39E4">
          <w:rPr>
            <w:rStyle w:val="Hyperlink"/>
          </w:rPr>
          <w:t>6.7.3. Smjernice za niskougljični razvoj</w:t>
        </w:r>
        <w:r w:rsidR="0063530B">
          <w:rPr>
            <w:webHidden/>
          </w:rPr>
          <w:tab/>
        </w:r>
        <w:r w:rsidR="0063530B">
          <w:rPr>
            <w:webHidden/>
          </w:rPr>
          <w:fldChar w:fldCharType="begin"/>
        </w:r>
        <w:r w:rsidR="0063530B">
          <w:rPr>
            <w:webHidden/>
          </w:rPr>
          <w:instrText xml:space="preserve"> PAGEREF _Toc39133304 \h </w:instrText>
        </w:r>
        <w:r w:rsidR="0063530B">
          <w:rPr>
            <w:webHidden/>
          </w:rPr>
        </w:r>
        <w:r w:rsidR="0063530B">
          <w:rPr>
            <w:webHidden/>
          </w:rPr>
          <w:fldChar w:fldCharType="separate"/>
        </w:r>
        <w:r w:rsidR="0063530B">
          <w:rPr>
            <w:webHidden/>
          </w:rPr>
          <w:t>55</w:t>
        </w:r>
        <w:r w:rsidR="0063530B">
          <w:rPr>
            <w:webHidden/>
          </w:rPr>
          <w:fldChar w:fldCharType="end"/>
        </w:r>
      </w:hyperlink>
    </w:p>
    <w:p w14:paraId="71D66CD6" w14:textId="4D951CB1" w:rsidR="0063530B" w:rsidRDefault="00BA6891">
      <w:pPr>
        <w:pStyle w:val="TOC2"/>
        <w:tabs>
          <w:tab w:val="left" w:pos="1128"/>
        </w:tabs>
        <w:rPr>
          <w:noProof/>
          <w:lang w:val="hr-HR" w:eastAsia="hr-HR"/>
        </w:rPr>
      </w:pPr>
      <w:hyperlink w:anchor="_Toc39133305" w:history="1">
        <w:r w:rsidR="0063530B" w:rsidRPr="008B39E4">
          <w:rPr>
            <w:rStyle w:val="Hyperlink"/>
            <w:noProof/>
          </w:rPr>
          <w:t xml:space="preserve">6.8. </w:t>
        </w:r>
        <w:r w:rsidR="0063530B">
          <w:rPr>
            <w:noProof/>
            <w:lang w:val="hr-HR" w:eastAsia="hr-HR"/>
          </w:rPr>
          <w:tab/>
        </w:r>
        <w:r w:rsidR="0063530B" w:rsidRPr="008B39E4">
          <w:rPr>
            <w:rStyle w:val="Hyperlink"/>
            <w:noProof/>
          </w:rPr>
          <w:t>LULUCF</w:t>
        </w:r>
        <w:r w:rsidR="0063530B">
          <w:rPr>
            <w:noProof/>
            <w:webHidden/>
          </w:rPr>
          <w:tab/>
        </w:r>
        <w:r w:rsidR="0063530B">
          <w:rPr>
            <w:noProof/>
            <w:webHidden/>
          </w:rPr>
          <w:fldChar w:fldCharType="begin"/>
        </w:r>
        <w:r w:rsidR="0063530B">
          <w:rPr>
            <w:noProof/>
            <w:webHidden/>
          </w:rPr>
          <w:instrText xml:space="preserve"> PAGEREF _Toc39133305 \h </w:instrText>
        </w:r>
        <w:r w:rsidR="0063530B">
          <w:rPr>
            <w:noProof/>
            <w:webHidden/>
          </w:rPr>
        </w:r>
        <w:r w:rsidR="0063530B">
          <w:rPr>
            <w:noProof/>
            <w:webHidden/>
          </w:rPr>
          <w:fldChar w:fldCharType="separate"/>
        </w:r>
        <w:r w:rsidR="0063530B">
          <w:rPr>
            <w:noProof/>
            <w:webHidden/>
          </w:rPr>
          <w:t>55</w:t>
        </w:r>
        <w:r w:rsidR="0063530B">
          <w:rPr>
            <w:noProof/>
            <w:webHidden/>
          </w:rPr>
          <w:fldChar w:fldCharType="end"/>
        </w:r>
      </w:hyperlink>
    </w:p>
    <w:p w14:paraId="4A1A4E3E" w14:textId="4B870FE5" w:rsidR="0063530B" w:rsidRDefault="00BA6891">
      <w:pPr>
        <w:pStyle w:val="TOC3"/>
        <w:rPr>
          <w:lang w:val="hr-HR" w:eastAsia="hr-HR"/>
        </w:rPr>
      </w:pPr>
      <w:hyperlink w:anchor="_Toc39133306" w:history="1">
        <w:r w:rsidR="0063530B" w:rsidRPr="008B39E4">
          <w:rPr>
            <w:rStyle w:val="Hyperlink"/>
          </w:rPr>
          <w:t>6.8.1. Emisije ugljikova dioksida i odlivi</w:t>
        </w:r>
        <w:r w:rsidR="0063530B">
          <w:rPr>
            <w:webHidden/>
          </w:rPr>
          <w:tab/>
        </w:r>
        <w:r w:rsidR="0063530B">
          <w:rPr>
            <w:webHidden/>
          </w:rPr>
          <w:fldChar w:fldCharType="begin"/>
        </w:r>
        <w:r w:rsidR="0063530B">
          <w:rPr>
            <w:webHidden/>
          </w:rPr>
          <w:instrText xml:space="preserve"> PAGEREF _Toc39133306 \h </w:instrText>
        </w:r>
        <w:r w:rsidR="0063530B">
          <w:rPr>
            <w:webHidden/>
          </w:rPr>
        </w:r>
        <w:r w:rsidR="0063530B">
          <w:rPr>
            <w:webHidden/>
          </w:rPr>
          <w:fldChar w:fldCharType="separate"/>
        </w:r>
        <w:r w:rsidR="0063530B">
          <w:rPr>
            <w:webHidden/>
          </w:rPr>
          <w:t>55</w:t>
        </w:r>
        <w:r w:rsidR="0063530B">
          <w:rPr>
            <w:webHidden/>
          </w:rPr>
          <w:fldChar w:fldCharType="end"/>
        </w:r>
      </w:hyperlink>
    </w:p>
    <w:p w14:paraId="6E388E24" w14:textId="3FD2C3E4" w:rsidR="0063530B" w:rsidRDefault="00BA6891">
      <w:pPr>
        <w:pStyle w:val="TOC3"/>
        <w:rPr>
          <w:lang w:val="hr-HR" w:eastAsia="hr-HR"/>
        </w:rPr>
      </w:pPr>
      <w:hyperlink w:anchor="_Toc39133307" w:history="1">
        <w:r w:rsidR="0063530B" w:rsidRPr="008B39E4">
          <w:rPr>
            <w:rStyle w:val="Hyperlink"/>
          </w:rPr>
          <w:t>6.8.2. Politike i mjere za niskougljični razvoj</w:t>
        </w:r>
        <w:r w:rsidR="0063530B">
          <w:rPr>
            <w:webHidden/>
          </w:rPr>
          <w:tab/>
        </w:r>
        <w:r w:rsidR="0063530B">
          <w:rPr>
            <w:webHidden/>
          </w:rPr>
          <w:fldChar w:fldCharType="begin"/>
        </w:r>
        <w:r w:rsidR="0063530B">
          <w:rPr>
            <w:webHidden/>
          </w:rPr>
          <w:instrText xml:space="preserve"> PAGEREF _Toc39133307 \h </w:instrText>
        </w:r>
        <w:r w:rsidR="0063530B">
          <w:rPr>
            <w:webHidden/>
          </w:rPr>
        </w:r>
        <w:r w:rsidR="0063530B">
          <w:rPr>
            <w:webHidden/>
          </w:rPr>
          <w:fldChar w:fldCharType="separate"/>
        </w:r>
        <w:r w:rsidR="0063530B">
          <w:rPr>
            <w:webHidden/>
          </w:rPr>
          <w:t>56</w:t>
        </w:r>
        <w:r w:rsidR="0063530B">
          <w:rPr>
            <w:webHidden/>
          </w:rPr>
          <w:fldChar w:fldCharType="end"/>
        </w:r>
      </w:hyperlink>
    </w:p>
    <w:p w14:paraId="0AB1F152" w14:textId="7897D83F" w:rsidR="0063530B" w:rsidRDefault="00BA6891">
      <w:pPr>
        <w:pStyle w:val="TOC3"/>
        <w:rPr>
          <w:lang w:val="hr-HR" w:eastAsia="hr-HR"/>
        </w:rPr>
      </w:pPr>
      <w:hyperlink w:anchor="_Toc39133308" w:history="1">
        <w:r w:rsidR="0063530B" w:rsidRPr="008B39E4">
          <w:rPr>
            <w:rStyle w:val="Hyperlink"/>
          </w:rPr>
          <w:t>6.8.3. Smjernice za niskougljični razvoj</w:t>
        </w:r>
        <w:r w:rsidR="0063530B">
          <w:rPr>
            <w:webHidden/>
          </w:rPr>
          <w:tab/>
        </w:r>
        <w:r w:rsidR="0063530B">
          <w:rPr>
            <w:webHidden/>
          </w:rPr>
          <w:fldChar w:fldCharType="begin"/>
        </w:r>
        <w:r w:rsidR="0063530B">
          <w:rPr>
            <w:webHidden/>
          </w:rPr>
          <w:instrText xml:space="preserve"> PAGEREF _Toc39133308 \h </w:instrText>
        </w:r>
        <w:r w:rsidR="0063530B">
          <w:rPr>
            <w:webHidden/>
          </w:rPr>
        </w:r>
        <w:r w:rsidR="0063530B">
          <w:rPr>
            <w:webHidden/>
          </w:rPr>
          <w:fldChar w:fldCharType="separate"/>
        </w:r>
        <w:r w:rsidR="0063530B">
          <w:rPr>
            <w:webHidden/>
          </w:rPr>
          <w:t>58</w:t>
        </w:r>
        <w:r w:rsidR="0063530B">
          <w:rPr>
            <w:webHidden/>
          </w:rPr>
          <w:fldChar w:fldCharType="end"/>
        </w:r>
      </w:hyperlink>
    </w:p>
    <w:p w14:paraId="67837C2D" w14:textId="052E2C87" w:rsidR="0063530B" w:rsidRDefault="00BA6891">
      <w:pPr>
        <w:pStyle w:val="TOC1"/>
        <w:tabs>
          <w:tab w:val="right" w:leader="dot" w:pos="9060"/>
        </w:tabs>
        <w:rPr>
          <w:szCs w:val="22"/>
          <w:lang w:val="hr-HR" w:eastAsia="hr-HR"/>
        </w:rPr>
      </w:pPr>
      <w:hyperlink w:anchor="_Toc39133309" w:history="1">
        <w:r w:rsidR="0063530B" w:rsidRPr="008B39E4">
          <w:rPr>
            <w:rStyle w:val="Hyperlink"/>
          </w:rPr>
          <w:t xml:space="preserve">7. </w:t>
        </w:r>
        <w:r w:rsidR="0063530B">
          <w:rPr>
            <w:szCs w:val="22"/>
            <w:lang w:val="hr-HR" w:eastAsia="hr-HR"/>
          </w:rPr>
          <w:tab/>
        </w:r>
        <w:r w:rsidR="0063530B" w:rsidRPr="008B39E4">
          <w:rPr>
            <w:rStyle w:val="Hyperlink"/>
          </w:rPr>
          <w:t>FINANCIRANJE</w:t>
        </w:r>
        <w:r w:rsidR="0063530B">
          <w:rPr>
            <w:webHidden/>
          </w:rPr>
          <w:tab/>
        </w:r>
        <w:r w:rsidR="0063530B">
          <w:rPr>
            <w:webHidden/>
          </w:rPr>
          <w:fldChar w:fldCharType="begin"/>
        </w:r>
        <w:r w:rsidR="0063530B">
          <w:rPr>
            <w:webHidden/>
          </w:rPr>
          <w:instrText xml:space="preserve"> PAGEREF _Toc39133309 \h </w:instrText>
        </w:r>
        <w:r w:rsidR="0063530B">
          <w:rPr>
            <w:webHidden/>
          </w:rPr>
        </w:r>
        <w:r w:rsidR="0063530B">
          <w:rPr>
            <w:webHidden/>
          </w:rPr>
          <w:fldChar w:fldCharType="separate"/>
        </w:r>
        <w:r w:rsidR="0063530B">
          <w:rPr>
            <w:webHidden/>
          </w:rPr>
          <w:t>59</w:t>
        </w:r>
        <w:r w:rsidR="0063530B">
          <w:rPr>
            <w:webHidden/>
          </w:rPr>
          <w:fldChar w:fldCharType="end"/>
        </w:r>
      </w:hyperlink>
    </w:p>
    <w:p w14:paraId="3A3FBCB0" w14:textId="13978C97" w:rsidR="0063530B" w:rsidRDefault="00BA6891">
      <w:pPr>
        <w:pStyle w:val="TOC2"/>
        <w:tabs>
          <w:tab w:val="left" w:pos="1128"/>
        </w:tabs>
        <w:rPr>
          <w:noProof/>
          <w:lang w:val="hr-HR" w:eastAsia="hr-HR"/>
        </w:rPr>
      </w:pPr>
      <w:hyperlink w:anchor="_Toc39133310" w:history="1">
        <w:r w:rsidR="0063530B" w:rsidRPr="008B39E4">
          <w:rPr>
            <w:rStyle w:val="Hyperlink"/>
            <w:noProof/>
          </w:rPr>
          <w:t xml:space="preserve">7.1. </w:t>
        </w:r>
        <w:r w:rsidR="0063530B">
          <w:rPr>
            <w:noProof/>
            <w:lang w:val="hr-HR" w:eastAsia="hr-HR"/>
          </w:rPr>
          <w:tab/>
        </w:r>
        <w:r w:rsidR="0063530B" w:rsidRPr="008B39E4">
          <w:rPr>
            <w:rStyle w:val="Hyperlink"/>
            <w:noProof/>
          </w:rPr>
          <w:t>PROCJENA POTREBNIH ULAGANJA</w:t>
        </w:r>
        <w:r w:rsidR="0063530B">
          <w:rPr>
            <w:noProof/>
            <w:webHidden/>
          </w:rPr>
          <w:tab/>
        </w:r>
        <w:r w:rsidR="0063530B">
          <w:rPr>
            <w:noProof/>
            <w:webHidden/>
          </w:rPr>
          <w:fldChar w:fldCharType="begin"/>
        </w:r>
        <w:r w:rsidR="0063530B">
          <w:rPr>
            <w:noProof/>
            <w:webHidden/>
          </w:rPr>
          <w:instrText xml:space="preserve"> PAGEREF _Toc39133310 \h </w:instrText>
        </w:r>
        <w:r w:rsidR="0063530B">
          <w:rPr>
            <w:noProof/>
            <w:webHidden/>
          </w:rPr>
        </w:r>
        <w:r w:rsidR="0063530B">
          <w:rPr>
            <w:noProof/>
            <w:webHidden/>
          </w:rPr>
          <w:fldChar w:fldCharType="separate"/>
        </w:r>
        <w:r w:rsidR="0063530B">
          <w:rPr>
            <w:noProof/>
            <w:webHidden/>
          </w:rPr>
          <w:t>59</w:t>
        </w:r>
        <w:r w:rsidR="0063530B">
          <w:rPr>
            <w:noProof/>
            <w:webHidden/>
          </w:rPr>
          <w:fldChar w:fldCharType="end"/>
        </w:r>
      </w:hyperlink>
    </w:p>
    <w:p w14:paraId="3A368CD2" w14:textId="36DB55D5" w:rsidR="0063530B" w:rsidRDefault="00BA6891">
      <w:pPr>
        <w:pStyle w:val="TOC2"/>
        <w:tabs>
          <w:tab w:val="left" w:pos="1128"/>
        </w:tabs>
        <w:rPr>
          <w:noProof/>
          <w:lang w:val="hr-HR" w:eastAsia="hr-HR"/>
        </w:rPr>
      </w:pPr>
      <w:hyperlink w:anchor="_Toc39133311" w:history="1">
        <w:r w:rsidR="0063530B" w:rsidRPr="008B39E4">
          <w:rPr>
            <w:rStyle w:val="Hyperlink"/>
            <w:noProof/>
          </w:rPr>
          <w:t xml:space="preserve">7.2. </w:t>
        </w:r>
        <w:r w:rsidR="0063530B">
          <w:rPr>
            <w:noProof/>
            <w:lang w:val="hr-HR" w:eastAsia="hr-HR"/>
          </w:rPr>
          <w:tab/>
        </w:r>
        <w:r w:rsidR="0063530B" w:rsidRPr="008B39E4">
          <w:rPr>
            <w:rStyle w:val="Hyperlink"/>
            <w:noProof/>
          </w:rPr>
          <w:t>IZVORI FINANCIRANJA</w:t>
        </w:r>
        <w:r w:rsidR="0063530B">
          <w:rPr>
            <w:noProof/>
            <w:webHidden/>
          </w:rPr>
          <w:tab/>
        </w:r>
        <w:r w:rsidR="0063530B">
          <w:rPr>
            <w:noProof/>
            <w:webHidden/>
          </w:rPr>
          <w:fldChar w:fldCharType="begin"/>
        </w:r>
        <w:r w:rsidR="0063530B">
          <w:rPr>
            <w:noProof/>
            <w:webHidden/>
          </w:rPr>
          <w:instrText xml:space="preserve"> PAGEREF _Toc39133311 \h </w:instrText>
        </w:r>
        <w:r w:rsidR="0063530B">
          <w:rPr>
            <w:noProof/>
            <w:webHidden/>
          </w:rPr>
        </w:r>
        <w:r w:rsidR="0063530B">
          <w:rPr>
            <w:noProof/>
            <w:webHidden/>
          </w:rPr>
          <w:fldChar w:fldCharType="separate"/>
        </w:r>
        <w:r w:rsidR="0063530B">
          <w:rPr>
            <w:noProof/>
            <w:webHidden/>
          </w:rPr>
          <w:t>61</w:t>
        </w:r>
        <w:r w:rsidR="0063530B">
          <w:rPr>
            <w:noProof/>
            <w:webHidden/>
          </w:rPr>
          <w:fldChar w:fldCharType="end"/>
        </w:r>
      </w:hyperlink>
    </w:p>
    <w:p w14:paraId="59C528CF" w14:textId="6A72DBAD" w:rsidR="0063530B" w:rsidRDefault="00BA6891">
      <w:pPr>
        <w:pStyle w:val="TOC3"/>
        <w:tabs>
          <w:tab w:val="left" w:pos="1400"/>
        </w:tabs>
        <w:rPr>
          <w:lang w:val="hr-HR" w:eastAsia="hr-HR"/>
        </w:rPr>
      </w:pPr>
      <w:hyperlink w:anchor="_Toc39133312" w:history="1">
        <w:r w:rsidR="0063530B" w:rsidRPr="008B39E4">
          <w:rPr>
            <w:rStyle w:val="Hyperlink"/>
          </w:rPr>
          <w:t xml:space="preserve">7.2.1. </w:t>
        </w:r>
        <w:r w:rsidR="0063530B">
          <w:rPr>
            <w:lang w:val="hr-HR" w:eastAsia="hr-HR"/>
          </w:rPr>
          <w:tab/>
        </w:r>
        <w:r w:rsidR="0063530B" w:rsidRPr="008B39E4">
          <w:rPr>
            <w:rStyle w:val="Hyperlink"/>
          </w:rPr>
          <w:t>Nove financijske perspektive Europskog zelenog plana</w:t>
        </w:r>
        <w:r w:rsidR="0063530B">
          <w:rPr>
            <w:webHidden/>
          </w:rPr>
          <w:tab/>
        </w:r>
        <w:r w:rsidR="0063530B">
          <w:rPr>
            <w:webHidden/>
          </w:rPr>
          <w:fldChar w:fldCharType="begin"/>
        </w:r>
        <w:r w:rsidR="0063530B">
          <w:rPr>
            <w:webHidden/>
          </w:rPr>
          <w:instrText xml:space="preserve"> PAGEREF _Toc39133312 \h </w:instrText>
        </w:r>
        <w:r w:rsidR="0063530B">
          <w:rPr>
            <w:webHidden/>
          </w:rPr>
        </w:r>
        <w:r w:rsidR="0063530B">
          <w:rPr>
            <w:webHidden/>
          </w:rPr>
          <w:fldChar w:fldCharType="separate"/>
        </w:r>
        <w:r w:rsidR="0063530B">
          <w:rPr>
            <w:webHidden/>
          </w:rPr>
          <w:t>65</w:t>
        </w:r>
        <w:r w:rsidR="0063530B">
          <w:rPr>
            <w:webHidden/>
          </w:rPr>
          <w:fldChar w:fldCharType="end"/>
        </w:r>
      </w:hyperlink>
    </w:p>
    <w:p w14:paraId="7BBB62D7" w14:textId="45693C11" w:rsidR="0063530B" w:rsidRDefault="00BA6891">
      <w:pPr>
        <w:pStyle w:val="TOC1"/>
        <w:tabs>
          <w:tab w:val="right" w:leader="dot" w:pos="9060"/>
        </w:tabs>
        <w:rPr>
          <w:szCs w:val="22"/>
          <w:lang w:val="hr-HR" w:eastAsia="hr-HR"/>
        </w:rPr>
      </w:pPr>
      <w:hyperlink w:anchor="_Toc39133313" w:history="1">
        <w:r w:rsidR="0063530B" w:rsidRPr="008B39E4">
          <w:rPr>
            <w:rStyle w:val="Hyperlink"/>
          </w:rPr>
          <w:t xml:space="preserve">8. </w:t>
        </w:r>
        <w:r w:rsidR="0063530B">
          <w:rPr>
            <w:szCs w:val="22"/>
            <w:lang w:val="hr-HR" w:eastAsia="hr-HR"/>
          </w:rPr>
          <w:tab/>
        </w:r>
        <w:r w:rsidR="0063530B" w:rsidRPr="008B39E4">
          <w:rPr>
            <w:rStyle w:val="Hyperlink"/>
          </w:rPr>
          <w:t>UTJECAJ SCENARIJA NA OKOLIŠ, GOSPODARSTVO I DRUŠTVO</w:t>
        </w:r>
        <w:r w:rsidR="0063530B">
          <w:rPr>
            <w:webHidden/>
          </w:rPr>
          <w:tab/>
        </w:r>
        <w:r w:rsidR="0063530B">
          <w:rPr>
            <w:webHidden/>
          </w:rPr>
          <w:fldChar w:fldCharType="begin"/>
        </w:r>
        <w:r w:rsidR="0063530B">
          <w:rPr>
            <w:webHidden/>
          </w:rPr>
          <w:instrText xml:space="preserve"> PAGEREF _Toc39133313 \h </w:instrText>
        </w:r>
        <w:r w:rsidR="0063530B">
          <w:rPr>
            <w:webHidden/>
          </w:rPr>
        </w:r>
        <w:r w:rsidR="0063530B">
          <w:rPr>
            <w:webHidden/>
          </w:rPr>
          <w:fldChar w:fldCharType="separate"/>
        </w:r>
        <w:r w:rsidR="0063530B">
          <w:rPr>
            <w:webHidden/>
          </w:rPr>
          <w:t>67</w:t>
        </w:r>
        <w:r w:rsidR="0063530B">
          <w:rPr>
            <w:webHidden/>
          </w:rPr>
          <w:fldChar w:fldCharType="end"/>
        </w:r>
      </w:hyperlink>
    </w:p>
    <w:p w14:paraId="5ECBC38C" w14:textId="3D72ABBA" w:rsidR="0063530B" w:rsidRDefault="00BA6891">
      <w:pPr>
        <w:pStyle w:val="TOC2"/>
        <w:tabs>
          <w:tab w:val="left" w:pos="1128"/>
        </w:tabs>
        <w:rPr>
          <w:noProof/>
          <w:lang w:val="hr-HR" w:eastAsia="hr-HR"/>
        </w:rPr>
      </w:pPr>
      <w:hyperlink w:anchor="_Toc39133314" w:history="1">
        <w:r w:rsidR="0063530B" w:rsidRPr="008B39E4">
          <w:rPr>
            <w:rStyle w:val="Hyperlink"/>
            <w:noProof/>
          </w:rPr>
          <w:t xml:space="preserve">8.1. </w:t>
        </w:r>
        <w:r w:rsidR="0063530B">
          <w:rPr>
            <w:noProof/>
            <w:lang w:val="hr-HR" w:eastAsia="hr-HR"/>
          </w:rPr>
          <w:tab/>
        </w:r>
        <w:r w:rsidR="0063530B" w:rsidRPr="008B39E4">
          <w:rPr>
            <w:rStyle w:val="Hyperlink"/>
            <w:noProof/>
          </w:rPr>
          <w:t>UTJECAJ NA OKOLIŠ I PRIRODU</w:t>
        </w:r>
        <w:r w:rsidR="0063530B">
          <w:rPr>
            <w:noProof/>
            <w:webHidden/>
          </w:rPr>
          <w:tab/>
        </w:r>
        <w:r w:rsidR="0063530B">
          <w:rPr>
            <w:noProof/>
            <w:webHidden/>
          </w:rPr>
          <w:fldChar w:fldCharType="begin"/>
        </w:r>
        <w:r w:rsidR="0063530B">
          <w:rPr>
            <w:noProof/>
            <w:webHidden/>
          </w:rPr>
          <w:instrText xml:space="preserve"> PAGEREF _Toc39133314 \h </w:instrText>
        </w:r>
        <w:r w:rsidR="0063530B">
          <w:rPr>
            <w:noProof/>
            <w:webHidden/>
          </w:rPr>
        </w:r>
        <w:r w:rsidR="0063530B">
          <w:rPr>
            <w:noProof/>
            <w:webHidden/>
          </w:rPr>
          <w:fldChar w:fldCharType="separate"/>
        </w:r>
        <w:r w:rsidR="0063530B">
          <w:rPr>
            <w:noProof/>
            <w:webHidden/>
          </w:rPr>
          <w:t>67</w:t>
        </w:r>
        <w:r w:rsidR="0063530B">
          <w:rPr>
            <w:noProof/>
            <w:webHidden/>
          </w:rPr>
          <w:fldChar w:fldCharType="end"/>
        </w:r>
      </w:hyperlink>
    </w:p>
    <w:p w14:paraId="4A19ABFF" w14:textId="1326149B" w:rsidR="0063530B" w:rsidRDefault="00BA6891">
      <w:pPr>
        <w:pStyle w:val="TOC2"/>
        <w:tabs>
          <w:tab w:val="left" w:pos="1128"/>
        </w:tabs>
        <w:rPr>
          <w:noProof/>
          <w:lang w:val="hr-HR" w:eastAsia="hr-HR"/>
        </w:rPr>
      </w:pPr>
      <w:hyperlink w:anchor="_Toc39133315" w:history="1">
        <w:r w:rsidR="0063530B" w:rsidRPr="008B39E4">
          <w:rPr>
            <w:rStyle w:val="Hyperlink"/>
            <w:noProof/>
          </w:rPr>
          <w:t>8.2.</w:t>
        </w:r>
        <w:r w:rsidR="0063530B">
          <w:rPr>
            <w:noProof/>
            <w:lang w:val="hr-HR" w:eastAsia="hr-HR"/>
          </w:rPr>
          <w:tab/>
        </w:r>
        <w:r w:rsidR="0063530B" w:rsidRPr="008B39E4">
          <w:rPr>
            <w:rStyle w:val="Hyperlink"/>
            <w:noProof/>
          </w:rPr>
          <w:t>UTJECAJ NA GOSPODARSTVO</w:t>
        </w:r>
        <w:r w:rsidR="0063530B">
          <w:rPr>
            <w:noProof/>
            <w:webHidden/>
          </w:rPr>
          <w:tab/>
        </w:r>
        <w:r w:rsidR="0063530B">
          <w:rPr>
            <w:noProof/>
            <w:webHidden/>
          </w:rPr>
          <w:fldChar w:fldCharType="begin"/>
        </w:r>
        <w:r w:rsidR="0063530B">
          <w:rPr>
            <w:noProof/>
            <w:webHidden/>
          </w:rPr>
          <w:instrText xml:space="preserve"> PAGEREF _Toc39133315 \h </w:instrText>
        </w:r>
        <w:r w:rsidR="0063530B">
          <w:rPr>
            <w:noProof/>
            <w:webHidden/>
          </w:rPr>
        </w:r>
        <w:r w:rsidR="0063530B">
          <w:rPr>
            <w:noProof/>
            <w:webHidden/>
          </w:rPr>
          <w:fldChar w:fldCharType="separate"/>
        </w:r>
        <w:r w:rsidR="0063530B">
          <w:rPr>
            <w:noProof/>
            <w:webHidden/>
          </w:rPr>
          <w:t>67</w:t>
        </w:r>
        <w:r w:rsidR="0063530B">
          <w:rPr>
            <w:noProof/>
            <w:webHidden/>
          </w:rPr>
          <w:fldChar w:fldCharType="end"/>
        </w:r>
      </w:hyperlink>
    </w:p>
    <w:p w14:paraId="55E8432E" w14:textId="15F864DF" w:rsidR="0063530B" w:rsidRDefault="00BA6891">
      <w:pPr>
        <w:pStyle w:val="TOC2"/>
        <w:tabs>
          <w:tab w:val="left" w:pos="1128"/>
        </w:tabs>
        <w:rPr>
          <w:noProof/>
          <w:lang w:val="hr-HR" w:eastAsia="hr-HR"/>
        </w:rPr>
      </w:pPr>
      <w:hyperlink w:anchor="_Toc39133316" w:history="1">
        <w:r w:rsidR="0063530B" w:rsidRPr="008B39E4">
          <w:rPr>
            <w:rStyle w:val="Hyperlink"/>
            <w:noProof/>
          </w:rPr>
          <w:t>8.3.</w:t>
        </w:r>
        <w:r w:rsidR="0063530B">
          <w:rPr>
            <w:noProof/>
            <w:lang w:val="hr-HR" w:eastAsia="hr-HR"/>
          </w:rPr>
          <w:tab/>
        </w:r>
        <w:r w:rsidR="0063530B" w:rsidRPr="008B39E4">
          <w:rPr>
            <w:rStyle w:val="Hyperlink"/>
            <w:noProof/>
          </w:rPr>
          <w:t>UTJECAJ NA DRUŠTVO</w:t>
        </w:r>
        <w:r w:rsidR="0063530B">
          <w:rPr>
            <w:noProof/>
            <w:webHidden/>
          </w:rPr>
          <w:tab/>
        </w:r>
        <w:r w:rsidR="0063530B">
          <w:rPr>
            <w:noProof/>
            <w:webHidden/>
          </w:rPr>
          <w:fldChar w:fldCharType="begin"/>
        </w:r>
        <w:r w:rsidR="0063530B">
          <w:rPr>
            <w:noProof/>
            <w:webHidden/>
          </w:rPr>
          <w:instrText xml:space="preserve"> PAGEREF _Toc39133316 \h </w:instrText>
        </w:r>
        <w:r w:rsidR="0063530B">
          <w:rPr>
            <w:noProof/>
            <w:webHidden/>
          </w:rPr>
        </w:r>
        <w:r w:rsidR="0063530B">
          <w:rPr>
            <w:noProof/>
            <w:webHidden/>
          </w:rPr>
          <w:fldChar w:fldCharType="separate"/>
        </w:r>
        <w:r w:rsidR="0063530B">
          <w:rPr>
            <w:noProof/>
            <w:webHidden/>
          </w:rPr>
          <w:t>69</w:t>
        </w:r>
        <w:r w:rsidR="0063530B">
          <w:rPr>
            <w:noProof/>
            <w:webHidden/>
          </w:rPr>
          <w:fldChar w:fldCharType="end"/>
        </w:r>
      </w:hyperlink>
    </w:p>
    <w:p w14:paraId="4A662AFB" w14:textId="50BF440A" w:rsidR="0063530B" w:rsidRDefault="00BA6891">
      <w:pPr>
        <w:pStyle w:val="TOC2"/>
        <w:tabs>
          <w:tab w:val="left" w:pos="1128"/>
        </w:tabs>
        <w:rPr>
          <w:noProof/>
          <w:lang w:val="hr-HR" w:eastAsia="hr-HR"/>
        </w:rPr>
      </w:pPr>
      <w:hyperlink w:anchor="_Toc39133317" w:history="1">
        <w:r w:rsidR="0063530B" w:rsidRPr="008B39E4">
          <w:rPr>
            <w:rStyle w:val="Hyperlink"/>
            <w:noProof/>
          </w:rPr>
          <w:t>8.4.</w:t>
        </w:r>
        <w:r w:rsidR="0063530B">
          <w:rPr>
            <w:noProof/>
            <w:lang w:val="hr-HR" w:eastAsia="hr-HR"/>
          </w:rPr>
          <w:tab/>
        </w:r>
        <w:r w:rsidR="0063530B" w:rsidRPr="008B39E4">
          <w:rPr>
            <w:rStyle w:val="Hyperlink"/>
            <w:noProof/>
          </w:rPr>
          <w:t>PROCJENA KORISTI NISKOUGLJIČNOG RAZVOJA</w:t>
        </w:r>
        <w:r w:rsidR="0063530B">
          <w:rPr>
            <w:noProof/>
            <w:webHidden/>
          </w:rPr>
          <w:tab/>
        </w:r>
        <w:r w:rsidR="0063530B">
          <w:rPr>
            <w:noProof/>
            <w:webHidden/>
          </w:rPr>
          <w:fldChar w:fldCharType="begin"/>
        </w:r>
        <w:r w:rsidR="0063530B">
          <w:rPr>
            <w:noProof/>
            <w:webHidden/>
          </w:rPr>
          <w:instrText xml:space="preserve"> PAGEREF _Toc39133317 \h </w:instrText>
        </w:r>
        <w:r w:rsidR="0063530B">
          <w:rPr>
            <w:noProof/>
            <w:webHidden/>
          </w:rPr>
        </w:r>
        <w:r w:rsidR="0063530B">
          <w:rPr>
            <w:noProof/>
            <w:webHidden/>
          </w:rPr>
          <w:fldChar w:fldCharType="separate"/>
        </w:r>
        <w:r w:rsidR="0063530B">
          <w:rPr>
            <w:noProof/>
            <w:webHidden/>
          </w:rPr>
          <w:t>70</w:t>
        </w:r>
        <w:r w:rsidR="0063530B">
          <w:rPr>
            <w:noProof/>
            <w:webHidden/>
          </w:rPr>
          <w:fldChar w:fldCharType="end"/>
        </w:r>
      </w:hyperlink>
    </w:p>
    <w:p w14:paraId="4C8BAEE8" w14:textId="3A73EE06" w:rsidR="0063530B" w:rsidRDefault="00BA6891">
      <w:pPr>
        <w:pStyle w:val="TOC1"/>
        <w:tabs>
          <w:tab w:val="right" w:leader="dot" w:pos="9060"/>
        </w:tabs>
        <w:rPr>
          <w:szCs w:val="22"/>
          <w:lang w:val="hr-HR" w:eastAsia="hr-HR"/>
        </w:rPr>
      </w:pPr>
      <w:hyperlink w:anchor="_Toc39133318" w:history="1">
        <w:r w:rsidR="0063530B" w:rsidRPr="008B39E4">
          <w:rPr>
            <w:rStyle w:val="Hyperlink"/>
          </w:rPr>
          <w:t xml:space="preserve">9. </w:t>
        </w:r>
        <w:r w:rsidR="0063530B">
          <w:rPr>
            <w:szCs w:val="22"/>
            <w:lang w:val="hr-HR" w:eastAsia="hr-HR"/>
          </w:rPr>
          <w:tab/>
        </w:r>
        <w:r w:rsidR="0063530B" w:rsidRPr="008B39E4">
          <w:rPr>
            <w:rStyle w:val="Hyperlink"/>
          </w:rPr>
          <w:t>OBRAZOVANJE I AKTIVNO UKLJUČIVANJE GRAĐANA U NISKOUGLJIČNI RAZVOJ</w:t>
        </w:r>
        <w:r w:rsidR="0063530B">
          <w:rPr>
            <w:webHidden/>
          </w:rPr>
          <w:tab/>
        </w:r>
        <w:r w:rsidR="0063530B">
          <w:rPr>
            <w:webHidden/>
          </w:rPr>
          <w:fldChar w:fldCharType="begin"/>
        </w:r>
        <w:r w:rsidR="0063530B">
          <w:rPr>
            <w:webHidden/>
          </w:rPr>
          <w:instrText xml:space="preserve"> PAGEREF _Toc39133318 \h </w:instrText>
        </w:r>
        <w:r w:rsidR="0063530B">
          <w:rPr>
            <w:webHidden/>
          </w:rPr>
        </w:r>
        <w:r w:rsidR="0063530B">
          <w:rPr>
            <w:webHidden/>
          </w:rPr>
          <w:fldChar w:fldCharType="separate"/>
        </w:r>
        <w:r w:rsidR="0063530B">
          <w:rPr>
            <w:webHidden/>
          </w:rPr>
          <w:t>71</w:t>
        </w:r>
        <w:r w:rsidR="0063530B">
          <w:rPr>
            <w:webHidden/>
          </w:rPr>
          <w:fldChar w:fldCharType="end"/>
        </w:r>
      </w:hyperlink>
    </w:p>
    <w:p w14:paraId="25C1DE50" w14:textId="1C05A022" w:rsidR="0063530B" w:rsidRDefault="00BA6891">
      <w:pPr>
        <w:pStyle w:val="TOC1"/>
        <w:tabs>
          <w:tab w:val="right" w:leader="dot" w:pos="9060"/>
        </w:tabs>
        <w:rPr>
          <w:szCs w:val="22"/>
          <w:lang w:val="hr-HR" w:eastAsia="hr-HR"/>
        </w:rPr>
      </w:pPr>
      <w:hyperlink w:anchor="_Toc39133319" w:history="1">
        <w:r w:rsidR="0063530B" w:rsidRPr="008B39E4">
          <w:rPr>
            <w:rStyle w:val="Hyperlink"/>
          </w:rPr>
          <w:t>10.</w:t>
        </w:r>
        <w:r w:rsidR="0063530B">
          <w:rPr>
            <w:szCs w:val="22"/>
            <w:lang w:val="hr-HR" w:eastAsia="hr-HR"/>
          </w:rPr>
          <w:tab/>
        </w:r>
        <w:r w:rsidR="0063530B" w:rsidRPr="008B39E4">
          <w:rPr>
            <w:rStyle w:val="Hyperlink"/>
          </w:rPr>
          <w:t>ISTRAŽIVANJA, TEHNOLOŠKI RAZVOJ I INOVACIJE</w:t>
        </w:r>
        <w:r w:rsidR="0063530B">
          <w:rPr>
            <w:webHidden/>
          </w:rPr>
          <w:tab/>
        </w:r>
        <w:r w:rsidR="0063530B">
          <w:rPr>
            <w:webHidden/>
          </w:rPr>
          <w:fldChar w:fldCharType="begin"/>
        </w:r>
        <w:r w:rsidR="0063530B">
          <w:rPr>
            <w:webHidden/>
          </w:rPr>
          <w:instrText xml:space="preserve"> PAGEREF _Toc39133319 \h </w:instrText>
        </w:r>
        <w:r w:rsidR="0063530B">
          <w:rPr>
            <w:webHidden/>
          </w:rPr>
        </w:r>
        <w:r w:rsidR="0063530B">
          <w:rPr>
            <w:webHidden/>
          </w:rPr>
          <w:fldChar w:fldCharType="separate"/>
        </w:r>
        <w:r w:rsidR="0063530B">
          <w:rPr>
            <w:webHidden/>
          </w:rPr>
          <w:t>72</w:t>
        </w:r>
        <w:r w:rsidR="0063530B">
          <w:rPr>
            <w:webHidden/>
          </w:rPr>
          <w:fldChar w:fldCharType="end"/>
        </w:r>
      </w:hyperlink>
    </w:p>
    <w:p w14:paraId="197A6959" w14:textId="506207BE" w:rsidR="0063530B" w:rsidRDefault="00BA6891">
      <w:pPr>
        <w:pStyle w:val="TOC1"/>
        <w:tabs>
          <w:tab w:val="right" w:leader="dot" w:pos="9060"/>
        </w:tabs>
        <w:rPr>
          <w:szCs w:val="22"/>
          <w:lang w:val="hr-HR" w:eastAsia="hr-HR"/>
        </w:rPr>
      </w:pPr>
      <w:hyperlink w:anchor="_Toc39133320" w:history="1">
        <w:r w:rsidR="0063530B" w:rsidRPr="008B39E4">
          <w:rPr>
            <w:rStyle w:val="Hyperlink"/>
          </w:rPr>
          <w:t>11.</w:t>
        </w:r>
        <w:r w:rsidR="0063530B">
          <w:rPr>
            <w:szCs w:val="22"/>
            <w:lang w:val="hr-HR" w:eastAsia="hr-HR"/>
          </w:rPr>
          <w:tab/>
        </w:r>
        <w:r w:rsidR="0063530B" w:rsidRPr="008B39E4">
          <w:rPr>
            <w:rStyle w:val="Hyperlink"/>
          </w:rPr>
          <w:t>NISKOUGLJIČNI RAZVOJ NA LOKALNOJ I REGIONALNOJ RAZINI</w:t>
        </w:r>
        <w:r w:rsidR="0063530B">
          <w:rPr>
            <w:webHidden/>
          </w:rPr>
          <w:tab/>
        </w:r>
        <w:r w:rsidR="0063530B">
          <w:rPr>
            <w:webHidden/>
          </w:rPr>
          <w:fldChar w:fldCharType="begin"/>
        </w:r>
        <w:r w:rsidR="0063530B">
          <w:rPr>
            <w:webHidden/>
          </w:rPr>
          <w:instrText xml:space="preserve"> PAGEREF _Toc39133320 \h </w:instrText>
        </w:r>
        <w:r w:rsidR="0063530B">
          <w:rPr>
            <w:webHidden/>
          </w:rPr>
        </w:r>
        <w:r w:rsidR="0063530B">
          <w:rPr>
            <w:webHidden/>
          </w:rPr>
          <w:fldChar w:fldCharType="separate"/>
        </w:r>
        <w:r w:rsidR="0063530B">
          <w:rPr>
            <w:webHidden/>
          </w:rPr>
          <w:t>74</w:t>
        </w:r>
        <w:r w:rsidR="0063530B">
          <w:rPr>
            <w:webHidden/>
          </w:rPr>
          <w:fldChar w:fldCharType="end"/>
        </w:r>
      </w:hyperlink>
    </w:p>
    <w:p w14:paraId="08283D59" w14:textId="5303E974" w:rsidR="0063530B" w:rsidRDefault="00BA6891">
      <w:pPr>
        <w:pStyle w:val="TOC1"/>
        <w:tabs>
          <w:tab w:val="right" w:leader="dot" w:pos="9060"/>
        </w:tabs>
        <w:rPr>
          <w:szCs w:val="22"/>
          <w:lang w:val="hr-HR" w:eastAsia="hr-HR"/>
        </w:rPr>
      </w:pPr>
      <w:hyperlink w:anchor="_Toc39133321" w:history="1">
        <w:r w:rsidR="0063530B" w:rsidRPr="008B39E4">
          <w:rPr>
            <w:rStyle w:val="Hyperlink"/>
          </w:rPr>
          <w:t>12.</w:t>
        </w:r>
        <w:r w:rsidR="0063530B">
          <w:rPr>
            <w:szCs w:val="22"/>
            <w:lang w:val="hr-HR" w:eastAsia="hr-HR"/>
          </w:rPr>
          <w:tab/>
        </w:r>
        <w:r w:rsidR="0063530B" w:rsidRPr="008B39E4">
          <w:rPr>
            <w:rStyle w:val="Hyperlink"/>
          </w:rPr>
          <w:t>NISKOUGLJIČNO GOSPODARSTVO I OBRASCI POSLOVANJA</w:t>
        </w:r>
        <w:r w:rsidR="0063530B">
          <w:rPr>
            <w:webHidden/>
          </w:rPr>
          <w:tab/>
        </w:r>
        <w:r w:rsidR="0063530B">
          <w:rPr>
            <w:webHidden/>
          </w:rPr>
          <w:fldChar w:fldCharType="begin"/>
        </w:r>
        <w:r w:rsidR="0063530B">
          <w:rPr>
            <w:webHidden/>
          </w:rPr>
          <w:instrText xml:space="preserve"> PAGEREF _Toc39133321 \h </w:instrText>
        </w:r>
        <w:r w:rsidR="0063530B">
          <w:rPr>
            <w:webHidden/>
          </w:rPr>
        </w:r>
        <w:r w:rsidR="0063530B">
          <w:rPr>
            <w:webHidden/>
          </w:rPr>
          <w:fldChar w:fldCharType="separate"/>
        </w:r>
        <w:r w:rsidR="0063530B">
          <w:rPr>
            <w:webHidden/>
          </w:rPr>
          <w:t>76</w:t>
        </w:r>
        <w:r w:rsidR="0063530B">
          <w:rPr>
            <w:webHidden/>
          </w:rPr>
          <w:fldChar w:fldCharType="end"/>
        </w:r>
      </w:hyperlink>
    </w:p>
    <w:p w14:paraId="0AC633C9" w14:textId="7DA23EE5" w:rsidR="0063530B" w:rsidRDefault="00BA6891">
      <w:pPr>
        <w:pStyle w:val="TOC1"/>
        <w:tabs>
          <w:tab w:val="right" w:leader="dot" w:pos="9060"/>
        </w:tabs>
        <w:rPr>
          <w:szCs w:val="22"/>
          <w:lang w:val="hr-HR" w:eastAsia="hr-HR"/>
        </w:rPr>
      </w:pPr>
      <w:hyperlink w:anchor="_Toc39133322" w:history="1">
        <w:r w:rsidR="0063530B" w:rsidRPr="008B39E4">
          <w:rPr>
            <w:rStyle w:val="Hyperlink"/>
          </w:rPr>
          <w:t>13.</w:t>
        </w:r>
        <w:r w:rsidR="0063530B">
          <w:rPr>
            <w:szCs w:val="22"/>
            <w:lang w:val="hr-HR" w:eastAsia="hr-HR"/>
          </w:rPr>
          <w:tab/>
        </w:r>
        <w:r w:rsidR="0063530B" w:rsidRPr="008B39E4">
          <w:rPr>
            <w:rStyle w:val="Hyperlink"/>
          </w:rPr>
          <w:t>MEĐUNARODNA SURADNJA</w:t>
        </w:r>
        <w:r w:rsidR="0063530B">
          <w:rPr>
            <w:webHidden/>
          </w:rPr>
          <w:tab/>
        </w:r>
        <w:r w:rsidR="0063530B">
          <w:rPr>
            <w:webHidden/>
          </w:rPr>
          <w:fldChar w:fldCharType="begin"/>
        </w:r>
        <w:r w:rsidR="0063530B">
          <w:rPr>
            <w:webHidden/>
          </w:rPr>
          <w:instrText xml:space="preserve"> PAGEREF _Toc39133322 \h </w:instrText>
        </w:r>
        <w:r w:rsidR="0063530B">
          <w:rPr>
            <w:webHidden/>
          </w:rPr>
        </w:r>
        <w:r w:rsidR="0063530B">
          <w:rPr>
            <w:webHidden/>
          </w:rPr>
          <w:fldChar w:fldCharType="separate"/>
        </w:r>
        <w:r w:rsidR="0063530B">
          <w:rPr>
            <w:webHidden/>
          </w:rPr>
          <w:t>78</w:t>
        </w:r>
        <w:r w:rsidR="0063530B">
          <w:rPr>
            <w:webHidden/>
          </w:rPr>
          <w:fldChar w:fldCharType="end"/>
        </w:r>
      </w:hyperlink>
    </w:p>
    <w:p w14:paraId="70BD5F30" w14:textId="712FBD63" w:rsidR="0063530B" w:rsidRDefault="00BA6891">
      <w:pPr>
        <w:pStyle w:val="TOC1"/>
        <w:tabs>
          <w:tab w:val="right" w:leader="dot" w:pos="9060"/>
        </w:tabs>
        <w:rPr>
          <w:szCs w:val="22"/>
          <w:lang w:val="hr-HR" w:eastAsia="hr-HR"/>
        </w:rPr>
      </w:pPr>
      <w:hyperlink w:anchor="_Toc39133323" w:history="1">
        <w:r w:rsidR="0063530B" w:rsidRPr="008B39E4">
          <w:rPr>
            <w:rStyle w:val="Hyperlink"/>
          </w:rPr>
          <w:t>14.</w:t>
        </w:r>
        <w:r w:rsidR="0063530B">
          <w:rPr>
            <w:szCs w:val="22"/>
            <w:lang w:val="hr-HR" w:eastAsia="hr-HR"/>
          </w:rPr>
          <w:tab/>
        </w:r>
        <w:r w:rsidR="0063530B" w:rsidRPr="008B39E4">
          <w:rPr>
            <w:rStyle w:val="Hyperlink"/>
          </w:rPr>
          <w:t>PROVEDBA NISKOUGLJIČNE STRATEGIJE</w:t>
        </w:r>
        <w:r w:rsidR="0063530B">
          <w:rPr>
            <w:webHidden/>
          </w:rPr>
          <w:tab/>
        </w:r>
        <w:r w:rsidR="0063530B">
          <w:rPr>
            <w:webHidden/>
          </w:rPr>
          <w:fldChar w:fldCharType="begin"/>
        </w:r>
        <w:r w:rsidR="0063530B">
          <w:rPr>
            <w:webHidden/>
          </w:rPr>
          <w:instrText xml:space="preserve"> PAGEREF _Toc39133323 \h </w:instrText>
        </w:r>
        <w:r w:rsidR="0063530B">
          <w:rPr>
            <w:webHidden/>
          </w:rPr>
        </w:r>
        <w:r w:rsidR="0063530B">
          <w:rPr>
            <w:webHidden/>
          </w:rPr>
          <w:fldChar w:fldCharType="separate"/>
        </w:r>
        <w:r w:rsidR="0063530B">
          <w:rPr>
            <w:webHidden/>
          </w:rPr>
          <w:t>79</w:t>
        </w:r>
        <w:r w:rsidR="0063530B">
          <w:rPr>
            <w:webHidden/>
          </w:rPr>
          <w:fldChar w:fldCharType="end"/>
        </w:r>
      </w:hyperlink>
    </w:p>
    <w:p w14:paraId="2BF9A4FB" w14:textId="444CB73C" w:rsidR="0063530B" w:rsidRDefault="00BA6891">
      <w:pPr>
        <w:pStyle w:val="TOC2"/>
        <w:rPr>
          <w:noProof/>
          <w:lang w:val="hr-HR" w:eastAsia="hr-HR"/>
        </w:rPr>
      </w:pPr>
      <w:hyperlink w:anchor="_Toc39133324" w:history="1">
        <w:r w:rsidR="0063530B" w:rsidRPr="008B39E4">
          <w:rPr>
            <w:rStyle w:val="Hyperlink"/>
            <w:noProof/>
          </w:rPr>
          <w:t>14.1. INSTITUCIONALNI OKVIR ZA PROVOĐENJE NISKOUGLJIČNE STRATEGIJE</w:t>
        </w:r>
        <w:r w:rsidR="0063530B">
          <w:rPr>
            <w:noProof/>
            <w:webHidden/>
          </w:rPr>
          <w:tab/>
        </w:r>
        <w:r w:rsidR="0063530B">
          <w:rPr>
            <w:noProof/>
            <w:webHidden/>
          </w:rPr>
          <w:fldChar w:fldCharType="begin"/>
        </w:r>
        <w:r w:rsidR="0063530B">
          <w:rPr>
            <w:noProof/>
            <w:webHidden/>
          </w:rPr>
          <w:instrText xml:space="preserve"> PAGEREF _Toc39133324 \h </w:instrText>
        </w:r>
        <w:r w:rsidR="0063530B">
          <w:rPr>
            <w:noProof/>
            <w:webHidden/>
          </w:rPr>
        </w:r>
        <w:r w:rsidR="0063530B">
          <w:rPr>
            <w:noProof/>
            <w:webHidden/>
          </w:rPr>
          <w:fldChar w:fldCharType="separate"/>
        </w:r>
        <w:r w:rsidR="0063530B">
          <w:rPr>
            <w:noProof/>
            <w:webHidden/>
          </w:rPr>
          <w:t>79</w:t>
        </w:r>
        <w:r w:rsidR="0063530B">
          <w:rPr>
            <w:noProof/>
            <w:webHidden/>
          </w:rPr>
          <w:fldChar w:fldCharType="end"/>
        </w:r>
      </w:hyperlink>
    </w:p>
    <w:p w14:paraId="233B046E" w14:textId="6AE73777" w:rsidR="0063530B" w:rsidRDefault="00BA6891">
      <w:pPr>
        <w:pStyle w:val="TOC2"/>
        <w:rPr>
          <w:noProof/>
          <w:lang w:val="hr-HR" w:eastAsia="hr-HR"/>
        </w:rPr>
      </w:pPr>
      <w:hyperlink w:anchor="_Toc39133325" w:history="1">
        <w:r w:rsidR="0063530B" w:rsidRPr="008B39E4">
          <w:rPr>
            <w:rStyle w:val="Hyperlink"/>
            <w:noProof/>
          </w:rPr>
          <w:t>14.2. POKAZATELJI PROVEDBE NISKOUGLJIČNE STRATEGIJE</w:t>
        </w:r>
        <w:r w:rsidR="0063530B">
          <w:rPr>
            <w:noProof/>
            <w:webHidden/>
          </w:rPr>
          <w:tab/>
        </w:r>
        <w:r w:rsidR="0063530B">
          <w:rPr>
            <w:noProof/>
            <w:webHidden/>
          </w:rPr>
          <w:fldChar w:fldCharType="begin"/>
        </w:r>
        <w:r w:rsidR="0063530B">
          <w:rPr>
            <w:noProof/>
            <w:webHidden/>
          </w:rPr>
          <w:instrText xml:space="preserve"> PAGEREF _Toc39133325 \h </w:instrText>
        </w:r>
        <w:r w:rsidR="0063530B">
          <w:rPr>
            <w:noProof/>
            <w:webHidden/>
          </w:rPr>
        </w:r>
        <w:r w:rsidR="0063530B">
          <w:rPr>
            <w:noProof/>
            <w:webHidden/>
          </w:rPr>
          <w:fldChar w:fldCharType="separate"/>
        </w:r>
        <w:r w:rsidR="0063530B">
          <w:rPr>
            <w:noProof/>
            <w:webHidden/>
          </w:rPr>
          <w:t>80</w:t>
        </w:r>
        <w:r w:rsidR="0063530B">
          <w:rPr>
            <w:noProof/>
            <w:webHidden/>
          </w:rPr>
          <w:fldChar w:fldCharType="end"/>
        </w:r>
      </w:hyperlink>
    </w:p>
    <w:p w14:paraId="2A25C23C" w14:textId="163CC3DD" w:rsidR="0063530B" w:rsidRDefault="00BA6891">
      <w:pPr>
        <w:pStyle w:val="TOC2"/>
        <w:rPr>
          <w:noProof/>
          <w:lang w:val="hr-HR" w:eastAsia="hr-HR"/>
        </w:rPr>
      </w:pPr>
      <w:hyperlink w:anchor="_Toc39133326" w:history="1">
        <w:r w:rsidR="0063530B" w:rsidRPr="008B39E4">
          <w:rPr>
            <w:rStyle w:val="Hyperlink"/>
            <w:noProof/>
          </w:rPr>
          <w:t>14.3. PRAĆENJE, IZVJEŠTAVANJE I VERIFIKACIJA</w:t>
        </w:r>
        <w:r w:rsidR="0063530B">
          <w:rPr>
            <w:noProof/>
            <w:webHidden/>
          </w:rPr>
          <w:tab/>
        </w:r>
        <w:r w:rsidR="0063530B">
          <w:rPr>
            <w:noProof/>
            <w:webHidden/>
          </w:rPr>
          <w:fldChar w:fldCharType="begin"/>
        </w:r>
        <w:r w:rsidR="0063530B">
          <w:rPr>
            <w:noProof/>
            <w:webHidden/>
          </w:rPr>
          <w:instrText xml:space="preserve"> PAGEREF _Toc39133326 \h </w:instrText>
        </w:r>
        <w:r w:rsidR="0063530B">
          <w:rPr>
            <w:noProof/>
            <w:webHidden/>
          </w:rPr>
        </w:r>
        <w:r w:rsidR="0063530B">
          <w:rPr>
            <w:noProof/>
            <w:webHidden/>
          </w:rPr>
          <w:fldChar w:fldCharType="separate"/>
        </w:r>
        <w:r w:rsidR="0063530B">
          <w:rPr>
            <w:noProof/>
            <w:webHidden/>
          </w:rPr>
          <w:t>81</w:t>
        </w:r>
        <w:r w:rsidR="0063530B">
          <w:rPr>
            <w:noProof/>
            <w:webHidden/>
          </w:rPr>
          <w:fldChar w:fldCharType="end"/>
        </w:r>
      </w:hyperlink>
    </w:p>
    <w:p w14:paraId="05993C36" w14:textId="440192B4" w:rsidR="0063530B" w:rsidRDefault="00BA6891">
      <w:pPr>
        <w:pStyle w:val="TOC2"/>
        <w:rPr>
          <w:noProof/>
          <w:lang w:val="hr-HR" w:eastAsia="hr-HR"/>
        </w:rPr>
      </w:pPr>
      <w:hyperlink w:anchor="_Toc39133327" w:history="1">
        <w:r w:rsidR="0063530B" w:rsidRPr="008B39E4">
          <w:rPr>
            <w:rStyle w:val="Hyperlink"/>
            <w:noProof/>
          </w:rPr>
          <w:t>14.4. STRATEŠKA PROCJENA UTJECAJA NISKOUGLJIČNE STRATEGIJE NA OKOLIŠ</w:t>
        </w:r>
        <w:r w:rsidR="0063530B">
          <w:rPr>
            <w:noProof/>
            <w:webHidden/>
          </w:rPr>
          <w:tab/>
        </w:r>
        <w:r w:rsidR="0063530B">
          <w:rPr>
            <w:noProof/>
            <w:webHidden/>
          </w:rPr>
          <w:fldChar w:fldCharType="begin"/>
        </w:r>
        <w:r w:rsidR="0063530B">
          <w:rPr>
            <w:noProof/>
            <w:webHidden/>
          </w:rPr>
          <w:instrText xml:space="preserve"> PAGEREF _Toc39133327 \h </w:instrText>
        </w:r>
        <w:r w:rsidR="0063530B">
          <w:rPr>
            <w:noProof/>
            <w:webHidden/>
          </w:rPr>
        </w:r>
        <w:r w:rsidR="0063530B">
          <w:rPr>
            <w:noProof/>
            <w:webHidden/>
          </w:rPr>
          <w:fldChar w:fldCharType="separate"/>
        </w:r>
        <w:r w:rsidR="0063530B">
          <w:rPr>
            <w:noProof/>
            <w:webHidden/>
          </w:rPr>
          <w:t>82</w:t>
        </w:r>
        <w:r w:rsidR="0063530B">
          <w:rPr>
            <w:noProof/>
            <w:webHidden/>
          </w:rPr>
          <w:fldChar w:fldCharType="end"/>
        </w:r>
      </w:hyperlink>
    </w:p>
    <w:p w14:paraId="62A790DF" w14:textId="1F5E1AC8" w:rsidR="0063530B" w:rsidRDefault="00BA6891">
      <w:pPr>
        <w:pStyle w:val="TOC1"/>
        <w:tabs>
          <w:tab w:val="right" w:leader="dot" w:pos="9060"/>
        </w:tabs>
        <w:rPr>
          <w:szCs w:val="22"/>
          <w:lang w:val="hr-HR" w:eastAsia="hr-HR"/>
        </w:rPr>
      </w:pPr>
      <w:hyperlink w:anchor="_Toc39133328" w:history="1">
        <w:r w:rsidR="0063530B" w:rsidRPr="008B39E4">
          <w:rPr>
            <w:rStyle w:val="Hyperlink"/>
          </w:rPr>
          <w:t>PRILOG I.  -  OPIS REFERENTNOG SCENARIJA (NUR)</w:t>
        </w:r>
        <w:r w:rsidR="0063530B">
          <w:rPr>
            <w:webHidden/>
          </w:rPr>
          <w:tab/>
        </w:r>
        <w:r w:rsidR="0063530B">
          <w:rPr>
            <w:webHidden/>
          </w:rPr>
          <w:fldChar w:fldCharType="begin"/>
        </w:r>
        <w:r w:rsidR="0063530B">
          <w:rPr>
            <w:webHidden/>
          </w:rPr>
          <w:instrText xml:space="preserve"> PAGEREF _Toc39133328 \h </w:instrText>
        </w:r>
        <w:r w:rsidR="0063530B">
          <w:rPr>
            <w:webHidden/>
          </w:rPr>
        </w:r>
        <w:r w:rsidR="0063530B">
          <w:rPr>
            <w:webHidden/>
          </w:rPr>
          <w:fldChar w:fldCharType="separate"/>
        </w:r>
        <w:r w:rsidR="0063530B">
          <w:rPr>
            <w:webHidden/>
          </w:rPr>
          <w:t>84</w:t>
        </w:r>
        <w:r w:rsidR="0063530B">
          <w:rPr>
            <w:webHidden/>
          </w:rPr>
          <w:fldChar w:fldCharType="end"/>
        </w:r>
      </w:hyperlink>
    </w:p>
    <w:p w14:paraId="516DB020" w14:textId="320C5720" w:rsidR="0063530B" w:rsidRDefault="00BA6891">
      <w:pPr>
        <w:pStyle w:val="TOC2"/>
        <w:tabs>
          <w:tab w:val="left" w:pos="1128"/>
        </w:tabs>
        <w:rPr>
          <w:noProof/>
          <w:lang w:val="hr-HR" w:eastAsia="hr-HR"/>
        </w:rPr>
      </w:pPr>
      <w:hyperlink w:anchor="_Toc39133329" w:history="1">
        <w:r w:rsidR="0063530B" w:rsidRPr="008B39E4">
          <w:rPr>
            <w:rStyle w:val="Hyperlink"/>
            <w:noProof/>
          </w:rPr>
          <w:t xml:space="preserve">I.1. </w:t>
        </w:r>
        <w:r w:rsidR="0063530B">
          <w:rPr>
            <w:noProof/>
            <w:lang w:val="hr-HR" w:eastAsia="hr-HR"/>
          </w:rPr>
          <w:tab/>
        </w:r>
        <w:r w:rsidR="0063530B" w:rsidRPr="008B39E4">
          <w:rPr>
            <w:rStyle w:val="Hyperlink"/>
            <w:noProof/>
          </w:rPr>
          <w:t>ENERGETSKA POSTROJENJA</w:t>
        </w:r>
        <w:r w:rsidR="0063530B">
          <w:rPr>
            <w:noProof/>
            <w:webHidden/>
          </w:rPr>
          <w:tab/>
        </w:r>
        <w:r w:rsidR="0063530B">
          <w:rPr>
            <w:noProof/>
            <w:webHidden/>
          </w:rPr>
          <w:fldChar w:fldCharType="begin"/>
        </w:r>
        <w:r w:rsidR="0063530B">
          <w:rPr>
            <w:noProof/>
            <w:webHidden/>
          </w:rPr>
          <w:instrText xml:space="preserve"> PAGEREF _Toc39133329 \h </w:instrText>
        </w:r>
        <w:r w:rsidR="0063530B">
          <w:rPr>
            <w:noProof/>
            <w:webHidden/>
          </w:rPr>
        </w:r>
        <w:r w:rsidR="0063530B">
          <w:rPr>
            <w:noProof/>
            <w:webHidden/>
          </w:rPr>
          <w:fldChar w:fldCharType="separate"/>
        </w:r>
        <w:r w:rsidR="0063530B">
          <w:rPr>
            <w:noProof/>
            <w:webHidden/>
          </w:rPr>
          <w:t>84</w:t>
        </w:r>
        <w:r w:rsidR="0063530B">
          <w:rPr>
            <w:noProof/>
            <w:webHidden/>
          </w:rPr>
          <w:fldChar w:fldCharType="end"/>
        </w:r>
      </w:hyperlink>
    </w:p>
    <w:p w14:paraId="780A91CA" w14:textId="3B378739" w:rsidR="0063530B" w:rsidRDefault="00BA6891">
      <w:pPr>
        <w:pStyle w:val="TOC2"/>
        <w:tabs>
          <w:tab w:val="left" w:pos="1128"/>
        </w:tabs>
        <w:rPr>
          <w:noProof/>
          <w:lang w:val="hr-HR" w:eastAsia="hr-HR"/>
        </w:rPr>
      </w:pPr>
      <w:hyperlink w:anchor="_Toc39133330" w:history="1">
        <w:r w:rsidR="0063530B" w:rsidRPr="008B39E4">
          <w:rPr>
            <w:rStyle w:val="Hyperlink"/>
            <w:noProof/>
          </w:rPr>
          <w:t xml:space="preserve">I.2. </w:t>
        </w:r>
        <w:r w:rsidR="0063530B">
          <w:rPr>
            <w:noProof/>
            <w:lang w:val="hr-HR" w:eastAsia="hr-HR"/>
          </w:rPr>
          <w:tab/>
        </w:r>
        <w:r w:rsidR="0063530B" w:rsidRPr="008B39E4">
          <w:rPr>
            <w:rStyle w:val="Hyperlink"/>
            <w:noProof/>
          </w:rPr>
          <w:t>INDUSTRIJA</w:t>
        </w:r>
        <w:r w:rsidR="0063530B">
          <w:rPr>
            <w:noProof/>
            <w:webHidden/>
          </w:rPr>
          <w:tab/>
        </w:r>
        <w:r w:rsidR="0063530B">
          <w:rPr>
            <w:noProof/>
            <w:webHidden/>
          </w:rPr>
          <w:fldChar w:fldCharType="begin"/>
        </w:r>
        <w:r w:rsidR="0063530B">
          <w:rPr>
            <w:noProof/>
            <w:webHidden/>
          </w:rPr>
          <w:instrText xml:space="preserve"> PAGEREF _Toc39133330 \h </w:instrText>
        </w:r>
        <w:r w:rsidR="0063530B">
          <w:rPr>
            <w:noProof/>
            <w:webHidden/>
          </w:rPr>
        </w:r>
        <w:r w:rsidR="0063530B">
          <w:rPr>
            <w:noProof/>
            <w:webHidden/>
          </w:rPr>
          <w:fldChar w:fldCharType="separate"/>
        </w:r>
        <w:r w:rsidR="0063530B">
          <w:rPr>
            <w:noProof/>
            <w:webHidden/>
          </w:rPr>
          <w:t>87</w:t>
        </w:r>
        <w:r w:rsidR="0063530B">
          <w:rPr>
            <w:noProof/>
            <w:webHidden/>
          </w:rPr>
          <w:fldChar w:fldCharType="end"/>
        </w:r>
      </w:hyperlink>
    </w:p>
    <w:p w14:paraId="4887EE3D" w14:textId="59B197A7" w:rsidR="0063530B" w:rsidRDefault="00BA6891">
      <w:pPr>
        <w:pStyle w:val="TOC2"/>
        <w:tabs>
          <w:tab w:val="left" w:pos="1128"/>
        </w:tabs>
        <w:rPr>
          <w:noProof/>
          <w:lang w:val="hr-HR" w:eastAsia="hr-HR"/>
        </w:rPr>
      </w:pPr>
      <w:hyperlink w:anchor="_Toc39133331" w:history="1">
        <w:r w:rsidR="0063530B" w:rsidRPr="008B39E4">
          <w:rPr>
            <w:rStyle w:val="Hyperlink"/>
            <w:noProof/>
          </w:rPr>
          <w:t xml:space="preserve">I.3. </w:t>
        </w:r>
        <w:r w:rsidR="0063530B">
          <w:rPr>
            <w:noProof/>
            <w:lang w:val="hr-HR" w:eastAsia="hr-HR"/>
          </w:rPr>
          <w:tab/>
        </w:r>
        <w:r w:rsidR="0063530B" w:rsidRPr="008B39E4">
          <w:rPr>
            <w:rStyle w:val="Hyperlink"/>
            <w:noProof/>
          </w:rPr>
          <w:t>PROMET</w:t>
        </w:r>
        <w:r w:rsidR="0063530B">
          <w:rPr>
            <w:noProof/>
            <w:webHidden/>
          </w:rPr>
          <w:tab/>
        </w:r>
        <w:r w:rsidR="0063530B">
          <w:rPr>
            <w:noProof/>
            <w:webHidden/>
          </w:rPr>
          <w:fldChar w:fldCharType="begin"/>
        </w:r>
        <w:r w:rsidR="0063530B">
          <w:rPr>
            <w:noProof/>
            <w:webHidden/>
          </w:rPr>
          <w:instrText xml:space="preserve"> PAGEREF _Toc39133331 \h </w:instrText>
        </w:r>
        <w:r w:rsidR="0063530B">
          <w:rPr>
            <w:noProof/>
            <w:webHidden/>
          </w:rPr>
        </w:r>
        <w:r w:rsidR="0063530B">
          <w:rPr>
            <w:noProof/>
            <w:webHidden/>
          </w:rPr>
          <w:fldChar w:fldCharType="separate"/>
        </w:r>
        <w:r w:rsidR="0063530B">
          <w:rPr>
            <w:noProof/>
            <w:webHidden/>
          </w:rPr>
          <w:t>88</w:t>
        </w:r>
        <w:r w:rsidR="0063530B">
          <w:rPr>
            <w:noProof/>
            <w:webHidden/>
          </w:rPr>
          <w:fldChar w:fldCharType="end"/>
        </w:r>
      </w:hyperlink>
    </w:p>
    <w:p w14:paraId="21CB7DBE" w14:textId="6C9BC658" w:rsidR="0063530B" w:rsidRDefault="00BA6891">
      <w:pPr>
        <w:pStyle w:val="TOC2"/>
        <w:tabs>
          <w:tab w:val="left" w:pos="1128"/>
        </w:tabs>
        <w:rPr>
          <w:noProof/>
          <w:lang w:val="hr-HR" w:eastAsia="hr-HR"/>
        </w:rPr>
      </w:pPr>
      <w:hyperlink w:anchor="_Toc39133332" w:history="1">
        <w:r w:rsidR="0063530B" w:rsidRPr="008B39E4">
          <w:rPr>
            <w:rStyle w:val="Hyperlink"/>
            <w:noProof/>
          </w:rPr>
          <w:t xml:space="preserve">I.4. </w:t>
        </w:r>
        <w:r w:rsidR="0063530B">
          <w:rPr>
            <w:noProof/>
            <w:lang w:val="hr-HR" w:eastAsia="hr-HR"/>
          </w:rPr>
          <w:tab/>
        </w:r>
        <w:r w:rsidR="0063530B" w:rsidRPr="008B39E4">
          <w:rPr>
            <w:rStyle w:val="Hyperlink"/>
            <w:noProof/>
          </w:rPr>
          <w:t>SEKTOR OPĆE POTROŠNJE</w:t>
        </w:r>
        <w:r w:rsidR="0063530B">
          <w:rPr>
            <w:noProof/>
            <w:webHidden/>
          </w:rPr>
          <w:tab/>
        </w:r>
        <w:r w:rsidR="0063530B">
          <w:rPr>
            <w:noProof/>
            <w:webHidden/>
          </w:rPr>
          <w:fldChar w:fldCharType="begin"/>
        </w:r>
        <w:r w:rsidR="0063530B">
          <w:rPr>
            <w:noProof/>
            <w:webHidden/>
          </w:rPr>
          <w:instrText xml:space="preserve"> PAGEREF _Toc39133332 \h </w:instrText>
        </w:r>
        <w:r w:rsidR="0063530B">
          <w:rPr>
            <w:noProof/>
            <w:webHidden/>
          </w:rPr>
        </w:r>
        <w:r w:rsidR="0063530B">
          <w:rPr>
            <w:noProof/>
            <w:webHidden/>
          </w:rPr>
          <w:fldChar w:fldCharType="separate"/>
        </w:r>
        <w:r w:rsidR="0063530B">
          <w:rPr>
            <w:noProof/>
            <w:webHidden/>
          </w:rPr>
          <w:t>88</w:t>
        </w:r>
        <w:r w:rsidR="0063530B">
          <w:rPr>
            <w:noProof/>
            <w:webHidden/>
          </w:rPr>
          <w:fldChar w:fldCharType="end"/>
        </w:r>
      </w:hyperlink>
    </w:p>
    <w:p w14:paraId="16A3A4DD" w14:textId="10C8B935" w:rsidR="0063530B" w:rsidRDefault="00BA6891">
      <w:pPr>
        <w:pStyle w:val="TOC2"/>
        <w:tabs>
          <w:tab w:val="left" w:pos="1128"/>
        </w:tabs>
        <w:rPr>
          <w:noProof/>
          <w:lang w:val="hr-HR" w:eastAsia="hr-HR"/>
        </w:rPr>
      </w:pPr>
      <w:hyperlink w:anchor="_Toc39133333" w:history="1">
        <w:r w:rsidR="0063530B" w:rsidRPr="008B39E4">
          <w:rPr>
            <w:rStyle w:val="Hyperlink"/>
            <w:noProof/>
          </w:rPr>
          <w:t xml:space="preserve">I.5. </w:t>
        </w:r>
        <w:r w:rsidR="0063530B">
          <w:rPr>
            <w:noProof/>
            <w:lang w:val="hr-HR" w:eastAsia="hr-HR"/>
          </w:rPr>
          <w:tab/>
        </w:r>
        <w:r w:rsidR="0063530B" w:rsidRPr="008B39E4">
          <w:rPr>
            <w:rStyle w:val="Hyperlink"/>
            <w:noProof/>
          </w:rPr>
          <w:t>POLJOPRIVREDA</w:t>
        </w:r>
        <w:r w:rsidR="0063530B">
          <w:rPr>
            <w:noProof/>
            <w:webHidden/>
          </w:rPr>
          <w:tab/>
        </w:r>
        <w:r w:rsidR="0063530B">
          <w:rPr>
            <w:noProof/>
            <w:webHidden/>
          </w:rPr>
          <w:fldChar w:fldCharType="begin"/>
        </w:r>
        <w:r w:rsidR="0063530B">
          <w:rPr>
            <w:noProof/>
            <w:webHidden/>
          </w:rPr>
          <w:instrText xml:space="preserve"> PAGEREF _Toc39133333 \h </w:instrText>
        </w:r>
        <w:r w:rsidR="0063530B">
          <w:rPr>
            <w:noProof/>
            <w:webHidden/>
          </w:rPr>
        </w:r>
        <w:r w:rsidR="0063530B">
          <w:rPr>
            <w:noProof/>
            <w:webHidden/>
          </w:rPr>
          <w:fldChar w:fldCharType="separate"/>
        </w:r>
        <w:r w:rsidR="0063530B">
          <w:rPr>
            <w:noProof/>
            <w:webHidden/>
          </w:rPr>
          <w:t>88</w:t>
        </w:r>
        <w:r w:rsidR="0063530B">
          <w:rPr>
            <w:noProof/>
            <w:webHidden/>
          </w:rPr>
          <w:fldChar w:fldCharType="end"/>
        </w:r>
      </w:hyperlink>
    </w:p>
    <w:p w14:paraId="1EF866AA" w14:textId="739C597C" w:rsidR="0063530B" w:rsidRDefault="00BA6891">
      <w:pPr>
        <w:pStyle w:val="TOC2"/>
        <w:tabs>
          <w:tab w:val="left" w:pos="1128"/>
        </w:tabs>
        <w:rPr>
          <w:noProof/>
          <w:lang w:val="hr-HR" w:eastAsia="hr-HR"/>
        </w:rPr>
      </w:pPr>
      <w:hyperlink w:anchor="_Toc39133334" w:history="1">
        <w:r w:rsidR="0063530B" w:rsidRPr="008B39E4">
          <w:rPr>
            <w:rStyle w:val="Hyperlink"/>
            <w:noProof/>
          </w:rPr>
          <w:t xml:space="preserve">I.6. </w:t>
        </w:r>
        <w:r w:rsidR="0063530B">
          <w:rPr>
            <w:noProof/>
            <w:lang w:val="hr-HR" w:eastAsia="hr-HR"/>
          </w:rPr>
          <w:tab/>
        </w:r>
        <w:r w:rsidR="0063530B" w:rsidRPr="008B39E4">
          <w:rPr>
            <w:rStyle w:val="Hyperlink"/>
            <w:noProof/>
          </w:rPr>
          <w:t>GOSPODARENJE OTPADOM</w:t>
        </w:r>
        <w:r w:rsidR="0063530B">
          <w:rPr>
            <w:noProof/>
            <w:webHidden/>
          </w:rPr>
          <w:tab/>
        </w:r>
        <w:r w:rsidR="0063530B">
          <w:rPr>
            <w:noProof/>
            <w:webHidden/>
          </w:rPr>
          <w:fldChar w:fldCharType="begin"/>
        </w:r>
        <w:r w:rsidR="0063530B">
          <w:rPr>
            <w:noProof/>
            <w:webHidden/>
          </w:rPr>
          <w:instrText xml:space="preserve"> PAGEREF _Toc39133334 \h </w:instrText>
        </w:r>
        <w:r w:rsidR="0063530B">
          <w:rPr>
            <w:noProof/>
            <w:webHidden/>
          </w:rPr>
        </w:r>
        <w:r w:rsidR="0063530B">
          <w:rPr>
            <w:noProof/>
            <w:webHidden/>
          </w:rPr>
          <w:fldChar w:fldCharType="separate"/>
        </w:r>
        <w:r w:rsidR="0063530B">
          <w:rPr>
            <w:noProof/>
            <w:webHidden/>
          </w:rPr>
          <w:t>89</w:t>
        </w:r>
        <w:r w:rsidR="0063530B">
          <w:rPr>
            <w:noProof/>
            <w:webHidden/>
          </w:rPr>
          <w:fldChar w:fldCharType="end"/>
        </w:r>
      </w:hyperlink>
    </w:p>
    <w:p w14:paraId="3A8739F6" w14:textId="28253447" w:rsidR="0063530B" w:rsidRDefault="00BA6891">
      <w:pPr>
        <w:pStyle w:val="TOC1"/>
        <w:tabs>
          <w:tab w:val="right" w:leader="dot" w:pos="9060"/>
        </w:tabs>
        <w:rPr>
          <w:szCs w:val="22"/>
          <w:lang w:val="hr-HR" w:eastAsia="hr-HR"/>
        </w:rPr>
      </w:pPr>
      <w:hyperlink w:anchor="_Toc39133335" w:history="1">
        <w:r w:rsidR="0063530B" w:rsidRPr="008B39E4">
          <w:rPr>
            <w:rStyle w:val="Hyperlink"/>
          </w:rPr>
          <w:t>PRILOG II.  -  OPIS NISKOUGLJIČNOG SCENARIJA POSTUPNE TRANZICIJE (NU1)</w:t>
        </w:r>
        <w:r w:rsidR="0063530B">
          <w:rPr>
            <w:webHidden/>
          </w:rPr>
          <w:tab/>
        </w:r>
        <w:r w:rsidR="0063530B">
          <w:rPr>
            <w:webHidden/>
          </w:rPr>
          <w:fldChar w:fldCharType="begin"/>
        </w:r>
        <w:r w:rsidR="0063530B">
          <w:rPr>
            <w:webHidden/>
          </w:rPr>
          <w:instrText xml:space="preserve"> PAGEREF _Toc39133335 \h </w:instrText>
        </w:r>
        <w:r w:rsidR="0063530B">
          <w:rPr>
            <w:webHidden/>
          </w:rPr>
        </w:r>
        <w:r w:rsidR="0063530B">
          <w:rPr>
            <w:webHidden/>
          </w:rPr>
          <w:fldChar w:fldCharType="separate"/>
        </w:r>
        <w:r w:rsidR="0063530B">
          <w:rPr>
            <w:webHidden/>
          </w:rPr>
          <w:t>91</w:t>
        </w:r>
        <w:r w:rsidR="0063530B">
          <w:rPr>
            <w:webHidden/>
          </w:rPr>
          <w:fldChar w:fldCharType="end"/>
        </w:r>
      </w:hyperlink>
    </w:p>
    <w:p w14:paraId="70C760AA" w14:textId="2D2EF81C" w:rsidR="0063530B" w:rsidRDefault="00BA6891">
      <w:pPr>
        <w:pStyle w:val="TOC2"/>
        <w:tabs>
          <w:tab w:val="left" w:pos="1128"/>
        </w:tabs>
        <w:rPr>
          <w:noProof/>
          <w:lang w:val="hr-HR" w:eastAsia="hr-HR"/>
        </w:rPr>
      </w:pPr>
      <w:hyperlink w:anchor="_Toc39133336" w:history="1">
        <w:r w:rsidR="0063530B" w:rsidRPr="008B39E4">
          <w:rPr>
            <w:rStyle w:val="Hyperlink"/>
            <w:noProof/>
          </w:rPr>
          <w:t xml:space="preserve">II.1. </w:t>
        </w:r>
        <w:r w:rsidR="0063530B">
          <w:rPr>
            <w:noProof/>
            <w:lang w:val="hr-HR" w:eastAsia="hr-HR"/>
          </w:rPr>
          <w:tab/>
        </w:r>
        <w:r w:rsidR="0063530B" w:rsidRPr="008B39E4">
          <w:rPr>
            <w:rStyle w:val="Hyperlink"/>
            <w:noProof/>
          </w:rPr>
          <w:t>ENERGETSKA POSTROJENJA</w:t>
        </w:r>
        <w:r w:rsidR="0063530B">
          <w:rPr>
            <w:noProof/>
            <w:webHidden/>
          </w:rPr>
          <w:tab/>
        </w:r>
        <w:r w:rsidR="0063530B">
          <w:rPr>
            <w:noProof/>
            <w:webHidden/>
          </w:rPr>
          <w:fldChar w:fldCharType="begin"/>
        </w:r>
        <w:r w:rsidR="0063530B">
          <w:rPr>
            <w:noProof/>
            <w:webHidden/>
          </w:rPr>
          <w:instrText xml:space="preserve"> PAGEREF _Toc39133336 \h </w:instrText>
        </w:r>
        <w:r w:rsidR="0063530B">
          <w:rPr>
            <w:noProof/>
            <w:webHidden/>
          </w:rPr>
        </w:r>
        <w:r w:rsidR="0063530B">
          <w:rPr>
            <w:noProof/>
            <w:webHidden/>
          </w:rPr>
          <w:fldChar w:fldCharType="separate"/>
        </w:r>
        <w:r w:rsidR="0063530B">
          <w:rPr>
            <w:noProof/>
            <w:webHidden/>
          </w:rPr>
          <w:t>91</w:t>
        </w:r>
        <w:r w:rsidR="0063530B">
          <w:rPr>
            <w:noProof/>
            <w:webHidden/>
          </w:rPr>
          <w:fldChar w:fldCharType="end"/>
        </w:r>
      </w:hyperlink>
    </w:p>
    <w:p w14:paraId="2BD452D8" w14:textId="3A8C2A60" w:rsidR="0063530B" w:rsidRDefault="00BA6891">
      <w:pPr>
        <w:pStyle w:val="TOC2"/>
        <w:tabs>
          <w:tab w:val="left" w:pos="1128"/>
        </w:tabs>
        <w:rPr>
          <w:noProof/>
          <w:lang w:val="hr-HR" w:eastAsia="hr-HR"/>
        </w:rPr>
      </w:pPr>
      <w:hyperlink w:anchor="_Toc39133337" w:history="1">
        <w:r w:rsidR="0063530B" w:rsidRPr="008B39E4">
          <w:rPr>
            <w:rStyle w:val="Hyperlink"/>
            <w:noProof/>
          </w:rPr>
          <w:t xml:space="preserve">II.2. </w:t>
        </w:r>
        <w:r w:rsidR="0063530B">
          <w:rPr>
            <w:noProof/>
            <w:lang w:val="hr-HR" w:eastAsia="hr-HR"/>
          </w:rPr>
          <w:tab/>
        </w:r>
        <w:r w:rsidR="0063530B" w:rsidRPr="008B39E4">
          <w:rPr>
            <w:rStyle w:val="Hyperlink"/>
            <w:noProof/>
          </w:rPr>
          <w:t>INDUSTRIJA</w:t>
        </w:r>
        <w:r w:rsidR="0063530B">
          <w:rPr>
            <w:noProof/>
            <w:webHidden/>
          </w:rPr>
          <w:tab/>
        </w:r>
        <w:r w:rsidR="0063530B">
          <w:rPr>
            <w:noProof/>
            <w:webHidden/>
          </w:rPr>
          <w:fldChar w:fldCharType="begin"/>
        </w:r>
        <w:r w:rsidR="0063530B">
          <w:rPr>
            <w:noProof/>
            <w:webHidden/>
          </w:rPr>
          <w:instrText xml:space="preserve"> PAGEREF _Toc39133337 \h </w:instrText>
        </w:r>
        <w:r w:rsidR="0063530B">
          <w:rPr>
            <w:noProof/>
            <w:webHidden/>
          </w:rPr>
        </w:r>
        <w:r w:rsidR="0063530B">
          <w:rPr>
            <w:noProof/>
            <w:webHidden/>
          </w:rPr>
          <w:fldChar w:fldCharType="separate"/>
        </w:r>
        <w:r w:rsidR="0063530B">
          <w:rPr>
            <w:noProof/>
            <w:webHidden/>
          </w:rPr>
          <w:t>93</w:t>
        </w:r>
        <w:r w:rsidR="0063530B">
          <w:rPr>
            <w:noProof/>
            <w:webHidden/>
          </w:rPr>
          <w:fldChar w:fldCharType="end"/>
        </w:r>
      </w:hyperlink>
    </w:p>
    <w:p w14:paraId="0B7AF054" w14:textId="479041F4" w:rsidR="0063530B" w:rsidRDefault="00BA6891">
      <w:pPr>
        <w:pStyle w:val="TOC2"/>
        <w:tabs>
          <w:tab w:val="left" w:pos="1128"/>
        </w:tabs>
        <w:rPr>
          <w:noProof/>
          <w:lang w:val="hr-HR" w:eastAsia="hr-HR"/>
        </w:rPr>
      </w:pPr>
      <w:hyperlink w:anchor="_Toc39133338" w:history="1">
        <w:r w:rsidR="0063530B" w:rsidRPr="008B39E4">
          <w:rPr>
            <w:rStyle w:val="Hyperlink"/>
            <w:noProof/>
          </w:rPr>
          <w:t xml:space="preserve">II.3. </w:t>
        </w:r>
        <w:r w:rsidR="0063530B">
          <w:rPr>
            <w:noProof/>
            <w:lang w:val="hr-HR" w:eastAsia="hr-HR"/>
          </w:rPr>
          <w:tab/>
        </w:r>
        <w:r w:rsidR="0063530B" w:rsidRPr="008B39E4">
          <w:rPr>
            <w:rStyle w:val="Hyperlink"/>
            <w:noProof/>
          </w:rPr>
          <w:t>PROMET</w:t>
        </w:r>
        <w:r w:rsidR="0063530B">
          <w:rPr>
            <w:noProof/>
            <w:webHidden/>
          </w:rPr>
          <w:tab/>
        </w:r>
        <w:r w:rsidR="0063530B">
          <w:rPr>
            <w:noProof/>
            <w:webHidden/>
          </w:rPr>
          <w:fldChar w:fldCharType="begin"/>
        </w:r>
        <w:r w:rsidR="0063530B">
          <w:rPr>
            <w:noProof/>
            <w:webHidden/>
          </w:rPr>
          <w:instrText xml:space="preserve"> PAGEREF _Toc39133338 \h </w:instrText>
        </w:r>
        <w:r w:rsidR="0063530B">
          <w:rPr>
            <w:noProof/>
            <w:webHidden/>
          </w:rPr>
        </w:r>
        <w:r w:rsidR="0063530B">
          <w:rPr>
            <w:noProof/>
            <w:webHidden/>
          </w:rPr>
          <w:fldChar w:fldCharType="separate"/>
        </w:r>
        <w:r w:rsidR="0063530B">
          <w:rPr>
            <w:noProof/>
            <w:webHidden/>
          </w:rPr>
          <w:t>94</w:t>
        </w:r>
        <w:r w:rsidR="0063530B">
          <w:rPr>
            <w:noProof/>
            <w:webHidden/>
          </w:rPr>
          <w:fldChar w:fldCharType="end"/>
        </w:r>
      </w:hyperlink>
    </w:p>
    <w:p w14:paraId="0662816A" w14:textId="24FCC189" w:rsidR="0063530B" w:rsidRDefault="00BA6891">
      <w:pPr>
        <w:pStyle w:val="TOC2"/>
        <w:tabs>
          <w:tab w:val="left" w:pos="1128"/>
        </w:tabs>
        <w:rPr>
          <w:noProof/>
          <w:lang w:val="hr-HR" w:eastAsia="hr-HR"/>
        </w:rPr>
      </w:pPr>
      <w:hyperlink w:anchor="_Toc39133339" w:history="1">
        <w:r w:rsidR="0063530B" w:rsidRPr="008B39E4">
          <w:rPr>
            <w:rStyle w:val="Hyperlink"/>
            <w:noProof/>
          </w:rPr>
          <w:t xml:space="preserve">II.4. </w:t>
        </w:r>
        <w:r w:rsidR="0063530B">
          <w:rPr>
            <w:noProof/>
            <w:lang w:val="hr-HR" w:eastAsia="hr-HR"/>
          </w:rPr>
          <w:tab/>
        </w:r>
        <w:r w:rsidR="0063530B" w:rsidRPr="008B39E4">
          <w:rPr>
            <w:rStyle w:val="Hyperlink"/>
            <w:noProof/>
          </w:rPr>
          <w:t>SEKTOR OPĆE POTROŠNJE</w:t>
        </w:r>
        <w:r w:rsidR="0063530B">
          <w:rPr>
            <w:noProof/>
            <w:webHidden/>
          </w:rPr>
          <w:tab/>
        </w:r>
        <w:r w:rsidR="0063530B">
          <w:rPr>
            <w:noProof/>
            <w:webHidden/>
          </w:rPr>
          <w:fldChar w:fldCharType="begin"/>
        </w:r>
        <w:r w:rsidR="0063530B">
          <w:rPr>
            <w:noProof/>
            <w:webHidden/>
          </w:rPr>
          <w:instrText xml:space="preserve"> PAGEREF _Toc39133339 \h </w:instrText>
        </w:r>
        <w:r w:rsidR="0063530B">
          <w:rPr>
            <w:noProof/>
            <w:webHidden/>
          </w:rPr>
        </w:r>
        <w:r w:rsidR="0063530B">
          <w:rPr>
            <w:noProof/>
            <w:webHidden/>
          </w:rPr>
          <w:fldChar w:fldCharType="separate"/>
        </w:r>
        <w:r w:rsidR="0063530B">
          <w:rPr>
            <w:noProof/>
            <w:webHidden/>
          </w:rPr>
          <w:t>94</w:t>
        </w:r>
        <w:r w:rsidR="0063530B">
          <w:rPr>
            <w:noProof/>
            <w:webHidden/>
          </w:rPr>
          <w:fldChar w:fldCharType="end"/>
        </w:r>
      </w:hyperlink>
    </w:p>
    <w:p w14:paraId="0C0B6A25" w14:textId="7864D485" w:rsidR="0063530B" w:rsidRDefault="00BA6891">
      <w:pPr>
        <w:pStyle w:val="TOC2"/>
        <w:tabs>
          <w:tab w:val="left" w:pos="1128"/>
        </w:tabs>
        <w:rPr>
          <w:noProof/>
          <w:lang w:val="hr-HR" w:eastAsia="hr-HR"/>
        </w:rPr>
      </w:pPr>
      <w:hyperlink w:anchor="_Toc39133340" w:history="1">
        <w:r w:rsidR="0063530B" w:rsidRPr="008B39E4">
          <w:rPr>
            <w:rStyle w:val="Hyperlink"/>
            <w:noProof/>
          </w:rPr>
          <w:t xml:space="preserve">II.5. </w:t>
        </w:r>
        <w:r w:rsidR="0063530B">
          <w:rPr>
            <w:noProof/>
            <w:lang w:val="hr-HR" w:eastAsia="hr-HR"/>
          </w:rPr>
          <w:tab/>
        </w:r>
        <w:r w:rsidR="0063530B" w:rsidRPr="008B39E4">
          <w:rPr>
            <w:rStyle w:val="Hyperlink"/>
            <w:noProof/>
          </w:rPr>
          <w:t>POLJOPRIVREDA</w:t>
        </w:r>
        <w:r w:rsidR="0063530B">
          <w:rPr>
            <w:noProof/>
            <w:webHidden/>
          </w:rPr>
          <w:tab/>
        </w:r>
        <w:r w:rsidR="0063530B">
          <w:rPr>
            <w:noProof/>
            <w:webHidden/>
          </w:rPr>
          <w:fldChar w:fldCharType="begin"/>
        </w:r>
        <w:r w:rsidR="0063530B">
          <w:rPr>
            <w:noProof/>
            <w:webHidden/>
          </w:rPr>
          <w:instrText xml:space="preserve"> PAGEREF _Toc39133340 \h </w:instrText>
        </w:r>
        <w:r w:rsidR="0063530B">
          <w:rPr>
            <w:noProof/>
            <w:webHidden/>
          </w:rPr>
        </w:r>
        <w:r w:rsidR="0063530B">
          <w:rPr>
            <w:noProof/>
            <w:webHidden/>
          </w:rPr>
          <w:fldChar w:fldCharType="separate"/>
        </w:r>
        <w:r w:rsidR="0063530B">
          <w:rPr>
            <w:noProof/>
            <w:webHidden/>
          </w:rPr>
          <w:t>95</w:t>
        </w:r>
        <w:r w:rsidR="0063530B">
          <w:rPr>
            <w:noProof/>
            <w:webHidden/>
          </w:rPr>
          <w:fldChar w:fldCharType="end"/>
        </w:r>
      </w:hyperlink>
    </w:p>
    <w:p w14:paraId="2CF3CE7B" w14:textId="016916B3" w:rsidR="0063530B" w:rsidRDefault="00BA6891">
      <w:pPr>
        <w:pStyle w:val="TOC2"/>
        <w:tabs>
          <w:tab w:val="left" w:pos="1128"/>
        </w:tabs>
        <w:rPr>
          <w:noProof/>
          <w:lang w:val="hr-HR" w:eastAsia="hr-HR"/>
        </w:rPr>
      </w:pPr>
      <w:hyperlink w:anchor="_Toc39133341" w:history="1">
        <w:r w:rsidR="0063530B" w:rsidRPr="008B39E4">
          <w:rPr>
            <w:rStyle w:val="Hyperlink"/>
            <w:noProof/>
          </w:rPr>
          <w:t xml:space="preserve">II.6. </w:t>
        </w:r>
        <w:r w:rsidR="0063530B">
          <w:rPr>
            <w:noProof/>
            <w:lang w:val="hr-HR" w:eastAsia="hr-HR"/>
          </w:rPr>
          <w:tab/>
        </w:r>
        <w:r w:rsidR="0063530B" w:rsidRPr="008B39E4">
          <w:rPr>
            <w:rStyle w:val="Hyperlink"/>
            <w:noProof/>
          </w:rPr>
          <w:t>GOSPODARENJE OTPADOM</w:t>
        </w:r>
        <w:r w:rsidR="0063530B">
          <w:rPr>
            <w:noProof/>
            <w:webHidden/>
          </w:rPr>
          <w:tab/>
        </w:r>
        <w:r w:rsidR="0063530B">
          <w:rPr>
            <w:noProof/>
            <w:webHidden/>
          </w:rPr>
          <w:fldChar w:fldCharType="begin"/>
        </w:r>
        <w:r w:rsidR="0063530B">
          <w:rPr>
            <w:noProof/>
            <w:webHidden/>
          </w:rPr>
          <w:instrText xml:space="preserve"> PAGEREF _Toc39133341 \h </w:instrText>
        </w:r>
        <w:r w:rsidR="0063530B">
          <w:rPr>
            <w:noProof/>
            <w:webHidden/>
          </w:rPr>
        </w:r>
        <w:r w:rsidR="0063530B">
          <w:rPr>
            <w:noProof/>
            <w:webHidden/>
          </w:rPr>
          <w:fldChar w:fldCharType="separate"/>
        </w:r>
        <w:r w:rsidR="0063530B">
          <w:rPr>
            <w:noProof/>
            <w:webHidden/>
          </w:rPr>
          <w:t>95</w:t>
        </w:r>
        <w:r w:rsidR="0063530B">
          <w:rPr>
            <w:noProof/>
            <w:webHidden/>
          </w:rPr>
          <w:fldChar w:fldCharType="end"/>
        </w:r>
      </w:hyperlink>
    </w:p>
    <w:p w14:paraId="204511A3" w14:textId="70ED648A" w:rsidR="0063530B" w:rsidRDefault="00BA6891">
      <w:pPr>
        <w:pStyle w:val="TOC1"/>
        <w:tabs>
          <w:tab w:val="right" w:leader="dot" w:pos="9060"/>
        </w:tabs>
        <w:rPr>
          <w:szCs w:val="22"/>
          <w:lang w:val="hr-HR" w:eastAsia="hr-HR"/>
        </w:rPr>
      </w:pPr>
      <w:hyperlink w:anchor="_Toc39133342" w:history="1">
        <w:r w:rsidR="0063530B" w:rsidRPr="008B39E4">
          <w:rPr>
            <w:rStyle w:val="Hyperlink"/>
          </w:rPr>
          <w:t>PRILOG III.  -  OPIS NISKOUGLJIČNOG SCENARIJA SNAŽNE TRANZICIJE (NU2)</w:t>
        </w:r>
        <w:r w:rsidR="0063530B">
          <w:rPr>
            <w:webHidden/>
          </w:rPr>
          <w:tab/>
        </w:r>
        <w:r w:rsidR="0063530B">
          <w:rPr>
            <w:webHidden/>
          </w:rPr>
          <w:fldChar w:fldCharType="begin"/>
        </w:r>
        <w:r w:rsidR="0063530B">
          <w:rPr>
            <w:webHidden/>
          </w:rPr>
          <w:instrText xml:space="preserve"> PAGEREF _Toc39133342 \h </w:instrText>
        </w:r>
        <w:r w:rsidR="0063530B">
          <w:rPr>
            <w:webHidden/>
          </w:rPr>
        </w:r>
        <w:r w:rsidR="0063530B">
          <w:rPr>
            <w:webHidden/>
          </w:rPr>
          <w:fldChar w:fldCharType="separate"/>
        </w:r>
        <w:r w:rsidR="0063530B">
          <w:rPr>
            <w:webHidden/>
          </w:rPr>
          <w:t>95</w:t>
        </w:r>
        <w:r w:rsidR="0063530B">
          <w:rPr>
            <w:webHidden/>
          </w:rPr>
          <w:fldChar w:fldCharType="end"/>
        </w:r>
      </w:hyperlink>
    </w:p>
    <w:p w14:paraId="14C26299" w14:textId="097935DC" w:rsidR="0063530B" w:rsidRDefault="00BA6891">
      <w:pPr>
        <w:pStyle w:val="TOC2"/>
        <w:tabs>
          <w:tab w:val="left" w:pos="1128"/>
        </w:tabs>
        <w:rPr>
          <w:noProof/>
          <w:lang w:val="hr-HR" w:eastAsia="hr-HR"/>
        </w:rPr>
      </w:pPr>
      <w:hyperlink w:anchor="_Toc39133343" w:history="1">
        <w:r w:rsidR="0063530B" w:rsidRPr="008B39E4">
          <w:rPr>
            <w:rStyle w:val="Hyperlink"/>
            <w:noProof/>
          </w:rPr>
          <w:t xml:space="preserve">III.1. </w:t>
        </w:r>
        <w:r w:rsidR="0063530B">
          <w:rPr>
            <w:noProof/>
            <w:lang w:val="hr-HR" w:eastAsia="hr-HR"/>
          </w:rPr>
          <w:tab/>
        </w:r>
        <w:r w:rsidR="0063530B" w:rsidRPr="008B39E4">
          <w:rPr>
            <w:rStyle w:val="Hyperlink"/>
            <w:noProof/>
          </w:rPr>
          <w:t>ENERGETSKA POSTROJENJA</w:t>
        </w:r>
        <w:r w:rsidR="0063530B">
          <w:rPr>
            <w:noProof/>
            <w:webHidden/>
          </w:rPr>
          <w:tab/>
        </w:r>
        <w:r w:rsidR="0063530B">
          <w:rPr>
            <w:noProof/>
            <w:webHidden/>
          </w:rPr>
          <w:fldChar w:fldCharType="begin"/>
        </w:r>
        <w:r w:rsidR="0063530B">
          <w:rPr>
            <w:noProof/>
            <w:webHidden/>
          </w:rPr>
          <w:instrText xml:space="preserve"> PAGEREF _Toc39133343 \h </w:instrText>
        </w:r>
        <w:r w:rsidR="0063530B">
          <w:rPr>
            <w:noProof/>
            <w:webHidden/>
          </w:rPr>
        </w:r>
        <w:r w:rsidR="0063530B">
          <w:rPr>
            <w:noProof/>
            <w:webHidden/>
          </w:rPr>
          <w:fldChar w:fldCharType="separate"/>
        </w:r>
        <w:r w:rsidR="0063530B">
          <w:rPr>
            <w:noProof/>
            <w:webHidden/>
          </w:rPr>
          <w:t>95</w:t>
        </w:r>
        <w:r w:rsidR="0063530B">
          <w:rPr>
            <w:noProof/>
            <w:webHidden/>
          </w:rPr>
          <w:fldChar w:fldCharType="end"/>
        </w:r>
      </w:hyperlink>
    </w:p>
    <w:p w14:paraId="004D4CE5" w14:textId="30388594" w:rsidR="0063530B" w:rsidRDefault="00BA6891">
      <w:pPr>
        <w:pStyle w:val="TOC2"/>
        <w:tabs>
          <w:tab w:val="left" w:pos="1128"/>
        </w:tabs>
        <w:rPr>
          <w:noProof/>
          <w:lang w:val="hr-HR" w:eastAsia="hr-HR"/>
        </w:rPr>
      </w:pPr>
      <w:hyperlink w:anchor="_Toc39133344" w:history="1">
        <w:r w:rsidR="0063530B" w:rsidRPr="008B39E4">
          <w:rPr>
            <w:rStyle w:val="Hyperlink"/>
            <w:noProof/>
          </w:rPr>
          <w:t xml:space="preserve">III.2. </w:t>
        </w:r>
        <w:r w:rsidR="0063530B">
          <w:rPr>
            <w:noProof/>
            <w:lang w:val="hr-HR" w:eastAsia="hr-HR"/>
          </w:rPr>
          <w:tab/>
        </w:r>
        <w:r w:rsidR="0063530B" w:rsidRPr="008B39E4">
          <w:rPr>
            <w:rStyle w:val="Hyperlink"/>
            <w:noProof/>
          </w:rPr>
          <w:t>INDUSTRIJA</w:t>
        </w:r>
        <w:r w:rsidR="0063530B">
          <w:rPr>
            <w:noProof/>
            <w:webHidden/>
          </w:rPr>
          <w:tab/>
        </w:r>
        <w:r w:rsidR="0063530B">
          <w:rPr>
            <w:noProof/>
            <w:webHidden/>
          </w:rPr>
          <w:fldChar w:fldCharType="begin"/>
        </w:r>
        <w:r w:rsidR="0063530B">
          <w:rPr>
            <w:noProof/>
            <w:webHidden/>
          </w:rPr>
          <w:instrText xml:space="preserve"> PAGEREF _Toc39133344 \h </w:instrText>
        </w:r>
        <w:r w:rsidR="0063530B">
          <w:rPr>
            <w:noProof/>
            <w:webHidden/>
          </w:rPr>
        </w:r>
        <w:r w:rsidR="0063530B">
          <w:rPr>
            <w:noProof/>
            <w:webHidden/>
          </w:rPr>
          <w:fldChar w:fldCharType="separate"/>
        </w:r>
        <w:r w:rsidR="0063530B">
          <w:rPr>
            <w:noProof/>
            <w:webHidden/>
          </w:rPr>
          <w:t>98</w:t>
        </w:r>
        <w:r w:rsidR="0063530B">
          <w:rPr>
            <w:noProof/>
            <w:webHidden/>
          </w:rPr>
          <w:fldChar w:fldCharType="end"/>
        </w:r>
      </w:hyperlink>
    </w:p>
    <w:p w14:paraId="308BA158" w14:textId="1848A0C7" w:rsidR="0063530B" w:rsidRDefault="00BA6891">
      <w:pPr>
        <w:pStyle w:val="TOC2"/>
        <w:tabs>
          <w:tab w:val="left" w:pos="1128"/>
        </w:tabs>
        <w:rPr>
          <w:noProof/>
          <w:lang w:val="hr-HR" w:eastAsia="hr-HR"/>
        </w:rPr>
      </w:pPr>
      <w:hyperlink w:anchor="_Toc39133345" w:history="1">
        <w:r w:rsidR="0063530B" w:rsidRPr="008B39E4">
          <w:rPr>
            <w:rStyle w:val="Hyperlink"/>
            <w:noProof/>
          </w:rPr>
          <w:t xml:space="preserve">III.3. </w:t>
        </w:r>
        <w:r w:rsidR="0063530B">
          <w:rPr>
            <w:noProof/>
            <w:lang w:val="hr-HR" w:eastAsia="hr-HR"/>
          </w:rPr>
          <w:tab/>
        </w:r>
        <w:r w:rsidR="0063530B" w:rsidRPr="008B39E4">
          <w:rPr>
            <w:rStyle w:val="Hyperlink"/>
            <w:noProof/>
          </w:rPr>
          <w:t>PROMET</w:t>
        </w:r>
        <w:r w:rsidR="0063530B">
          <w:rPr>
            <w:noProof/>
            <w:webHidden/>
          </w:rPr>
          <w:tab/>
        </w:r>
        <w:r w:rsidR="0063530B">
          <w:rPr>
            <w:noProof/>
            <w:webHidden/>
          </w:rPr>
          <w:fldChar w:fldCharType="begin"/>
        </w:r>
        <w:r w:rsidR="0063530B">
          <w:rPr>
            <w:noProof/>
            <w:webHidden/>
          </w:rPr>
          <w:instrText xml:space="preserve"> PAGEREF _Toc39133345 \h </w:instrText>
        </w:r>
        <w:r w:rsidR="0063530B">
          <w:rPr>
            <w:noProof/>
            <w:webHidden/>
          </w:rPr>
        </w:r>
        <w:r w:rsidR="0063530B">
          <w:rPr>
            <w:noProof/>
            <w:webHidden/>
          </w:rPr>
          <w:fldChar w:fldCharType="separate"/>
        </w:r>
        <w:r w:rsidR="0063530B">
          <w:rPr>
            <w:noProof/>
            <w:webHidden/>
          </w:rPr>
          <w:t>99</w:t>
        </w:r>
        <w:r w:rsidR="0063530B">
          <w:rPr>
            <w:noProof/>
            <w:webHidden/>
          </w:rPr>
          <w:fldChar w:fldCharType="end"/>
        </w:r>
      </w:hyperlink>
    </w:p>
    <w:p w14:paraId="77B970A1" w14:textId="44F49B7E" w:rsidR="0063530B" w:rsidRDefault="00BA6891">
      <w:pPr>
        <w:pStyle w:val="TOC2"/>
        <w:tabs>
          <w:tab w:val="left" w:pos="1128"/>
        </w:tabs>
        <w:rPr>
          <w:noProof/>
          <w:lang w:val="hr-HR" w:eastAsia="hr-HR"/>
        </w:rPr>
      </w:pPr>
      <w:hyperlink w:anchor="_Toc39133346" w:history="1">
        <w:r w:rsidR="0063530B" w:rsidRPr="008B39E4">
          <w:rPr>
            <w:rStyle w:val="Hyperlink"/>
            <w:noProof/>
          </w:rPr>
          <w:t xml:space="preserve">III.4. </w:t>
        </w:r>
        <w:r w:rsidR="0063530B">
          <w:rPr>
            <w:noProof/>
            <w:lang w:val="hr-HR" w:eastAsia="hr-HR"/>
          </w:rPr>
          <w:tab/>
        </w:r>
        <w:r w:rsidR="0063530B" w:rsidRPr="008B39E4">
          <w:rPr>
            <w:rStyle w:val="Hyperlink"/>
            <w:noProof/>
          </w:rPr>
          <w:t>SEKTOR OPĆE POTROŠNJE</w:t>
        </w:r>
        <w:r w:rsidR="0063530B">
          <w:rPr>
            <w:noProof/>
            <w:webHidden/>
          </w:rPr>
          <w:tab/>
        </w:r>
        <w:r w:rsidR="0063530B">
          <w:rPr>
            <w:noProof/>
            <w:webHidden/>
          </w:rPr>
          <w:fldChar w:fldCharType="begin"/>
        </w:r>
        <w:r w:rsidR="0063530B">
          <w:rPr>
            <w:noProof/>
            <w:webHidden/>
          </w:rPr>
          <w:instrText xml:space="preserve"> PAGEREF _Toc39133346 \h </w:instrText>
        </w:r>
        <w:r w:rsidR="0063530B">
          <w:rPr>
            <w:noProof/>
            <w:webHidden/>
          </w:rPr>
        </w:r>
        <w:r w:rsidR="0063530B">
          <w:rPr>
            <w:noProof/>
            <w:webHidden/>
          </w:rPr>
          <w:fldChar w:fldCharType="separate"/>
        </w:r>
        <w:r w:rsidR="0063530B">
          <w:rPr>
            <w:noProof/>
            <w:webHidden/>
          </w:rPr>
          <w:t>99</w:t>
        </w:r>
        <w:r w:rsidR="0063530B">
          <w:rPr>
            <w:noProof/>
            <w:webHidden/>
          </w:rPr>
          <w:fldChar w:fldCharType="end"/>
        </w:r>
      </w:hyperlink>
    </w:p>
    <w:p w14:paraId="2022B98A" w14:textId="4BAC1AE8" w:rsidR="0063530B" w:rsidRDefault="00BA6891">
      <w:pPr>
        <w:pStyle w:val="TOC2"/>
        <w:tabs>
          <w:tab w:val="left" w:pos="1128"/>
        </w:tabs>
        <w:rPr>
          <w:noProof/>
          <w:lang w:val="hr-HR" w:eastAsia="hr-HR"/>
        </w:rPr>
      </w:pPr>
      <w:hyperlink w:anchor="_Toc39133347" w:history="1">
        <w:r w:rsidR="0063530B" w:rsidRPr="008B39E4">
          <w:rPr>
            <w:rStyle w:val="Hyperlink"/>
            <w:noProof/>
          </w:rPr>
          <w:t xml:space="preserve">III.5. </w:t>
        </w:r>
        <w:r w:rsidR="0063530B">
          <w:rPr>
            <w:noProof/>
            <w:lang w:val="hr-HR" w:eastAsia="hr-HR"/>
          </w:rPr>
          <w:tab/>
        </w:r>
        <w:r w:rsidR="0063530B" w:rsidRPr="008B39E4">
          <w:rPr>
            <w:rStyle w:val="Hyperlink"/>
            <w:noProof/>
          </w:rPr>
          <w:t>POLJOPRIVREDA</w:t>
        </w:r>
        <w:r w:rsidR="0063530B">
          <w:rPr>
            <w:noProof/>
            <w:webHidden/>
          </w:rPr>
          <w:tab/>
        </w:r>
        <w:r w:rsidR="0063530B">
          <w:rPr>
            <w:noProof/>
            <w:webHidden/>
          </w:rPr>
          <w:fldChar w:fldCharType="begin"/>
        </w:r>
        <w:r w:rsidR="0063530B">
          <w:rPr>
            <w:noProof/>
            <w:webHidden/>
          </w:rPr>
          <w:instrText xml:space="preserve"> PAGEREF _Toc39133347 \h </w:instrText>
        </w:r>
        <w:r w:rsidR="0063530B">
          <w:rPr>
            <w:noProof/>
            <w:webHidden/>
          </w:rPr>
        </w:r>
        <w:r w:rsidR="0063530B">
          <w:rPr>
            <w:noProof/>
            <w:webHidden/>
          </w:rPr>
          <w:fldChar w:fldCharType="separate"/>
        </w:r>
        <w:r w:rsidR="0063530B">
          <w:rPr>
            <w:noProof/>
            <w:webHidden/>
          </w:rPr>
          <w:t>99</w:t>
        </w:r>
        <w:r w:rsidR="0063530B">
          <w:rPr>
            <w:noProof/>
            <w:webHidden/>
          </w:rPr>
          <w:fldChar w:fldCharType="end"/>
        </w:r>
      </w:hyperlink>
    </w:p>
    <w:p w14:paraId="6F34B015" w14:textId="0ADC84D7" w:rsidR="0063530B" w:rsidRDefault="00BA6891">
      <w:pPr>
        <w:pStyle w:val="TOC2"/>
        <w:tabs>
          <w:tab w:val="left" w:pos="1128"/>
        </w:tabs>
        <w:rPr>
          <w:noProof/>
          <w:lang w:val="hr-HR" w:eastAsia="hr-HR"/>
        </w:rPr>
      </w:pPr>
      <w:hyperlink w:anchor="_Toc39133348" w:history="1">
        <w:r w:rsidR="0063530B" w:rsidRPr="008B39E4">
          <w:rPr>
            <w:rStyle w:val="Hyperlink"/>
            <w:noProof/>
          </w:rPr>
          <w:t xml:space="preserve">III.6. </w:t>
        </w:r>
        <w:r w:rsidR="0063530B">
          <w:rPr>
            <w:noProof/>
            <w:lang w:val="hr-HR" w:eastAsia="hr-HR"/>
          </w:rPr>
          <w:tab/>
        </w:r>
        <w:r w:rsidR="0063530B" w:rsidRPr="008B39E4">
          <w:rPr>
            <w:rStyle w:val="Hyperlink"/>
            <w:noProof/>
          </w:rPr>
          <w:t>GOSPODARENJE OTPADOM</w:t>
        </w:r>
        <w:r w:rsidR="0063530B">
          <w:rPr>
            <w:noProof/>
            <w:webHidden/>
          </w:rPr>
          <w:tab/>
        </w:r>
        <w:r w:rsidR="0063530B">
          <w:rPr>
            <w:noProof/>
            <w:webHidden/>
          </w:rPr>
          <w:fldChar w:fldCharType="begin"/>
        </w:r>
        <w:r w:rsidR="0063530B">
          <w:rPr>
            <w:noProof/>
            <w:webHidden/>
          </w:rPr>
          <w:instrText xml:space="preserve"> PAGEREF _Toc39133348 \h </w:instrText>
        </w:r>
        <w:r w:rsidR="0063530B">
          <w:rPr>
            <w:noProof/>
            <w:webHidden/>
          </w:rPr>
        </w:r>
        <w:r w:rsidR="0063530B">
          <w:rPr>
            <w:noProof/>
            <w:webHidden/>
          </w:rPr>
          <w:fldChar w:fldCharType="separate"/>
        </w:r>
        <w:r w:rsidR="0063530B">
          <w:rPr>
            <w:noProof/>
            <w:webHidden/>
          </w:rPr>
          <w:t>99</w:t>
        </w:r>
        <w:r w:rsidR="0063530B">
          <w:rPr>
            <w:noProof/>
            <w:webHidden/>
          </w:rPr>
          <w:fldChar w:fldCharType="end"/>
        </w:r>
      </w:hyperlink>
    </w:p>
    <w:p w14:paraId="5354045F" w14:textId="204FF040" w:rsidR="0063530B" w:rsidRDefault="00BA6891">
      <w:pPr>
        <w:pStyle w:val="TOC1"/>
        <w:tabs>
          <w:tab w:val="right" w:leader="dot" w:pos="9060"/>
        </w:tabs>
        <w:rPr>
          <w:szCs w:val="22"/>
          <w:lang w:val="hr-HR" w:eastAsia="hr-HR"/>
        </w:rPr>
      </w:pPr>
      <w:hyperlink w:anchor="_Toc39133349" w:history="1">
        <w:r w:rsidR="0063530B" w:rsidRPr="008B39E4">
          <w:rPr>
            <w:rStyle w:val="Hyperlink"/>
          </w:rPr>
          <w:t>PRILOG IV.  -  REZULTATI ANALIZE OSJETLJIVOSTI</w:t>
        </w:r>
        <w:r w:rsidR="0063530B">
          <w:rPr>
            <w:webHidden/>
          </w:rPr>
          <w:tab/>
        </w:r>
        <w:r w:rsidR="0063530B">
          <w:rPr>
            <w:webHidden/>
          </w:rPr>
          <w:fldChar w:fldCharType="begin"/>
        </w:r>
        <w:r w:rsidR="0063530B">
          <w:rPr>
            <w:webHidden/>
          </w:rPr>
          <w:instrText xml:space="preserve"> PAGEREF _Toc39133349 \h </w:instrText>
        </w:r>
        <w:r w:rsidR="0063530B">
          <w:rPr>
            <w:webHidden/>
          </w:rPr>
        </w:r>
        <w:r w:rsidR="0063530B">
          <w:rPr>
            <w:webHidden/>
          </w:rPr>
          <w:fldChar w:fldCharType="separate"/>
        </w:r>
        <w:r w:rsidR="0063530B">
          <w:rPr>
            <w:webHidden/>
          </w:rPr>
          <w:t>100</w:t>
        </w:r>
        <w:r w:rsidR="0063530B">
          <w:rPr>
            <w:webHidden/>
          </w:rPr>
          <w:fldChar w:fldCharType="end"/>
        </w:r>
      </w:hyperlink>
    </w:p>
    <w:p w14:paraId="59389C55" w14:textId="69669C95" w:rsidR="0063530B" w:rsidRDefault="00BA6891">
      <w:pPr>
        <w:pStyle w:val="TOC1"/>
        <w:tabs>
          <w:tab w:val="right" w:leader="dot" w:pos="9060"/>
        </w:tabs>
        <w:rPr>
          <w:szCs w:val="22"/>
          <w:lang w:val="hr-HR" w:eastAsia="hr-HR"/>
        </w:rPr>
      </w:pPr>
      <w:hyperlink w:anchor="_Toc39133350" w:history="1">
        <w:r w:rsidR="0063530B" w:rsidRPr="008B39E4">
          <w:rPr>
            <w:rStyle w:val="Hyperlink"/>
          </w:rPr>
          <w:t>PRILOG V. - MJERE ZA SMANJENJE EMISIJA STAKLENIČKIH PLINOVA I POVEĆANJE ODLIVA</w:t>
        </w:r>
        <w:r w:rsidR="0063530B">
          <w:rPr>
            <w:webHidden/>
          </w:rPr>
          <w:tab/>
        </w:r>
        <w:r w:rsidR="0063530B">
          <w:rPr>
            <w:webHidden/>
          </w:rPr>
          <w:fldChar w:fldCharType="begin"/>
        </w:r>
        <w:r w:rsidR="0063530B">
          <w:rPr>
            <w:webHidden/>
          </w:rPr>
          <w:instrText xml:space="preserve"> PAGEREF _Toc39133350 \h </w:instrText>
        </w:r>
        <w:r w:rsidR="0063530B">
          <w:rPr>
            <w:webHidden/>
          </w:rPr>
        </w:r>
        <w:r w:rsidR="0063530B">
          <w:rPr>
            <w:webHidden/>
          </w:rPr>
          <w:fldChar w:fldCharType="separate"/>
        </w:r>
        <w:r w:rsidR="0063530B">
          <w:rPr>
            <w:webHidden/>
          </w:rPr>
          <w:t>101</w:t>
        </w:r>
        <w:r w:rsidR="0063530B">
          <w:rPr>
            <w:webHidden/>
          </w:rPr>
          <w:fldChar w:fldCharType="end"/>
        </w:r>
      </w:hyperlink>
    </w:p>
    <w:p w14:paraId="7B80553B" w14:textId="1C5B3881" w:rsidR="00374424" w:rsidRPr="00177077" w:rsidRDefault="004E7FB7" w:rsidP="00177077">
      <w:r w:rsidRPr="006414E6">
        <w:fldChar w:fldCharType="end"/>
      </w:r>
      <w:r w:rsidR="00374424">
        <w:br w:type="page"/>
      </w:r>
    </w:p>
    <w:p w14:paraId="39C93FAA" w14:textId="1F8363A4" w:rsidR="00311FED" w:rsidRDefault="00311FED" w:rsidP="00EE3488">
      <w:pPr>
        <w:pStyle w:val="Heading1"/>
      </w:pPr>
      <w:bookmarkStart w:id="3" w:name="_Toc20841325"/>
      <w:bookmarkStart w:id="4" w:name="_Toc20841431"/>
      <w:bookmarkStart w:id="5" w:name="_Toc39133251"/>
      <w:r w:rsidRPr="006414E6">
        <w:lastRenderedPageBreak/>
        <w:t>POPIS KRATICA</w:t>
      </w:r>
      <w:bookmarkEnd w:id="3"/>
      <w:bookmarkEnd w:id="4"/>
      <w:bookmarkEnd w:id="5"/>
    </w:p>
    <w:p w14:paraId="70ECEC1A" w14:textId="77777777" w:rsidR="0056199C" w:rsidRPr="0056199C" w:rsidRDefault="0056199C" w:rsidP="0056199C"/>
    <w:tbl>
      <w:tblPr>
        <w:tblStyle w:val="TableGridNew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3776"/>
        <w:gridCol w:w="3788"/>
      </w:tblGrid>
      <w:tr w:rsidR="0056199C" w:rsidRPr="0056199C" w14:paraId="7312A728" w14:textId="77777777" w:rsidTr="001770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bottom w:val="single" w:sz="4" w:space="0" w:color="auto"/>
              <w:right w:val="single" w:sz="4" w:space="0" w:color="auto"/>
            </w:tcBorders>
            <w:shd w:val="clear" w:color="auto" w:fill="auto"/>
          </w:tcPr>
          <w:p w14:paraId="24B81F3B" w14:textId="77777777" w:rsidR="0056199C" w:rsidRPr="0056199C" w:rsidRDefault="0056199C" w:rsidP="0056199C">
            <w:pPr>
              <w:jc w:val="left"/>
              <w:rPr>
                <w:rFonts w:ascii="Times New Roman" w:hAnsi="Times New Roman" w:cs="Times New Roman"/>
                <w:b/>
                <w:sz w:val="22"/>
              </w:rPr>
            </w:pPr>
            <w:r w:rsidRPr="0056199C">
              <w:rPr>
                <w:rFonts w:ascii="Times New Roman" w:hAnsi="Times New Roman" w:cs="Times New Roman"/>
                <w:b/>
                <w:sz w:val="22"/>
              </w:rPr>
              <w:t>Kratica</w:t>
            </w:r>
          </w:p>
          <w:p w14:paraId="4692D900" w14:textId="77777777" w:rsidR="0056199C" w:rsidRPr="0056199C" w:rsidRDefault="0056199C" w:rsidP="0056199C">
            <w:pPr>
              <w:jc w:val="left"/>
              <w:rPr>
                <w:rFonts w:ascii="Times New Roman" w:hAnsi="Times New Roman" w:cs="Times New Roman"/>
                <w:b/>
                <w:sz w:val="22"/>
              </w:rPr>
            </w:pPr>
          </w:p>
        </w:tc>
        <w:tc>
          <w:tcPr>
            <w:tcW w:w="7564" w:type="dxa"/>
            <w:gridSpan w:val="2"/>
            <w:tcBorders>
              <w:left w:val="single" w:sz="4" w:space="0" w:color="auto"/>
            </w:tcBorders>
            <w:shd w:val="clear" w:color="auto" w:fill="auto"/>
          </w:tcPr>
          <w:p w14:paraId="0A9BA22E" w14:textId="77777777" w:rsidR="0056199C" w:rsidRPr="0056199C" w:rsidRDefault="0056199C" w:rsidP="0056199C">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56199C">
              <w:rPr>
                <w:rFonts w:ascii="Times New Roman" w:hAnsi="Times New Roman" w:cs="Times New Roman"/>
                <w:b/>
                <w:sz w:val="22"/>
              </w:rPr>
              <w:t>Značenje / opis</w:t>
            </w:r>
          </w:p>
          <w:p w14:paraId="0FA975A3" w14:textId="77777777" w:rsidR="0056199C" w:rsidRPr="0056199C" w:rsidRDefault="0056199C" w:rsidP="0056199C">
            <w:pPr>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2"/>
              </w:rPr>
            </w:pPr>
          </w:p>
        </w:tc>
      </w:tr>
      <w:tr w:rsidR="0056199C" w:rsidRPr="0056199C" w14:paraId="0A5C5B2F"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bottom w:val="single" w:sz="4" w:space="0" w:color="auto"/>
            </w:tcBorders>
            <w:shd w:val="clear" w:color="auto" w:fill="auto"/>
          </w:tcPr>
          <w:p w14:paraId="2DA3AB89"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BDP / GDP</w:t>
            </w:r>
          </w:p>
        </w:tc>
        <w:tc>
          <w:tcPr>
            <w:tcW w:w="3776" w:type="dxa"/>
            <w:tcBorders>
              <w:right w:val="nil"/>
            </w:tcBorders>
            <w:shd w:val="clear" w:color="auto" w:fill="auto"/>
          </w:tcPr>
          <w:p w14:paraId="7AF85FF0"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Bruto domaći proizvod</w:t>
            </w:r>
          </w:p>
        </w:tc>
        <w:tc>
          <w:tcPr>
            <w:tcW w:w="3788" w:type="dxa"/>
            <w:tcBorders>
              <w:left w:val="nil"/>
            </w:tcBorders>
            <w:shd w:val="clear" w:color="auto" w:fill="auto"/>
          </w:tcPr>
          <w:p w14:paraId="25856ABB"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Gross Domestic Product</w:t>
            </w:r>
          </w:p>
        </w:tc>
      </w:tr>
      <w:tr w:rsidR="0056199C" w:rsidRPr="0056199C" w14:paraId="258CC2E0"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bottom w:val="none" w:sz="0" w:space="0" w:color="auto"/>
            </w:tcBorders>
            <w:shd w:val="clear" w:color="auto" w:fill="auto"/>
            <w:vAlign w:val="center"/>
          </w:tcPr>
          <w:p w14:paraId="1422C5FC"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CCS</w:t>
            </w:r>
          </w:p>
        </w:tc>
        <w:tc>
          <w:tcPr>
            <w:tcW w:w="3776" w:type="dxa"/>
            <w:tcBorders>
              <w:right w:val="nil"/>
            </w:tcBorders>
            <w:shd w:val="clear" w:color="auto" w:fill="auto"/>
            <w:vAlign w:val="center"/>
          </w:tcPr>
          <w:p w14:paraId="151218F6"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Hvatanje i skladištenje ugljikovog dioksida</w:t>
            </w:r>
          </w:p>
        </w:tc>
        <w:tc>
          <w:tcPr>
            <w:tcW w:w="3788" w:type="dxa"/>
            <w:tcBorders>
              <w:left w:val="nil"/>
            </w:tcBorders>
            <w:shd w:val="clear" w:color="auto" w:fill="auto"/>
            <w:vAlign w:val="center"/>
          </w:tcPr>
          <w:p w14:paraId="7254429F"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Carbon Capture and Storage</w:t>
            </w:r>
          </w:p>
        </w:tc>
      </w:tr>
      <w:tr w:rsidR="0056199C" w:rsidRPr="0056199C" w14:paraId="7FD6A3F1"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241CE19F"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DZS</w:t>
            </w:r>
          </w:p>
        </w:tc>
        <w:tc>
          <w:tcPr>
            <w:tcW w:w="3776" w:type="dxa"/>
            <w:tcBorders>
              <w:right w:val="nil"/>
            </w:tcBorders>
            <w:shd w:val="clear" w:color="auto" w:fill="auto"/>
            <w:vAlign w:val="center"/>
          </w:tcPr>
          <w:p w14:paraId="030846DD"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Državni zavod za statistiku</w:t>
            </w:r>
          </w:p>
        </w:tc>
        <w:tc>
          <w:tcPr>
            <w:tcW w:w="3788" w:type="dxa"/>
            <w:tcBorders>
              <w:left w:val="nil"/>
            </w:tcBorders>
            <w:shd w:val="clear" w:color="auto" w:fill="auto"/>
            <w:vAlign w:val="center"/>
          </w:tcPr>
          <w:p w14:paraId="6F93454E"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p>
        </w:tc>
      </w:tr>
      <w:tr w:rsidR="0056199C" w:rsidRPr="0056199C" w14:paraId="78B16FF3"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685C46F7"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EK</w:t>
            </w:r>
          </w:p>
        </w:tc>
        <w:tc>
          <w:tcPr>
            <w:tcW w:w="3776" w:type="dxa"/>
            <w:tcBorders>
              <w:right w:val="nil"/>
            </w:tcBorders>
            <w:shd w:val="clear" w:color="auto" w:fill="auto"/>
            <w:vAlign w:val="center"/>
          </w:tcPr>
          <w:p w14:paraId="371B59A8"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Europska komisija</w:t>
            </w:r>
          </w:p>
        </w:tc>
        <w:tc>
          <w:tcPr>
            <w:tcW w:w="3788" w:type="dxa"/>
            <w:tcBorders>
              <w:left w:val="nil"/>
            </w:tcBorders>
            <w:shd w:val="clear" w:color="auto" w:fill="auto"/>
            <w:vAlign w:val="center"/>
          </w:tcPr>
          <w:p w14:paraId="2F4B5966"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European Commission</w:t>
            </w:r>
          </w:p>
        </w:tc>
      </w:tr>
      <w:tr w:rsidR="0056199C" w:rsidRPr="0056199C" w14:paraId="38FB268B"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4A20AB92" w14:textId="77777777" w:rsidR="0056199C" w:rsidRPr="0056199C" w:rsidRDefault="0056199C" w:rsidP="0056199C">
            <w:pPr>
              <w:rPr>
                <w:rFonts w:ascii="Times New Roman" w:hAnsi="Times New Roman" w:cs="Times New Roman"/>
                <w:sz w:val="22"/>
              </w:rPr>
            </w:pPr>
            <w:proofErr w:type="spellStart"/>
            <w:r w:rsidRPr="0056199C">
              <w:rPr>
                <w:rFonts w:ascii="Times New Roman" w:hAnsi="Times New Roman" w:cs="Times New Roman"/>
                <w:sz w:val="22"/>
              </w:rPr>
              <w:t>EnU</w:t>
            </w:r>
            <w:proofErr w:type="spellEnd"/>
          </w:p>
        </w:tc>
        <w:tc>
          <w:tcPr>
            <w:tcW w:w="3776" w:type="dxa"/>
            <w:tcBorders>
              <w:right w:val="nil"/>
            </w:tcBorders>
            <w:shd w:val="clear" w:color="auto" w:fill="auto"/>
            <w:vAlign w:val="center"/>
          </w:tcPr>
          <w:p w14:paraId="6262E843"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Energetska učinkovitost</w:t>
            </w:r>
          </w:p>
        </w:tc>
        <w:tc>
          <w:tcPr>
            <w:tcW w:w="3788" w:type="dxa"/>
            <w:tcBorders>
              <w:left w:val="nil"/>
            </w:tcBorders>
            <w:shd w:val="clear" w:color="auto" w:fill="auto"/>
            <w:vAlign w:val="center"/>
          </w:tcPr>
          <w:p w14:paraId="07754595"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Energy efficiency</w:t>
            </w:r>
          </w:p>
        </w:tc>
      </w:tr>
      <w:tr w:rsidR="0056199C" w:rsidRPr="0056199C" w14:paraId="65F63D06"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16026BEE"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ETS</w:t>
            </w:r>
          </w:p>
        </w:tc>
        <w:tc>
          <w:tcPr>
            <w:tcW w:w="3776" w:type="dxa"/>
            <w:tcBorders>
              <w:right w:val="nil"/>
            </w:tcBorders>
            <w:shd w:val="clear" w:color="auto" w:fill="auto"/>
            <w:vAlign w:val="center"/>
          </w:tcPr>
          <w:p w14:paraId="75F33D3C"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Sustav trgovanja emisijskim jedinicama</w:t>
            </w:r>
          </w:p>
        </w:tc>
        <w:tc>
          <w:tcPr>
            <w:tcW w:w="3788" w:type="dxa"/>
            <w:tcBorders>
              <w:left w:val="nil"/>
            </w:tcBorders>
            <w:shd w:val="clear" w:color="auto" w:fill="auto"/>
            <w:vAlign w:val="center"/>
          </w:tcPr>
          <w:p w14:paraId="0F811458"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Emissions Trading System</w:t>
            </w:r>
          </w:p>
        </w:tc>
      </w:tr>
      <w:tr w:rsidR="0056199C" w:rsidRPr="0056199C" w14:paraId="345BAB0A"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328FECD7"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EU</w:t>
            </w:r>
          </w:p>
        </w:tc>
        <w:tc>
          <w:tcPr>
            <w:tcW w:w="3776" w:type="dxa"/>
            <w:tcBorders>
              <w:right w:val="nil"/>
            </w:tcBorders>
            <w:shd w:val="clear" w:color="auto" w:fill="auto"/>
            <w:vAlign w:val="center"/>
          </w:tcPr>
          <w:p w14:paraId="567DCFE4"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Europska unija</w:t>
            </w:r>
          </w:p>
        </w:tc>
        <w:tc>
          <w:tcPr>
            <w:tcW w:w="3788" w:type="dxa"/>
            <w:tcBorders>
              <w:left w:val="nil"/>
            </w:tcBorders>
            <w:shd w:val="clear" w:color="auto" w:fill="auto"/>
            <w:vAlign w:val="center"/>
          </w:tcPr>
          <w:p w14:paraId="339D4B39"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European Union</w:t>
            </w:r>
          </w:p>
        </w:tc>
      </w:tr>
      <w:tr w:rsidR="0056199C" w:rsidRPr="0056199C" w14:paraId="2C4648E5"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3BBD7699"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FMRL</w:t>
            </w:r>
          </w:p>
        </w:tc>
        <w:tc>
          <w:tcPr>
            <w:tcW w:w="3776" w:type="dxa"/>
            <w:tcBorders>
              <w:right w:val="nil"/>
            </w:tcBorders>
            <w:shd w:val="clear" w:color="auto" w:fill="auto"/>
            <w:vAlign w:val="center"/>
          </w:tcPr>
          <w:p w14:paraId="6E7BAEDC"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Referentne razine za aktivnost gospodarenja šumama</w:t>
            </w:r>
          </w:p>
        </w:tc>
        <w:tc>
          <w:tcPr>
            <w:tcW w:w="3788" w:type="dxa"/>
            <w:tcBorders>
              <w:left w:val="nil"/>
            </w:tcBorders>
            <w:shd w:val="clear" w:color="auto" w:fill="auto"/>
            <w:vAlign w:val="center"/>
          </w:tcPr>
          <w:p w14:paraId="19F0219D"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Forest Management Reference Level</w:t>
            </w:r>
          </w:p>
        </w:tc>
      </w:tr>
      <w:tr w:rsidR="0056199C" w:rsidRPr="0056199C" w14:paraId="01A08342"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shd w:val="clear" w:color="auto" w:fill="auto"/>
            <w:vAlign w:val="center"/>
          </w:tcPr>
          <w:p w14:paraId="1F675043"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FRL</w:t>
            </w:r>
          </w:p>
        </w:tc>
        <w:tc>
          <w:tcPr>
            <w:tcW w:w="3776" w:type="dxa"/>
            <w:tcBorders>
              <w:right w:val="nil"/>
            </w:tcBorders>
            <w:shd w:val="clear" w:color="auto" w:fill="auto"/>
            <w:vAlign w:val="center"/>
          </w:tcPr>
          <w:p w14:paraId="597ED05D"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Referentna razina za šume</w:t>
            </w:r>
          </w:p>
        </w:tc>
        <w:tc>
          <w:tcPr>
            <w:tcW w:w="3788" w:type="dxa"/>
            <w:tcBorders>
              <w:left w:val="nil"/>
            </w:tcBorders>
            <w:shd w:val="clear" w:color="auto" w:fill="auto"/>
            <w:vAlign w:val="center"/>
          </w:tcPr>
          <w:p w14:paraId="710C5833"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Forest. Reference Level</w:t>
            </w:r>
          </w:p>
        </w:tc>
      </w:tr>
      <w:tr w:rsidR="0056199C" w:rsidRPr="0056199C" w14:paraId="47CAD54A"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05D82FA8"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FZOEU</w:t>
            </w:r>
          </w:p>
        </w:tc>
        <w:tc>
          <w:tcPr>
            <w:tcW w:w="3776" w:type="dxa"/>
            <w:tcBorders>
              <w:right w:val="nil"/>
            </w:tcBorders>
            <w:shd w:val="clear" w:color="auto" w:fill="auto"/>
            <w:vAlign w:val="center"/>
          </w:tcPr>
          <w:p w14:paraId="51A8E7BE"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Fond za zaštitu okoliša i energetsku učinkovitost</w:t>
            </w:r>
          </w:p>
        </w:tc>
        <w:tc>
          <w:tcPr>
            <w:tcW w:w="3788" w:type="dxa"/>
            <w:tcBorders>
              <w:left w:val="nil"/>
            </w:tcBorders>
            <w:shd w:val="clear" w:color="auto" w:fill="auto"/>
            <w:vAlign w:val="center"/>
          </w:tcPr>
          <w:p w14:paraId="57CF53B3"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Fund for Environment and Energy Efficiency</w:t>
            </w:r>
          </w:p>
        </w:tc>
      </w:tr>
      <w:tr w:rsidR="0056199C" w:rsidRPr="0056199C" w14:paraId="10D994F4"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4B655ADD"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ICT</w:t>
            </w:r>
          </w:p>
        </w:tc>
        <w:tc>
          <w:tcPr>
            <w:tcW w:w="3776" w:type="dxa"/>
            <w:tcBorders>
              <w:right w:val="nil"/>
            </w:tcBorders>
            <w:shd w:val="clear" w:color="auto" w:fill="auto"/>
            <w:vAlign w:val="center"/>
          </w:tcPr>
          <w:p w14:paraId="0A5BA81B"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Sektor informacijsko-komunikacijske tehnologije</w:t>
            </w:r>
          </w:p>
        </w:tc>
        <w:tc>
          <w:tcPr>
            <w:tcW w:w="3788" w:type="dxa"/>
            <w:tcBorders>
              <w:left w:val="nil"/>
            </w:tcBorders>
            <w:shd w:val="clear" w:color="auto" w:fill="auto"/>
            <w:vAlign w:val="center"/>
          </w:tcPr>
          <w:p w14:paraId="794CC2C9"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Information and communications technology</w:t>
            </w:r>
          </w:p>
        </w:tc>
      </w:tr>
      <w:tr w:rsidR="0056199C" w:rsidRPr="0056199C" w14:paraId="1709019C"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063418E7"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IPCC</w:t>
            </w:r>
          </w:p>
        </w:tc>
        <w:tc>
          <w:tcPr>
            <w:tcW w:w="3776" w:type="dxa"/>
            <w:tcBorders>
              <w:right w:val="nil"/>
            </w:tcBorders>
            <w:shd w:val="clear" w:color="auto" w:fill="auto"/>
            <w:vAlign w:val="center"/>
          </w:tcPr>
          <w:p w14:paraId="17AC1B9B"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Međuvladin panel o klimatskim promjenama</w:t>
            </w:r>
          </w:p>
        </w:tc>
        <w:tc>
          <w:tcPr>
            <w:tcW w:w="3788" w:type="dxa"/>
            <w:tcBorders>
              <w:left w:val="nil"/>
            </w:tcBorders>
            <w:shd w:val="clear" w:color="auto" w:fill="auto"/>
            <w:vAlign w:val="center"/>
          </w:tcPr>
          <w:p w14:paraId="40ABB9F0"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Intergovernmental Panel on Climate Change</w:t>
            </w:r>
          </w:p>
        </w:tc>
      </w:tr>
      <w:tr w:rsidR="0056199C" w:rsidRPr="0056199C" w14:paraId="756D68A4"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4F8F73D8"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LULUCF</w:t>
            </w:r>
          </w:p>
        </w:tc>
        <w:tc>
          <w:tcPr>
            <w:tcW w:w="3776" w:type="dxa"/>
            <w:tcBorders>
              <w:right w:val="nil"/>
            </w:tcBorders>
            <w:shd w:val="clear" w:color="auto" w:fill="auto"/>
            <w:vAlign w:val="center"/>
          </w:tcPr>
          <w:p w14:paraId="4D5C0BD2"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Korištenje zemljišta, promjena korištenja zemljišta i šumarstvo</w:t>
            </w:r>
          </w:p>
        </w:tc>
        <w:tc>
          <w:tcPr>
            <w:tcW w:w="3788" w:type="dxa"/>
            <w:tcBorders>
              <w:left w:val="nil"/>
            </w:tcBorders>
            <w:shd w:val="clear" w:color="auto" w:fill="auto"/>
            <w:vAlign w:val="center"/>
          </w:tcPr>
          <w:p w14:paraId="5F3E55C6"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Land use, land use change and forestry</w:t>
            </w:r>
          </w:p>
        </w:tc>
      </w:tr>
      <w:tr w:rsidR="0056199C" w:rsidRPr="0056199C" w14:paraId="4A19F626"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shd w:val="clear" w:color="auto" w:fill="auto"/>
            <w:vAlign w:val="center"/>
          </w:tcPr>
          <w:p w14:paraId="01544202"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MGIPU</w:t>
            </w:r>
          </w:p>
        </w:tc>
        <w:tc>
          <w:tcPr>
            <w:tcW w:w="3776" w:type="dxa"/>
            <w:tcBorders>
              <w:right w:val="nil"/>
            </w:tcBorders>
            <w:shd w:val="clear" w:color="auto" w:fill="auto"/>
            <w:vAlign w:val="center"/>
          </w:tcPr>
          <w:p w14:paraId="187505E5"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Ministarstvo graditeljstva i prostornoga uređenja</w:t>
            </w:r>
          </w:p>
        </w:tc>
        <w:tc>
          <w:tcPr>
            <w:tcW w:w="3788" w:type="dxa"/>
            <w:tcBorders>
              <w:left w:val="nil"/>
            </w:tcBorders>
            <w:shd w:val="clear" w:color="auto" w:fill="auto"/>
            <w:vAlign w:val="center"/>
          </w:tcPr>
          <w:p w14:paraId="5C6FDA63"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Ministry of Construction and Physical Planning</w:t>
            </w:r>
          </w:p>
        </w:tc>
      </w:tr>
      <w:tr w:rsidR="0056199C" w:rsidRPr="0056199C" w14:paraId="434A1AA9"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6104DA6E"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MZOE</w:t>
            </w:r>
          </w:p>
        </w:tc>
        <w:tc>
          <w:tcPr>
            <w:tcW w:w="3776" w:type="dxa"/>
            <w:tcBorders>
              <w:right w:val="nil"/>
            </w:tcBorders>
            <w:shd w:val="clear" w:color="auto" w:fill="auto"/>
            <w:vAlign w:val="center"/>
          </w:tcPr>
          <w:p w14:paraId="123CAADF"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Ministarstvo zaštite okoliša i energetike</w:t>
            </w:r>
          </w:p>
        </w:tc>
        <w:tc>
          <w:tcPr>
            <w:tcW w:w="3788" w:type="dxa"/>
            <w:tcBorders>
              <w:left w:val="nil"/>
            </w:tcBorders>
            <w:shd w:val="clear" w:color="auto" w:fill="auto"/>
            <w:vAlign w:val="center"/>
          </w:tcPr>
          <w:p w14:paraId="3C73D89F"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Ministry of Environment and Energy</w:t>
            </w:r>
          </w:p>
        </w:tc>
      </w:tr>
      <w:tr w:rsidR="0056199C" w:rsidRPr="0056199C" w14:paraId="0D83238E"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bottom w:val="single" w:sz="4" w:space="0" w:color="auto"/>
            </w:tcBorders>
            <w:shd w:val="clear" w:color="auto" w:fill="auto"/>
            <w:vAlign w:val="center"/>
          </w:tcPr>
          <w:p w14:paraId="0CEDA981" w14:textId="77777777" w:rsidR="0056199C" w:rsidRPr="0056199C" w:rsidRDefault="0056199C" w:rsidP="0056199C">
            <w:pPr>
              <w:rPr>
                <w:rFonts w:ascii="Times New Roman" w:hAnsi="Times New Roman" w:cs="Times New Roman"/>
                <w:sz w:val="22"/>
              </w:rPr>
            </w:pPr>
            <w:proofErr w:type="spellStart"/>
            <w:r w:rsidRPr="0056199C">
              <w:rPr>
                <w:rFonts w:ascii="Times New Roman" w:hAnsi="Times New Roman" w:cs="Times New Roman"/>
                <w:sz w:val="22"/>
              </w:rPr>
              <w:t>NAP</w:t>
            </w:r>
            <w:proofErr w:type="spellEnd"/>
            <w:r w:rsidRPr="0056199C">
              <w:rPr>
                <w:rFonts w:ascii="Times New Roman" w:hAnsi="Times New Roman" w:cs="Times New Roman"/>
                <w:sz w:val="22"/>
              </w:rPr>
              <w:t xml:space="preserve"> </w:t>
            </w:r>
            <w:proofErr w:type="spellStart"/>
            <w:r w:rsidRPr="0056199C">
              <w:rPr>
                <w:rFonts w:ascii="Times New Roman" w:hAnsi="Times New Roman" w:cs="Times New Roman"/>
                <w:sz w:val="22"/>
              </w:rPr>
              <w:t>EnU</w:t>
            </w:r>
            <w:proofErr w:type="spellEnd"/>
          </w:p>
        </w:tc>
        <w:tc>
          <w:tcPr>
            <w:tcW w:w="3776" w:type="dxa"/>
            <w:tcBorders>
              <w:right w:val="nil"/>
            </w:tcBorders>
            <w:shd w:val="clear" w:color="auto" w:fill="auto"/>
            <w:vAlign w:val="center"/>
          </w:tcPr>
          <w:p w14:paraId="148C60C1"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Nacionalni akcijski plan energetske učinkovitosti</w:t>
            </w:r>
          </w:p>
        </w:tc>
        <w:tc>
          <w:tcPr>
            <w:tcW w:w="3788" w:type="dxa"/>
            <w:tcBorders>
              <w:left w:val="nil"/>
            </w:tcBorders>
            <w:shd w:val="clear" w:color="auto" w:fill="auto"/>
            <w:vAlign w:val="center"/>
          </w:tcPr>
          <w:p w14:paraId="68688A00"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National Energy Efficiency Action Plan</w:t>
            </w:r>
          </w:p>
        </w:tc>
      </w:tr>
      <w:tr w:rsidR="0056199C" w:rsidRPr="0056199C" w14:paraId="22F82BAA"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bottom w:val="single" w:sz="4" w:space="0" w:color="auto"/>
            </w:tcBorders>
            <w:shd w:val="clear" w:color="auto" w:fill="auto"/>
            <w:vAlign w:val="center"/>
          </w:tcPr>
          <w:p w14:paraId="7AF7B43B"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NUS</w:t>
            </w:r>
          </w:p>
        </w:tc>
        <w:tc>
          <w:tcPr>
            <w:tcW w:w="3776" w:type="dxa"/>
            <w:tcBorders>
              <w:right w:val="nil"/>
            </w:tcBorders>
            <w:shd w:val="clear" w:color="auto" w:fill="auto"/>
            <w:vAlign w:val="center"/>
          </w:tcPr>
          <w:p w14:paraId="0BCA3DBD"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roofErr w:type="spellStart"/>
            <w:r w:rsidRPr="0056199C">
              <w:rPr>
                <w:rFonts w:ascii="Times New Roman" w:hAnsi="Times New Roman" w:cs="Times New Roman"/>
                <w:sz w:val="22"/>
              </w:rPr>
              <w:t>Niskougljična</w:t>
            </w:r>
            <w:proofErr w:type="spellEnd"/>
            <w:r w:rsidRPr="0056199C">
              <w:rPr>
                <w:rFonts w:ascii="Times New Roman" w:hAnsi="Times New Roman" w:cs="Times New Roman"/>
                <w:sz w:val="22"/>
              </w:rPr>
              <w:t xml:space="preserve"> strategija</w:t>
            </w:r>
          </w:p>
        </w:tc>
        <w:tc>
          <w:tcPr>
            <w:tcW w:w="3788" w:type="dxa"/>
            <w:tcBorders>
              <w:left w:val="nil"/>
            </w:tcBorders>
            <w:shd w:val="clear" w:color="auto" w:fill="auto"/>
            <w:vAlign w:val="center"/>
          </w:tcPr>
          <w:p w14:paraId="68AF2A57"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Low Carbon Strategy</w:t>
            </w:r>
          </w:p>
        </w:tc>
      </w:tr>
      <w:tr w:rsidR="0056199C" w:rsidRPr="0056199C" w14:paraId="41619265"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tcBorders>
            <w:shd w:val="clear" w:color="auto" w:fill="auto"/>
            <w:vAlign w:val="center"/>
          </w:tcPr>
          <w:p w14:paraId="25AFED5B" w14:textId="77777777" w:rsidR="0056199C" w:rsidRPr="0056199C" w:rsidRDefault="0056199C" w:rsidP="0056199C">
            <w:pPr>
              <w:rPr>
                <w:rFonts w:ascii="Times New Roman" w:hAnsi="Times New Roman" w:cs="Times New Roman"/>
                <w:sz w:val="22"/>
              </w:rPr>
            </w:pPr>
            <w:proofErr w:type="spellStart"/>
            <w:r w:rsidRPr="0056199C">
              <w:rPr>
                <w:rFonts w:ascii="Times New Roman" w:hAnsi="Times New Roman" w:cs="Times New Roman"/>
                <w:sz w:val="22"/>
              </w:rPr>
              <w:t>nZEB</w:t>
            </w:r>
            <w:proofErr w:type="spellEnd"/>
            <w:r w:rsidRPr="0056199C">
              <w:rPr>
                <w:rFonts w:ascii="Times New Roman" w:hAnsi="Times New Roman" w:cs="Times New Roman"/>
                <w:sz w:val="22"/>
              </w:rPr>
              <w:t xml:space="preserve"> </w:t>
            </w:r>
          </w:p>
        </w:tc>
        <w:tc>
          <w:tcPr>
            <w:tcW w:w="3776" w:type="dxa"/>
            <w:tcBorders>
              <w:right w:val="nil"/>
            </w:tcBorders>
            <w:shd w:val="clear" w:color="auto" w:fill="auto"/>
            <w:vAlign w:val="center"/>
          </w:tcPr>
          <w:p w14:paraId="6931724E"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Zgrade gotovo nulte energije</w:t>
            </w:r>
          </w:p>
        </w:tc>
        <w:tc>
          <w:tcPr>
            <w:tcW w:w="3788" w:type="dxa"/>
            <w:tcBorders>
              <w:left w:val="nil"/>
            </w:tcBorders>
            <w:shd w:val="clear" w:color="auto" w:fill="auto"/>
            <w:vAlign w:val="center"/>
          </w:tcPr>
          <w:p w14:paraId="28FB07A8"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Nearly zero energy building</w:t>
            </w:r>
          </w:p>
        </w:tc>
      </w:tr>
      <w:tr w:rsidR="0056199C" w:rsidRPr="0056199C" w14:paraId="04730258"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573A08C7"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OIE</w:t>
            </w:r>
          </w:p>
        </w:tc>
        <w:tc>
          <w:tcPr>
            <w:tcW w:w="3776" w:type="dxa"/>
            <w:tcBorders>
              <w:right w:val="nil"/>
            </w:tcBorders>
            <w:shd w:val="clear" w:color="auto" w:fill="auto"/>
            <w:vAlign w:val="center"/>
          </w:tcPr>
          <w:p w14:paraId="686F9D32"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Obnovljivi izvori energije</w:t>
            </w:r>
          </w:p>
        </w:tc>
        <w:tc>
          <w:tcPr>
            <w:tcW w:w="3788" w:type="dxa"/>
            <w:tcBorders>
              <w:left w:val="nil"/>
            </w:tcBorders>
            <w:shd w:val="clear" w:color="auto" w:fill="auto"/>
            <w:vAlign w:val="center"/>
          </w:tcPr>
          <w:p w14:paraId="1CEE7E61"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Renewable energy sources</w:t>
            </w:r>
          </w:p>
        </w:tc>
      </w:tr>
      <w:tr w:rsidR="0056199C" w:rsidRPr="0056199C" w14:paraId="418CF241"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tcBorders>
            <w:shd w:val="clear" w:color="auto" w:fill="auto"/>
            <w:vAlign w:val="center"/>
          </w:tcPr>
          <w:p w14:paraId="4B2D98CC"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SPP/ CNG</w:t>
            </w:r>
          </w:p>
        </w:tc>
        <w:tc>
          <w:tcPr>
            <w:tcW w:w="3776" w:type="dxa"/>
            <w:tcBorders>
              <w:right w:val="nil"/>
            </w:tcBorders>
            <w:shd w:val="clear" w:color="auto" w:fill="auto"/>
            <w:vAlign w:val="center"/>
          </w:tcPr>
          <w:p w14:paraId="2F4BB81B"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Stlačeni prirodni plin</w:t>
            </w:r>
          </w:p>
        </w:tc>
        <w:tc>
          <w:tcPr>
            <w:tcW w:w="3788" w:type="dxa"/>
            <w:tcBorders>
              <w:left w:val="nil"/>
            </w:tcBorders>
            <w:shd w:val="clear" w:color="auto" w:fill="auto"/>
            <w:vAlign w:val="center"/>
          </w:tcPr>
          <w:p w14:paraId="06E2B02A"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bCs/>
                <w:sz w:val="22"/>
                <w:shd w:val="clear" w:color="auto" w:fill="FFFFFF"/>
                <w:lang w:val="en-GB"/>
              </w:rPr>
              <w:t>Compressed natural gas</w:t>
            </w:r>
          </w:p>
        </w:tc>
      </w:tr>
      <w:tr w:rsidR="0056199C" w:rsidRPr="0056199C" w14:paraId="65786486"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57368DE4"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UNDP</w:t>
            </w:r>
          </w:p>
        </w:tc>
        <w:tc>
          <w:tcPr>
            <w:tcW w:w="3776" w:type="dxa"/>
            <w:tcBorders>
              <w:right w:val="nil"/>
            </w:tcBorders>
            <w:shd w:val="clear" w:color="auto" w:fill="auto"/>
            <w:vAlign w:val="center"/>
          </w:tcPr>
          <w:p w14:paraId="62EE3B58"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Program Ujedinjenih naroda za razvoj</w:t>
            </w:r>
          </w:p>
        </w:tc>
        <w:tc>
          <w:tcPr>
            <w:tcW w:w="3788" w:type="dxa"/>
            <w:tcBorders>
              <w:left w:val="nil"/>
            </w:tcBorders>
            <w:shd w:val="clear" w:color="auto" w:fill="auto"/>
            <w:vAlign w:val="center"/>
          </w:tcPr>
          <w:p w14:paraId="68677ECD"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United Nations Development Programme</w:t>
            </w:r>
          </w:p>
        </w:tc>
      </w:tr>
      <w:tr w:rsidR="0056199C" w:rsidRPr="0056199C" w14:paraId="4D85B928"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56B551A7"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UNFCCC</w:t>
            </w:r>
          </w:p>
        </w:tc>
        <w:tc>
          <w:tcPr>
            <w:tcW w:w="3776" w:type="dxa"/>
            <w:tcBorders>
              <w:right w:val="nil"/>
            </w:tcBorders>
            <w:shd w:val="clear" w:color="auto" w:fill="auto"/>
            <w:vAlign w:val="center"/>
          </w:tcPr>
          <w:p w14:paraId="050A5FDE"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Okvirna konvencija Ujedinjenih naroda o promjeni klime</w:t>
            </w:r>
          </w:p>
        </w:tc>
        <w:tc>
          <w:tcPr>
            <w:tcW w:w="3788" w:type="dxa"/>
            <w:tcBorders>
              <w:left w:val="nil"/>
            </w:tcBorders>
            <w:shd w:val="clear" w:color="auto" w:fill="auto"/>
            <w:vAlign w:val="center"/>
          </w:tcPr>
          <w:p w14:paraId="7A0C8636"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sz w:val="22"/>
                <w:lang w:val="en-GB"/>
              </w:rPr>
              <w:t>United Nations Framework - Convention on Climate Change</w:t>
            </w:r>
            <w:r w:rsidRPr="0056199C">
              <w:rPr>
                <w:rFonts w:ascii="Times New Roman" w:hAnsi="Times New Roman" w:cs="Times New Roman"/>
                <w:sz w:val="22"/>
                <w:szCs w:val="22"/>
                <w:cs/>
                <w:lang w:val="en-GB"/>
              </w:rPr>
              <w:t>‎</w:t>
            </w:r>
          </w:p>
        </w:tc>
      </w:tr>
      <w:tr w:rsidR="0056199C" w:rsidRPr="0056199C" w14:paraId="36CCC030" w14:textId="77777777" w:rsidTr="0017707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14:paraId="1E1D10F8"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UNP/ LPG</w:t>
            </w:r>
          </w:p>
        </w:tc>
        <w:tc>
          <w:tcPr>
            <w:tcW w:w="3776" w:type="dxa"/>
            <w:tcBorders>
              <w:right w:val="nil"/>
            </w:tcBorders>
            <w:shd w:val="clear" w:color="auto" w:fill="auto"/>
            <w:vAlign w:val="center"/>
          </w:tcPr>
          <w:p w14:paraId="5C20C0F9"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Ukapljeni naftni plin</w:t>
            </w:r>
          </w:p>
        </w:tc>
        <w:tc>
          <w:tcPr>
            <w:tcW w:w="3788" w:type="dxa"/>
            <w:tcBorders>
              <w:left w:val="nil"/>
            </w:tcBorders>
            <w:shd w:val="clear" w:color="auto" w:fill="auto"/>
            <w:vAlign w:val="center"/>
          </w:tcPr>
          <w:p w14:paraId="6F980A37" w14:textId="77777777" w:rsidR="0056199C" w:rsidRPr="0056199C" w:rsidRDefault="0056199C" w:rsidP="0056199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bCs/>
                <w:sz w:val="22"/>
                <w:shd w:val="clear" w:color="auto" w:fill="FFFFFF"/>
                <w:lang w:val="en-GB"/>
              </w:rPr>
              <w:t>Liquefied petroleum gas</w:t>
            </w:r>
          </w:p>
        </w:tc>
      </w:tr>
      <w:tr w:rsidR="0056199C" w:rsidRPr="0056199C" w14:paraId="42E30382" w14:textId="77777777" w:rsidTr="00177077">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tcBorders>
            <w:shd w:val="clear" w:color="auto" w:fill="auto"/>
            <w:vAlign w:val="center"/>
          </w:tcPr>
          <w:p w14:paraId="67F5D3F7" w14:textId="77777777" w:rsidR="0056199C" w:rsidRPr="0056199C" w:rsidRDefault="0056199C" w:rsidP="0056199C">
            <w:pPr>
              <w:rPr>
                <w:rFonts w:ascii="Times New Roman" w:hAnsi="Times New Roman" w:cs="Times New Roman"/>
                <w:sz w:val="22"/>
              </w:rPr>
            </w:pPr>
            <w:r w:rsidRPr="0056199C">
              <w:rPr>
                <w:rFonts w:ascii="Times New Roman" w:hAnsi="Times New Roman" w:cs="Times New Roman"/>
                <w:sz w:val="22"/>
              </w:rPr>
              <w:t>UPP</w:t>
            </w:r>
          </w:p>
        </w:tc>
        <w:tc>
          <w:tcPr>
            <w:tcW w:w="3776" w:type="dxa"/>
            <w:tcBorders>
              <w:right w:val="nil"/>
            </w:tcBorders>
            <w:shd w:val="clear" w:color="auto" w:fill="auto"/>
            <w:vAlign w:val="center"/>
          </w:tcPr>
          <w:p w14:paraId="5CD1A576"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6199C">
              <w:rPr>
                <w:rFonts w:ascii="Times New Roman" w:hAnsi="Times New Roman" w:cs="Times New Roman"/>
                <w:sz w:val="22"/>
              </w:rPr>
              <w:t>Ukapljeni prirodni plin</w:t>
            </w:r>
          </w:p>
        </w:tc>
        <w:tc>
          <w:tcPr>
            <w:tcW w:w="3788" w:type="dxa"/>
            <w:tcBorders>
              <w:left w:val="nil"/>
            </w:tcBorders>
            <w:shd w:val="clear" w:color="auto" w:fill="auto"/>
            <w:vAlign w:val="center"/>
          </w:tcPr>
          <w:p w14:paraId="71C58DEF" w14:textId="77777777" w:rsidR="0056199C" w:rsidRPr="0056199C" w:rsidRDefault="0056199C" w:rsidP="0056199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GB"/>
              </w:rPr>
            </w:pPr>
            <w:r w:rsidRPr="0056199C">
              <w:rPr>
                <w:rFonts w:ascii="Times New Roman" w:hAnsi="Times New Roman" w:cs="Times New Roman"/>
                <w:bCs/>
                <w:sz w:val="22"/>
                <w:shd w:val="clear" w:color="auto" w:fill="FFFFFF"/>
                <w:lang w:val="en-GB"/>
              </w:rPr>
              <w:t>Liquefied natural gas</w:t>
            </w:r>
          </w:p>
        </w:tc>
      </w:tr>
    </w:tbl>
    <w:p w14:paraId="77572E67" w14:textId="77777777" w:rsidR="00353A4F" w:rsidRPr="006414E6" w:rsidRDefault="00B251B2" w:rsidP="00EE3488">
      <w:pPr>
        <w:pStyle w:val="Heading1"/>
      </w:pPr>
      <w:bookmarkStart w:id="6" w:name="_Toc431295827"/>
      <w:bookmarkStart w:id="7" w:name="_Toc431296296"/>
      <w:bookmarkStart w:id="8" w:name="_Toc431296390"/>
      <w:bookmarkStart w:id="9" w:name="_Toc431893685"/>
      <w:bookmarkStart w:id="10" w:name="_Toc433184562"/>
      <w:bookmarkStart w:id="11" w:name="_Toc433197386"/>
      <w:bookmarkStart w:id="12" w:name="_Toc433607976"/>
      <w:bookmarkStart w:id="13" w:name="_Toc433608145"/>
      <w:bookmarkStart w:id="14" w:name="_Toc433612040"/>
      <w:bookmarkStart w:id="15" w:name="_Toc433612206"/>
      <w:bookmarkStart w:id="16" w:name="_Toc433612372"/>
      <w:bookmarkStart w:id="17" w:name="_Toc433612562"/>
      <w:bookmarkStart w:id="18" w:name="_Toc433612728"/>
      <w:bookmarkStart w:id="19" w:name="_Toc433717024"/>
      <w:bookmarkStart w:id="20" w:name="_Toc433717227"/>
      <w:bookmarkStart w:id="21" w:name="_Toc433749770"/>
      <w:bookmarkStart w:id="22" w:name="_Toc433750039"/>
      <w:bookmarkStart w:id="23" w:name="_Toc433791557"/>
      <w:bookmarkStart w:id="24" w:name="_Toc433791852"/>
      <w:bookmarkStart w:id="25" w:name="_Toc433800111"/>
      <w:bookmarkStart w:id="26" w:name="_Toc433802903"/>
      <w:bookmarkStart w:id="27" w:name="_Toc433896702"/>
      <w:bookmarkStart w:id="28" w:name="_Toc433897126"/>
      <w:bookmarkStart w:id="29" w:name="_Toc433900608"/>
      <w:bookmarkStart w:id="30" w:name="_Toc433901032"/>
      <w:bookmarkStart w:id="31" w:name="_Toc433902670"/>
      <w:bookmarkStart w:id="32" w:name="_Toc433903095"/>
      <w:bookmarkStart w:id="33" w:name="_Toc433903521"/>
      <w:bookmarkStart w:id="34" w:name="_Toc433923170"/>
      <w:bookmarkStart w:id="35" w:name="_Toc433926921"/>
      <w:bookmarkStart w:id="36" w:name="_Toc433927353"/>
      <w:bookmarkStart w:id="37" w:name="_Toc445809518"/>
      <w:bookmarkStart w:id="38" w:name="_Toc445809956"/>
      <w:bookmarkStart w:id="39" w:name="_Toc445810783"/>
      <w:bookmarkStart w:id="40" w:name="_Toc445811173"/>
      <w:bookmarkStart w:id="41" w:name="_Toc445813456"/>
      <w:bookmarkStart w:id="42" w:name="_Toc445813848"/>
      <w:bookmarkStart w:id="43" w:name="_Toc445814552"/>
      <w:bookmarkStart w:id="44" w:name="_Toc445814982"/>
      <w:bookmarkStart w:id="45" w:name="_Toc445815850"/>
      <w:bookmarkStart w:id="46" w:name="_Toc445816279"/>
      <w:bookmarkStart w:id="47" w:name="_Toc445816709"/>
      <w:bookmarkStart w:id="48" w:name="_Toc445817140"/>
      <w:bookmarkStart w:id="49" w:name="_Toc445817572"/>
      <w:bookmarkStart w:id="50" w:name="_Toc445819579"/>
      <w:bookmarkStart w:id="51" w:name="_Toc445820169"/>
      <w:bookmarkStart w:id="52" w:name="_Toc445900615"/>
      <w:bookmarkStart w:id="53" w:name="_Toc445901537"/>
      <w:bookmarkStart w:id="54" w:name="_Toc445902012"/>
      <w:bookmarkStart w:id="55" w:name="_Toc445902486"/>
      <w:bookmarkStart w:id="56" w:name="_Toc445903638"/>
      <w:bookmarkStart w:id="57" w:name="_Toc445987725"/>
      <w:bookmarkStart w:id="58" w:name="_Toc446073611"/>
      <w:bookmarkStart w:id="59" w:name="_Toc446319445"/>
      <w:bookmarkStart w:id="60" w:name="_Toc446320053"/>
      <w:bookmarkStart w:id="61" w:name="_Toc450897584"/>
      <w:bookmarkStart w:id="62" w:name="_Toc450904968"/>
      <w:bookmarkStart w:id="63" w:name="_Toc450905444"/>
      <w:bookmarkStart w:id="64" w:name="_Toc450906116"/>
      <w:bookmarkStart w:id="65" w:name="_Toc450906592"/>
      <w:bookmarkStart w:id="66" w:name="_Toc450907240"/>
      <w:bookmarkStart w:id="67" w:name="_Toc450907953"/>
      <w:bookmarkStart w:id="68" w:name="_Toc450908387"/>
      <w:bookmarkStart w:id="69" w:name="_Toc450908824"/>
      <w:bookmarkStart w:id="70" w:name="_Toc450909272"/>
      <w:bookmarkStart w:id="71" w:name="_Toc450909724"/>
      <w:bookmarkStart w:id="72" w:name="_Toc450910177"/>
      <w:bookmarkStart w:id="73" w:name="_Toc451152451"/>
      <w:bookmarkStart w:id="74" w:name="_Toc451158459"/>
      <w:bookmarkStart w:id="75" w:name="_Toc451161184"/>
      <w:bookmarkStart w:id="76" w:name="_Toc451161941"/>
      <w:bookmarkStart w:id="77" w:name="_Toc451167243"/>
      <w:bookmarkStart w:id="78" w:name="_Toc451168000"/>
      <w:bookmarkStart w:id="79" w:name="_Toc451168477"/>
      <w:bookmarkStart w:id="80" w:name="_Toc451168954"/>
      <w:bookmarkStart w:id="81" w:name="_Toc451776654"/>
      <w:bookmarkStart w:id="82" w:name="_Toc474822617"/>
      <w:bookmarkStart w:id="83" w:name="_Toc474831449"/>
      <w:bookmarkStart w:id="84" w:name="_Toc474857811"/>
      <w:bookmarkStart w:id="85" w:name="_Toc474929463"/>
      <w:bookmarkStart w:id="86" w:name="_Toc476733711"/>
      <w:bookmarkStart w:id="87" w:name="_Toc481656765"/>
      <w:bookmarkStart w:id="88" w:name="_Toc506208663"/>
      <w:bookmarkStart w:id="89" w:name="_Toc506278885"/>
      <w:bookmarkStart w:id="90" w:name="_Toc506359959"/>
      <w:bookmarkStart w:id="91" w:name="_Toc506378357"/>
      <w:bookmarkStart w:id="92" w:name="_Toc506450102"/>
      <w:bookmarkStart w:id="93" w:name="_Toc506462168"/>
      <w:bookmarkStart w:id="94" w:name="_Toc512425452"/>
      <w:bookmarkStart w:id="95" w:name="_Toc512435002"/>
      <w:bookmarkStart w:id="96" w:name="_Toc512851066"/>
      <w:bookmarkStart w:id="97" w:name="_Toc512852021"/>
      <w:bookmarkStart w:id="98" w:name="_Toc512868494"/>
      <w:bookmarkStart w:id="99" w:name="_Toc513443274"/>
      <w:bookmarkStart w:id="100" w:name="_Toc513461243"/>
      <w:bookmarkStart w:id="101" w:name="_Toc533155596"/>
      <w:bookmarkStart w:id="102" w:name="_Toc533402046"/>
      <w:bookmarkStart w:id="103" w:name="_Toc533155597"/>
      <w:bookmarkStart w:id="104" w:name="_Toc533402047"/>
      <w:bookmarkStart w:id="105" w:name="_Toc20841282"/>
      <w:bookmarkStart w:id="106" w:name="_Toc20841388"/>
      <w:bookmarkStart w:id="107" w:name="_Toc3913325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6414E6">
        <w:lastRenderedPageBreak/>
        <w:t>1</w:t>
      </w:r>
      <w:r w:rsidR="000E5653" w:rsidRPr="006414E6">
        <w:t>.</w:t>
      </w:r>
      <w:r w:rsidR="00717FC0" w:rsidRPr="006414E6">
        <w:tab/>
      </w:r>
      <w:r w:rsidR="009A2FAA" w:rsidRPr="006414E6">
        <w:t>PREGLED I PROCES RAZVOJA STRATEGIJE</w:t>
      </w:r>
      <w:bookmarkEnd w:id="105"/>
      <w:bookmarkEnd w:id="106"/>
      <w:bookmarkEnd w:id="107"/>
      <w:r w:rsidR="009A2FAA" w:rsidRPr="006414E6">
        <w:t xml:space="preserve"> </w:t>
      </w:r>
    </w:p>
    <w:p w14:paraId="0B3A461B" w14:textId="77777777" w:rsidR="009A2FAA" w:rsidRPr="006414E6" w:rsidRDefault="00B251B2" w:rsidP="00EE3488">
      <w:pPr>
        <w:pStyle w:val="Heading2"/>
      </w:pPr>
      <w:bookmarkStart w:id="108" w:name="_Toc20841283"/>
      <w:bookmarkStart w:id="109" w:name="_Toc20841389"/>
      <w:bookmarkStart w:id="110" w:name="_Toc39133253"/>
      <w:r w:rsidRPr="006414E6">
        <w:t>1</w:t>
      </w:r>
      <w:r w:rsidR="009A2FAA" w:rsidRPr="006414E6">
        <w:t>.1.</w:t>
      </w:r>
      <w:r w:rsidR="009A2FAA" w:rsidRPr="006414E6">
        <w:tab/>
        <w:t>SAŽETAK</w:t>
      </w:r>
      <w:bookmarkEnd w:id="108"/>
      <w:bookmarkEnd w:id="109"/>
      <w:bookmarkEnd w:id="110"/>
    </w:p>
    <w:p w14:paraId="7B3E4EFA" w14:textId="77777777" w:rsidR="00775D7A" w:rsidRPr="006414E6" w:rsidRDefault="00775D7A" w:rsidP="00775D7A">
      <w:pPr>
        <w:rPr>
          <w:rFonts w:cs="Times New Roman"/>
          <w:i/>
          <w:u w:val="single"/>
        </w:rPr>
      </w:pPr>
      <w:r w:rsidRPr="006414E6">
        <w:rPr>
          <w:rFonts w:cs="Times New Roman"/>
          <w:i/>
          <w:u w:val="single"/>
        </w:rPr>
        <w:t xml:space="preserve">Pravna osnova za izradu Strategije </w:t>
      </w:r>
      <w:proofErr w:type="spellStart"/>
      <w:r w:rsidRPr="006414E6">
        <w:rPr>
          <w:rFonts w:cs="Times New Roman"/>
          <w:i/>
          <w:u w:val="single"/>
        </w:rPr>
        <w:t>niskougljičnog</w:t>
      </w:r>
      <w:proofErr w:type="spellEnd"/>
      <w:r w:rsidRPr="006414E6">
        <w:rPr>
          <w:rFonts w:cs="Times New Roman"/>
          <w:i/>
          <w:u w:val="single"/>
        </w:rPr>
        <w:t xml:space="preserve"> razvoja Republike Hrvatske </w:t>
      </w:r>
    </w:p>
    <w:p w14:paraId="6C3E3700" w14:textId="77777777" w:rsidR="00775D7A" w:rsidRPr="006414E6" w:rsidRDefault="00775D7A" w:rsidP="00775D7A">
      <w:pPr>
        <w:rPr>
          <w:rFonts w:cs="Times New Roman"/>
        </w:rPr>
      </w:pPr>
      <w:r w:rsidRPr="006414E6">
        <w:rPr>
          <w:rFonts w:cs="Times New Roman"/>
        </w:rPr>
        <w:t xml:space="preserve">Globalna promjena klime danas je jedan od najvećih izazova čovječanstva. Znanstveno je utvrđeno da su vodeći uzroci promjene klime povećana emisija stakleničkih plinova, najviše kao posljedica izgaranja fosilnih goriva i intenzivne poljoprivrede te sječa tropskih šuma. </w:t>
      </w:r>
    </w:p>
    <w:p w14:paraId="4F67810D" w14:textId="77777777" w:rsidR="00775D7A" w:rsidRPr="006414E6" w:rsidRDefault="00775D7A" w:rsidP="00775D7A">
      <w:pPr>
        <w:rPr>
          <w:rFonts w:cs="Times New Roman"/>
        </w:rPr>
      </w:pPr>
      <w:r w:rsidRPr="006414E6">
        <w:rPr>
          <w:rFonts w:cs="Times New Roman"/>
        </w:rPr>
        <w:t xml:space="preserve">Žurna potreba djelovanja na ublažavanju klimatskih promjena prepoznata je na globalnoj razini i Republika Hrvatska treba im pridonijeti u najvećoj mogućoj mjeri smanjenjem emisije stakleničkih plinova. </w:t>
      </w:r>
    </w:p>
    <w:p w14:paraId="23BBE5F1" w14:textId="77777777" w:rsidR="00775D7A" w:rsidRPr="006414E6" w:rsidRDefault="00775D7A" w:rsidP="00775D7A">
      <w:pPr>
        <w:rPr>
          <w:rFonts w:cs="Times New Roman"/>
        </w:rPr>
      </w:pPr>
      <w:r w:rsidRPr="006414E6">
        <w:rPr>
          <w:rFonts w:cs="Times New Roman"/>
        </w:rPr>
        <w:t>Zakon o klimatskim promjenama i zaštiti ozonskog sloja (Narodne novine, br</w:t>
      </w:r>
      <w:r w:rsidR="00BD296A" w:rsidRPr="006414E6">
        <w:rPr>
          <w:rFonts w:cs="Times New Roman"/>
        </w:rPr>
        <w:t>oj</w:t>
      </w:r>
      <w:r w:rsidRPr="006414E6">
        <w:rPr>
          <w:rFonts w:cs="Times New Roman"/>
        </w:rPr>
        <w:t xml:space="preserve"> 127/</w:t>
      </w:r>
      <w:r w:rsidR="00E4595E" w:rsidRPr="006414E6">
        <w:rPr>
          <w:rFonts w:cs="Times New Roman"/>
        </w:rPr>
        <w:t>20</w:t>
      </w:r>
      <w:r w:rsidRPr="006414E6">
        <w:rPr>
          <w:rFonts w:cs="Times New Roman"/>
        </w:rPr>
        <w:t>19</w:t>
      </w:r>
      <w:r w:rsidR="00E4595E" w:rsidRPr="006414E6">
        <w:rPr>
          <w:rFonts w:cs="Times New Roman"/>
        </w:rPr>
        <w:t>.</w:t>
      </w:r>
      <w:r w:rsidRPr="006414E6">
        <w:rPr>
          <w:rFonts w:cs="Times New Roman"/>
        </w:rPr>
        <w:t xml:space="preserve">) postavlja obvezu izrade Strategije </w:t>
      </w:r>
      <w:proofErr w:type="spellStart"/>
      <w:r w:rsidRPr="006414E6">
        <w:rPr>
          <w:rFonts w:cs="Times New Roman"/>
        </w:rPr>
        <w:t>niskougljičnog</w:t>
      </w:r>
      <w:proofErr w:type="spellEnd"/>
      <w:r w:rsidRPr="006414E6">
        <w:rPr>
          <w:rFonts w:cs="Times New Roman"/>
        </w:rPr>
        <w:t xml:space="preserve"> razvoja Republike Hrvatske do 2030. s pogledom na 2050. godinu (dalje u testu: </w:t>
      </w:r>
      <w:proofErr w:type="spellStart"/>
      <w:r w:rsidRPr="006414E6">
        <w:rPr>
          <w:rFonts w:cs="Times New Roman"/>
        </w:rPr>
        <w:t>Niskougljična</w:t>
      </w:r>
      <w:proofErr w:type="spellEnd"/>
      <w:r w:rsidRPr="006414E6">
        <w:rPr>
          <w:rFonts w:cs="Times New Roman"/>
        </w:rPr>
        <w:t xml:space="preserve"> strategija) i Akcijskog plana za provedbu </w:t>
      </w:r>
      <w:proofErr w:type="spellStart"/>
      <w:r w:rsidRPr="006414E6">
        <w:rPr>
          <w:rFonts w:cs="Times New Roman"/>
        </w:rPr>
        <w:t>Niskougljične</w:t>
      </w:r>
      <w:proofErr w:type="spellEnd"/>
      <w:r w:rsidRPr="006414E6">
        <w:rPr>
          <w:rFonts w:cs="Times New Roman"/>
        </w:rPr>
        <w:t xml:space="preserve"> strategije za razdoblje od pet godina. </w:t>
      </w:r>
    </w:p>
    <w:p w14:paraId="7A7120AB" w14:textId="77777777" w:rsidR="00775D7A" w:rsidRPr="006414E6" w:rsidRDefault="00775D7A" w:rsidP="00775D7A">
      <w:pPr>
        <w:rPr>
          <w:rFonts w:cs="Times New Roman"/>
        </w:rPr>
      </w:pPr>
      <w:r w:rsidRPr="006414E6">
        <w:rPr>
          <w:rFonts w:cs="Times New Roman"/>
        </w:rPr>
        <w:t xml:space="preserve">Svrha je </w:t>
      </w:r>
      <w:proofErr w:type="spellStart"/>
      <w:r w:rsidRPr="006414E6">
        <w:rPr>
          <w:rFonts w:cs="Times New Roman"/>
        </w:rPr>
        <w:t>Niskougljične</w:t>
      </w:r>
      <w:proofErr w:type="spellEnd"/>
      <w:r w:rsidRPr="006414E6">
        <w:rPr>
          <w:rFonts w:cs="Times New Roman"/>
        </w:rPr>
        <w:t xml:space="preserve"> strategije dugoročno usmjeriti gospodarski i socijalni razvoj prema društvu s niskim emisijama stakleničkih plinova. </w:t>
      </w:r>
    </w:p>
    <w:p w14:paraId="3BC67CBA" w14:textId="77777777" w:rsidR="00A2797C" w:rsidRPr="006414E6" w:rsidRDefault="00775D7A" w:rsidP="00775D7A">
      <w:pPr>
        <w:rPr>
          <w:rFonts w:cs="Times New Roman"/>
        </w:rPr>
      </w:pPr>
      <w:proofErr w:type="spellStart"/>
      <w:r w:rsidRPr="006414E6">
        <w:rPr>
          <w:rFonts w:cs="Times New Roman"/>
        </w:rPr>
        <w:t>Niskougljičnu</w:t>
      </w:r>
      <w:proofErr w:type="spellEnd"/>
      <w:r w:rsidRPr="006414E6">
        <w:rPr>
          <w:rFonts w:cs="Times New Roman"/>
        </w:rPr>
        <w:t xml:space="preserve"> strategiju donosi Hrvatski sabor, na prijedlog Vlade Republike Hrvatske. Akcijski plan za provedbu </w:t>
      </w:r>
      <w:proofErr w:type="spellStart"/>
      <w:r w:rsidRPr="006414E6">
        <w:rPr>
          <w:rFonts w:cs="Times New Roman"/>
        </w:rPr>
        <w:t>Niskougljične</w:t>
      </w:r>
      <w:proofErr w:type="spellEnd"/>
      <w:r w:rsidRPr="006414E6">
        <w:rPr>
          <w:rFonts w:cs="Times New Roman"/>
        </w:rPr>
        <w:t xml:space="preserve"> strategije za razdoblje od pet godina donosi Vlada Republike Hrvatske</w:t>
      </w:r>
      <w:r w:rsidR="00BD296A" w:rsidRPr="006414E6">
        <w:rPr>
          <w:rFonts w:cs="Times New Roman"/>
        </w:rPr>
        <w:t>,</w:t>
      </w:r>
      <w:r w:rsidRPr="006414E6">
        <w:rPr>
          <w:rFonts w:cs="Times New Roman"/>
        </w:rPr>
        <w:t xml:space="preserve"> na prijedlog tijela državne uprave nadležnog za zaštitu okoliša. </w:t>
      </w:r>
    </w:p>
    <w:p w14:paraId="0006473A" w14:textId="77777777" w:rsidR="0068061D" w:rsidRPr="006414E6" w:rsidRDefault="0068061D" w:rsidP="00775D7A">
      <w:pPr>
        <w:rPr>
          <w:rFonts w:cs="Times New Roman"/>
        </w:rPr>
      </w:pPr>
      <w:r w:rsidRPr="006414E6">
        <w:rPr>
          <w:rFonts w:cs="Times New Roman"/>
        </w:rPr>
        <w:t>Prema Zakonu o sustavu strateškog planiranja i upravljanju razvojem Republike Hrvatske (N</w:t>
      </w:r>
      <w:r w:rsidR="00BF3651" w:rsidRPr="006414E6">
        <w:rPr>
          <w:rFonts w:cs="Times New Roman"/>
        </w:rPr>
        <w:t>arodne novine, broj</w:t>
      </w:r>
      <w:r w:rsidRPr="006414E6">
        <w:rPr>
          <w:rFonts w:cs="Times New Roman"/>
        </w:rPr>
        <w:t xml:space="preserve"> 123/</w:t>
      </w:r>
      <w:r w:rsidR="00E4595E" w:rsidRPr="006414E6">
        <w:rPr>
          <w:rFonts w:cs="Times New Roman"/>
        </w:rPr>
        <w:t>20</w:t>
      </w:r>
      <w:r w:rsidRPr="006414E6">
        <w:rPr>
          <w:rFonts w:cs="Times New Roman"/>
        </w:rPr>
        <w:t>17</w:t>
      </w:r>
      <w:r w:rsidR="00E4595E" w:rsidRPr="006414E6">
        <w:rPr>
          <w:rFonts w:cs="Times New Roman"/>
        </w:rPr>
        <w:t>.</w:t>
      </w:r>
      <w:r w:rsidRPr="006414E6">
        <w:rPr>
          <w:rFonts w:cs="Times New Roman"/>
        </w:rPr>
        <w:t xml:space="preserve">), </w:t>
      </w:r>
      <w:proofErr w:type="spellStart"/>
      <w:r w:rsidRPr="006414E6">
        <w:rPr>
          <w:rFonts w:cs="Times New Roman"/>
        </w:rPr>
        <w:t>Niskougljična</w:t>
      </w:r>
      <w:proofErr w:type="spellEnd"/>
      <w:r w:rsidRPr="006414E6">
        <w:rPr>
          <w:rFonts w:cs="Times New Roman"/>
        </w:rPr>
        <w:t xml:space="preserve"> strategija je nacionalna, dugoročna i višesektorska strategija, te je kao takva u hijerarhijskom redu ispod Nacionalne razvojne strategije. Nacionalni razvojni dokumenti i razvojni dokumenti pojedinih područja i djelatnosti moraju biti usklađeni s načelima, osnovnim ciljevima, prioritetima i mjerama utvrđenim u </w:t>
      </w:r>
      <w:proofErr w:type="spellStart"/>
      <w:r w:rsidRPr="006414E6">
        <w:rPr>
          <w:rFonts w:cs="Times New Roman"/>
        </w:rPr>
        <w:t>Niskougljičnoj</w:t>
      </w:r>
      <w:proofErr w:type="spellEnd"/>
      <w:r w:rsidRPr="006414E6">
        <w:rPr>
          <w:rFonts w:cs="Times New Roman"/>
        </w:rPr>
        <w:t xml:space="preserve"> strategiji.</w:t>
      </w:r>
    </w:p>
    <w:p w14:paraId="3EECC179" w14:textId="77777777" w:rsidR="00A2797C" w:rsidRPr="006414E6" w:rsidRDefault="00A2797C" w:rsidP="00775D7A">
      <w:pPr>
        <w:rPr>
          <w:rFonts w:cs="Times New Roman"/>
        </w:rPr>
      </w:pPr>
      <w:r w:rsidRPr="006414E6">
        <w:rPr>
          <w:rFonts w:cs="Times New Roman"/>
        </w:rPr>
        <w:t xml:space="preserve">Prema potrebi, </w:t>
      </w:r>
      <w:proofErr w:type="spellStart"/>
      <w:r w:rsidRPr="006414E6">
        <w:rPr>
          <w:rFonts w:cs="Times New Roman"/>
        </w:rPr>
        <w:t>Niskougljična</w:t>
      </w:r>
      <w:proofErr w:type="spellEnd"/>
      <w:r w:rsidRPr="006414E6">
        <w:rPr>
          <w:rFonts w:cs="Times New Roman"/>
        </w:rPr>
        <w:t xml:space="preserve"> strategija ažurira se svakih pet godina.</w:t>
      </w:r>
    </w:p>
    <w:p w14:paraId="3FCDB6B4" w14:textId="77777777" w:rsidR="006D31EC" w:rsidRPr="006414E6" w:rsidRDefault="006D31EC" w:rsidP="006D31EC">
      <w:pPr>
        <w:rPr>
          <w:rFonts w:cs="Times New Roman"/>
          <w:b/>
          <w:i/>
          <w:u w:val="single"/>
        </w:rPr>
      </w:pPr>
      <w:r w:rsidRPr="006414E6">
        <w:rPr>
          <w:rFonts w:cs="Times New Roman"/>
          <w:b/>
          <w:i/>
          <w:u w:val="single"/>
        </w:rPr>
        <w:t xml:space="preserve">Postupak izrade strategije </w:t>
      </w:r>
    </w:p>
    <w:p w14:paraId="25FA5C80" w14:textId="709A354B" w:rsidR="005C6F36" w:rsidRPr="006414E6" w:rsidRDefault="006D31EC" w:rsidP="006D31EC">
      <w:pPr>
        <w:rPr>
          <w:rFonts w:eastAsia="Calibri" w:cs="Times New Roman"/>
        </w:rPr>
      </w:pPr>
      <w:proofErr w:type="spellStart"/>
      <w:r w:rsidRPr="006414E6">
        <w:rPr>
          <w:rFonts w:cs="Times New Roman"/>
        </w:rPr>
        <w:t>Niskougljična</w:t>
      </w:r>
      <w:proofErr w:type="spellEnd"/>
      <w:r w:rsidRPr="006414E6">
        <w:rPr>
          <w:rFonts w:cs="Times New Roman"/>
        </w:rPr>
        <w:t xml:space="preserve"> strategija) </w:t>
      </w:r>
      <w:r w:rsidRPr="006414E6">
        <w:rPr>
          <w:rFonts w:eastAsia="Calibri" w:cs="Times New Roman"/>
        </w:rPr>
        <w:t xml:space="preserve">izrađena je </w:t>
      </w:r>
      <w:r w:rsidR="005C6F36" w:rsidRPr="006414E6">
        <w:rPr>
          <w:rFonts w:eastAsia="Calibri" w:cs="Times New Roman"/>
        </w:rPr>
        <w:t xml:space="preserve">na </w:t>
      </w:r>
      <w:r w:rsidR="007F412A" w:rsidRPr="006414E6">
        <w:rPr>
          <w:rFonts w:cs="Times New Roman"/>
        </w:rPr>
        <w:t xml:space="preserve">uključiv, </w:t>
      </w:r>
      <w:r w:rsidR="005C6F36" w:rsidRPr="006414E6">
        <w:rPr>
          <w:rFonts w:eastAsia="Calibri" w:cs="Times New Roman"/>
        </w:rPr>
        <w:t xml:space="preserve">način </w:t>
      </w:r>
      <w:r w:rsidRPr="006414E6">
        <w:rPr>
          <w:rFonts w:eastAsia="Calibri" w:cs="Times New Roman"/>
        </w:rPr>
        <w:t>kroz četiri koraka</w:t>
      </w:r>
      <w:r w:rsidR="005C6F36" w:rsidRPr="006414E6">
        <w:rPr>
          <w:rFonts w:eastAsia="Calibri" w:cs="Times New Roman"/>
        </w:rPr>
        <w:t>.</w:t>
      </w:r>
      <w:r w:rsidRPr="006414E6">
        <w:rPr>
          <w:rFonts w:eastAsia="Calibri" w:cs="Times New Roman"/>
        </w:rPr>
        <w:t xml:space="preserve"> </w:t>
      </w:r>
    </w:p>
    <w:p w14:paraId="00CD11E8" w14:textId="77777777" w:rsidR="0036132D" w:rsidRPr="006414E6" w:rsidRDefault="006D31EC" w:rsidP="006D31EC">
      <w:pPr>
        <w:rPr>
          <w:rFonts w:cs="Times New Roman"/>
        </w:rPr>
      </w:pPr>
      <w:r w:rsidRPr="006414E6">
        <w:rPr>
          <w:rFonts w:cs="Times New Roman"/>
          <w:b/>
        </w:rPr>
        <w:t>Prvi korak</w:t>
      </w:r>
      <w:r w:rsidRPr="006414E6">
        <w:rPr>
          <w:rFonts w:cs="Times New Roman"/>
        </w:rPr>
        <w:t xml:space="preserve"> započeo je 2012. godine kroz </w:t>
      </w:r>
      <w:proofErr w:type="spellStart"/>
      <w:r w:rsidRPr="006414E6">
        <w:rPr>
          <w:rFonts w:cs="Times New Roman"/>
        </w:rPr>
        <w:t>LEDS</w:t>
      </w:r>
      <w:proofErr w:type="spellEnd"/>
      <w:r w:rsidRPr="006414E6">
        <w:rPr>
          <w:rFonts w:cs="Times New Roman"/>
        </w:rPr>
        <w:t xml:space="preserve"> projekt (eng. </w:t>
      </w:r>
      <w:r w:rsidRPr="006414E6">
        <w:rPr>
          <w:rFonts w:cs="Times New Roman"/>
          <w:i/>
          <w:lang w:val="en-GB"/>
        </w:rPr>
        <w:t>Low Emission Development Strategies</w:t>
      </w:r>
      <w:r w:rsidRPr="006414E6">
        <w:rPr>
          <w:rFonts w:cs="Times New Roman"/>
        </w:rPr>
        <w:t xml:space="preserve">) Ministarstva zaštite okoliša i prirode u partnerstvu s Programom Ujedinjenih naroda za razvoj (UNDP), čime je </w:t>
      </w:r>
      <w:r w:rsidR="005C6F36" w:rsidRPr="006414E6">
        <w:rPr>
          <w:rFonts w:cs="Times New Roman"/>
        </w:rPr>
        <w:t xml:space="preserve">kroz niz sektorskih radionica </w:t>
      </w:r>
      <w:r w:rsidRPr="006414E6">
        <w:rPr>
          <w:rFonts w:cs="Times New Roman"/>
        </w:rPr>
        <w:t xml:space="preserve">izrađen </w:t>
      </w:r>
      <w:r w:rsidR="005C6F36" w:rsidRPr="006414E6">
        <w:rPr>
          <w:rFonts w:cs="Times New Roman"/>
        </w:rPr>
        <w:t>Okvir za izradu Strategije nisko-ugljičnog razvoja Hrvatske (LEDS)</w:t>
      </w:r>
      <w:r w:rsidRPr="006414E6">
        <w:rPr>
          <w:rFonts w:cs="Times New Roman"/>
        </w:rPr>
        <w:t xml:space="preserve">. </w:t>
      </w:r>
    </w:p>
    <w:p w14:paraId="39825C1A" w14:textId="77777777" w:rsidR="005C6F36" w:rsidRPr="006414E6" w:rsidRDefault="005C6F36" w:rsidP="005C6F36">
      <w:pPr>
        <w:rPr>
          <w:rFonts w:cs="Times New Roman"/>
        </w:rPr>
      </w:pPr>
      <w:r w:rsidRPr="006414E6">
        <w:rPr>
          <w:rFonts w:cs="Times New Roman"/>
        </w:rPr>
        <w:t>U</w:t>
      </w:r>
      <w:r w:rsidRPr="006414E6">
        <w:rPr>
          <w:rFonts w:cs="Times New Roman"/>
          <w:b/>
        </w:rPr>
        <w:t xml:space="preserve"> drugom koraku</w:t>
      </w:r>
      <w:r w:rsidRPr="006414E6">
        <w:rPr>
          <w:rFonts w:cs="Times New Roman"/>
        </w:rPr>
        <w:t xml:space="preserve">, od 2014. do 2015. godine, uz sudjelovanje mnogobrojnih institucija izrađene su stručne podloge čiji su rezultat bile Zelena knjiga (detaljne tehničke analize ciljeva, mjera, scenarija i utjecaja) i Bijela knjiga (nacrt </w:t>
      </w:r>
      <w:proofErr w:type="spellStart"/>
      <w:r w:rsidRPr="006414E6">
        <w:rPr>
          <w:rFonts w:cs="Times New Roman"/>
        </w:rPr>
        <w:t>Niskougljične</w:t>
      </w:r>
      <w:proofErr w:type="spellEnd"/>
      <w:r w:rsidRPr="006414E6">
        <w:rPr>
          <w:rFonts w:cs="Times New Roman"/>
        </w:rPr>
        <w:t xml:space="preserve"> strategije). Prilikom izrade stručnih podloga održan je niz sektorskih radionica i javnih izlaganja, kako bi se stručna i zainteresirana javnosti uključila u izradu stručnih podloga.</w:t>
      </w:r>
    </w:p>
    <w:p w14:paraId="76AAB73B" w14:textId="77777777" w:rsidR="005C6F36" w:rsidRPr="006414E6" w:rsidRDefault="005C6F36" w:rsidP="005C6F36">
      <w:pPr>
        <w:rPr>
          <w:rFonts w:cs="Times New Roman"/>
        </w:rPr>
      </w:pPr>
      <w:r w:rsidRPr="006414E6">
        <w:rPr>
          <w:rFonts w:cs="Times New Roman"/>
        </w:rPr>
        <w:t>U</w:t>
      </w:r>
      <w:r w:rsidRPr="006414E6">
        <w:rPr>
          <w:rFonts w:cs="Times New Roman"/>
          <w:b/>
        </w:rPr>
        <w:t xml:space="preserve"> trećem koraku</w:t>
      </w:r>
      <w:r w:rsidRPr="006414E6">
        <w:rPr>
          <w:rFonts w:cs="Times New Roman"/>
        </w:rPr>
        <w:t xml:space="preserve">, od 2016. do 2017. godine, provedeni su novi proračuni i </w:t>
      </w:r>
      <w:proofErr w:type="spellStart"/>
      <w:r w:rsidRPr="006414E6">
        <w:rPr>
          <w:rFonts w:cs="Times New Roman"/>
        </w:rPr>
        <w:t>novelacija</w:t>
      </w:r>
      <w:proofErr w:type="spellEnd"/>
      <w:r w:rsidRPr="006414E6">
        <w:rPr>
          <w:rFonts w:cs="Times New Roman"/>
        </w:rPr>
        <w:t xml:space="preserve"> </w:t>
      </w:r>
      <w:proofErr w:type="spellStart"/>
      <w:r w:rsidRPr="006414E6">
        <w:rPr>
          <w:rFonts w:cs="Times New Roman"/>
        </w:rPr>
        <w:t>niskougljičnih</w:t>
      </w:r>
      <w:proofErr w:type="spellEnd"/>
      <w:r w:rsidRPr="006414E6">
        <w:rPr>
          <w:rFonts w:cs="Times New Roman"/>
        </w:rPr>
        <w:t xml:space="preserve"> scenarija. Razlog su bile promjene u povijesnom nizu podataka, </w:t>
      </w:r>
      <w:proofErr w:type="spellStart"/>
      <w:r w:rsidRPr="006414E6">
        <w:rPr>
          <w:rFonts w:cs="Times New Roman"/>
        </w:rPr>
        <w:t>novelacija</w:t>
      </w:r>
      <w:proofErr w:type="spellEnd"/>
      <w:r w:rsidRPr="006414E6">
        <w:rPr>
          <w:rFonts w:cs="Times New Roman"/>
        </w:rPr>
        <w:t xml:space="preserve"> cijena goriva i tehnologija te nove pretpostavke razvojnih politika. U konzultacijama s relevantnim ministarstvima napravljena je druga revizija Bijele knjige, odnosno prijedlog </w:t>
      </w:r>
      <w:proofErr w:type="spellStart"/>
      <w:r w:rsidRPr="006414E6">
        <w:rPr>
          <w:rFonts w:cs="Times New Roman"/>
        </w:rPr>
        <w:t>Niskougljične</w:t>
      </w:r>
      <w:proofErr w:type="spellEnd"/>
      <w:r w:rsidRPr="006414E6">
        <w:rPr>
          <w:rFonts w:cs="Times New Roman"/>
        </w:rPr>
        <w:t xml:space="preserve"> strategije. Započeo je postupak strateške procjene utjecaja na okoliš s glavnom ocjenom prihvatljivosti za ekološku mrežu te je provedeno javno </w:t>
      </w:r>
      <w:r w:rsidRPr="006414E6">
        <w:rPr>
          <w:rFonts w:cs="Times New Roman"/>
        </w:rPr>
        <w:lastRenderedPageBreak/>
        <w:t xml:space="preserve">savjetovanje o prijedlogu </w:t>
      </w:r>
      <w:proofErr w:type="spellStart"/>
      <w:r w:rsidRPr="006414E6">
        <w:rPr>
          <w:rFonts w:cs="Times New Roman"/>
        </w:rPr>
        <w:t>Niskougljične</w:t>
      </w:r>
      <w:proofErr w:type="spellEnd"/>
      <w:r w:rsidRPr="006414E6">
        <w:rPr>
          <w:rFonts w:cs="Times New Roman"/>
        </w:rPr>
        <w:t xml:space="preserve"> strategije i Strateškoj studiji utjecaja na okoliš </w:t>
      </w:r>
      <w:proofErr w:type="spellStart"/>
      <w:r w:rsidR="00BE6D7E" w:rsidRPr="006414E6">
        <w:rPr>
          <w:rFonts w:cs="Times New Roman"/>
        </w:rPr>
        <w:t>Niskougljične</w:t>
      </w:r>
      <w:proofErr w:type="spellEnd"/>
      <w:r w:rsidR="00BE6D7E" w:rsidRPr="006414E6">
        <w:rPr>
          <w:rFonts w:cs="Times New Roman"/>
        </w:rPr>
        <w:t xml:space="preserve"> strategije</w:t>
      </w:r>
      <w:r w:rsidR="00BD296A" w:rsidRPr="006414E6">
        <w:rPr>
          <w:rFonts w:cs="Times New Roman"/>
        </w:rPr>
        <w:t>.</w:t>
      </w:r>
    </w:p>
    <w:p w14:paraId="6C823BC9" w14:textId="77777777" w:rsidR="00BE6D7E" w:rsidRPr="006414E6" w:rsidRDefault="00BE6D7E" w:rsidP="00BE6D7E">
      <w:pPr>
        <w:rPr>
          <w:rFonts w:cs="Times New Roman"/>
        </w:rPr>
      </w:pPr>
      <w:r w:rsidRPr="006414E6">
        <w:rPr>
          <w:rFonts w:cs="Times New Roman"/>
        </w:rPr>
        <w:t xml:space="preserve">U </w:t>
      </w:r>
      <w:r w:rsidRPr="006414E6">
        <w:rPr>
          <w:rFonts w:cs="Times New Roman"/>
          <w:b/>
        </w:rPr>
        <w:t>četvrtom koraku,</w:t>
      </w:r>
      <w:r w:rsidRPr="006414E6">
        <w:rPr>
          <w:rFonts w:cs="Times New Roman"/>
        </w:rPr>
        <w:t xml:space="preserve"> tijekom 2019. godine, provedena je </w:t>
      </w:r>
      <w:proofErr w:type="spellStart"/>
      <w:r w:rsidRPr="006414E6">
        <w:rPr>
          <w:rFonts w:cs="Times New Roman"/>
        </w:rPr>
        <w:t>novelacija</w:t>
      </w:r>
      <w:proofErr w:type="spellEnd"/>
      <w:r w:rsidRPr="006414E6">
        <w:rPr>
          <w:rFonts w:cs="Times New Roman"/>
        </w:rPr>
        <w:t xml:space="preserve"> Bijele knjige, odnosno  prijedloga </w:t>
      </w:r>
      <w:proofErr w:type="spellStart"/>
      <w:r w:rsidRPr="006414E6">
        <w:rPr>
          <w:rFonts w:cs="Times New Roman"/>
        </w:rPr>
        <w:t>Niskougljične</w:t>
      </w:r>
      <w:proofErr w:type="spellEnd"/>
      <w:r w:rsidRPr="006414E6">
        <w:rPr>
          <w:rFonts w:cs="Times New Roman"/>
        </w:rPr>
        <w:t xml:space="preserve"> strategije usklađivanjem energetskih sektora sa Strategijom energetskog razvoja Republike Hrvatske do 2030. s pogledom </w:t>
      </w:r>
      <w:r w:rsidR="0053306E" w:rsidRPr="006414E6">
        <w:rPr>
          <w:rFonts w:cs="Times New Roman"/>
        </w:rPr>
        <w:t>na</w:t>
      </w:r>
      <w:r w:rsidRPr="006414E6">
        <w:rPr>
          <w:rFonts w:cs="Times New Roman"/>
        </w:rPr>
        <w:t xml:space="preserve"> 2050. godin</w:t>
      </w:r>
      <w:r w:rsidR="0053306E" w:rsidRPr="006414E6">
        <w:rPr>
          <w:rFonts w:cs="Times New Roman"/>
        </w:rPr>
        <w:t>u</w:t>
      </w:r>
      <w:r w:rsidRPr="006414E6">
        <w:rPr>
          <w:rFonts w:cs="Times New Roman"/>
        </w:rPr>
        <w:t xml:space="preserve"> (dalje u tekstu: Energetska strategija) i Integriranim </w:t>
      </w:r>
      <w:r w:rsidR="0053306E" w:rsidRPr="006414E6">
        <w:rPr>
          <w:rFonts w:cs="Times New Roman"/>
        </w:rPr>
        <w:t xml:space="preserve">nacionalnim </w:t>
      </w:r>
      <w:r w:rsidRPr="006414E6">
        <w:rPr>
          <w:rFonts w:cs="Times New Roman"/>
        </w:rPr>
        <w:t xml:space="preserve">energetskim i klimatskim planom za razdoblje od 2021. do 2030. godine te ažuriranjem referentnog i </w:t>
      </w:r>
      <w:proofErr w:type="spellStart"/>
      <w:r w:rsidRPr="006414E6">
        <w:rPr>
          <w:rFonts w:cs="Times New Roman"/>
        </w:rPr>
        <w:t>niskougljičnih</w:t>
      </w:r>
      <w:proofErr w:type="spellEnd"/>
      <w:r w:rsidRPr="006414E6">
        <w:rPr>
          <w:rFonts w:cs="Times New Roman"/>
        </w:rPr>
        <w:t xml:space="preserve"> scenarija ne-energetskih sektora. (industrijski procesi i uporaba proizvoda, poljoprivreda, otpad, korištenje zemljišta, prenamjene zemljišta i šumarstvo - LULUCF)</w:t>
      </w:r>
      <w:r w:rsidRPr="006414E6">
        <w:rPr>
          <w:rFonts w:eastAsia="Calibri" w:cs="Times New Roman"/>
        </w:rPr>
        <w:t>.</w:t>
      </w:r>
    </w:p>
    <w:p w14:paraId="3CBE9750" w14:textId="77777777" w:rsidR="006D31EC" w:rsidRPr="006414E6" w:rsidRDefault="006D31EC" w:rsidP="006D31EC">
      <w:pPr>
        <w:rPr>
          <w:rFonts w:cs="Times New Roman"/>
          <w:i/>
          <w:u w:val="single"/>
        </w:rPr>
      </w:pPr>
      <w:r w:rsidRPr="006414E6">
        <w:rPr>
          <w:rFonts w:cs="Times New Roman"/>
          <w:b/>
          <w:i/>
          <w:u w:val="single"/>
        </w:rPr>
        <w:t>Metodološki pristup</w:t>
      </w:r>
    </w:p>
    <w:p w14:paraId="34F8C6FE" w14:textId="77777777" w:rsidR="00380D3D" w:rsidRPr="006414E6" w:rsidRDefault="00380D3D" w:rsidP="00380D3D">
      <w:pPr>
        <w:rPr>
          <w:rFonts w:eastAsia="Calibri" w:cs="Times New Roman"/>
        </w:rPr>
      </w:pPr>
      <w:r w:rsidRPr="006414E6">
        <w:rPr>
          <w:rFonts w:eastAsia="Calibri" w:cs="Times New Roman"/>
        </w:rPr>
        <w:t xml:space="preserve">U izradi </w:t>
      </w:r>
      <w:proofErr w:type="spellStart"/>
      <w:r w:rsidRPr="006414E6">
        <w:rPr>
          <w:rFonts w:eastAsia="Calibri" w:cs="Times New Roman"/>
        </w:rPr>
        <w:t>Niskougljične</w:t>
      </w:r>
      <w:proofErr w:type="spellEnd"/>
      <w:r w:rsidRPr="006414E6">
        <w:rPr>
          <w:rFonts w:eastAsia="Calibri" w:cs="Times New Roman"/>
        </w:rPr>
        <w:t xml:space="preserve"> strategije analiziran je niz scenarija, primijenjeni su mnogobrojni modeli za simulacije i optimiranje, a razvijen je i integralni model za nacionalne projekcije stakleničkih plinova </w:t>
      </w:r>
      <w:proofErr w:type="spellStart"/>
      <w:r w:rsidRPr="006414E6">
        <w:rPr>
          <w:rFonts w:eastAsia="Calibri" w:cs="Times New Roman"/>
        </w:rPr>
        <w:t>NUSPCRO</w:t>
      </w:r>
      <w:proofErr w:type="spellEnd"/>
      <w:r w:rsidRPr="006414E6">
        <w:rPr>
          <w:rFonts w:eastAsia="Calibri" w:cs="Times New Roman"/>
        </w:rPr>
        <w:t xml:space="preserve"> (</w:t>
      </w:r>
      <w:proofErr w:type="spellStart"/>
      <w:r w:rsidRPr="006414E6">
        <w:rPr>
          <w:rFonts w:eastAsia="Calibri" w:cs="Times New Roman"/>
        </w:rPr>
        <w:t>Niskougljično</w:t>
      </w:r>
      <w:proofErr w:type="spellEnd"/>
      <w:r w:rsidRPr="006414E6">
        <w:rPr>
          <w:rFonts w:eastAsia="Calibri" w:cs="Times New Roman"/>
        </w:rPr>
        <w:t xml:space="preserve"> strateško planiranje Republike Hrvatske).Emisije stakleničkih plinova i projekcije iskazane su u skladu s metodologijom iz vodiča Međuvladinog panela za klimatske promjene iz 2006. godine (IPCC 2006) i odgovarajućih faktora stakleničkog potencijala za izračun ekvivalenata emisija CO</w:t>
      </w:r>
      <w:r w:rsidRPr="006414E6">
        <w:rPr>
          <w:rFonts w:eastAsia="Calibri" w:cs="Times New Roman"/>
          <w:vertAlign w:val="subscript"/>
        </w:rPr>
        <w:t>2</w:t>
      </w:r>
      <w:r w:rsidRPr="006414E6">
        <w:rPr>
          <w:rFonts w:eastAsia="Calibri" w:cs="Times New Roman"/>
        </w:rPr>
        <w:t>.</w:t>
      </w:r>
    </w:p>
    <w:p w14:paraId="07185ED9" w14:textId="77777777" w:rsidR="006D31EC" w:rsidRPr="006414E6" w:rsidRDefault="00380D3D" w:rsidP="006D31EC">
      <w:pPr>
        <w:rPr>
          <w:rFonts w:cs="Times New Roman"/>
          <w:b/>
          <w:i/>
          <w:u w:val="single"/>
        </w:rPr>
      </w:pPr>
      <w:r w:rsidRPr="006414E6">
        <w:rPr>
          <w:rFonts w:cs="Times New Roman"/>
          <w:b/>
          <w:i/>
          <w:u w:val="single"/>
        </w:rPr>
        <w:t>E</w:t>
      </w:r>
      <w:r w:rsidR="006D31EC" w:rsidRPr="006414E6">
        <w:rPr>
          <w:rFonts w:cs="Times New Roman"/>
          <w:b/>
          <w:i/>
          <w:u w:val="single"/>
        </w:rPr>
        <w:t xml:space="preserve">misija stakleničkih plinova </w:t>
      </w:r>
    </w:p>
    <w:p w14:paraId="637D4170" w14:textId="77777777" w:rsidR="006D31EC" w:rsidRPr="006414E6" w:rsidRDefault="0036132D" w:rsidP="006D31EC">
      <w:pPr>
        <w:rPr>
          <w:rFonts w:cs="Times New Roman"/>
        </w:rPr>
      </w:pPr>
      <w:r w:rsidRPr="006414E6">
        <w:rPr>
          <w:rFonts w:cs="Times New Roman"/>
        </w:rPr>
        <w:t>Ukupna emisija stakleničkih plinova, isključujući odlive, u 201</w:t>
      </w:r>
      <w:r w:rsidR="0053306E" w:rsidRPr="006414E6">
        <w:rPr>
          <w:rFonts w:cs="Times New Roman"/>
        </w:rPr>
        <w:t>8</w:t>
      </w:r>
      <w:r w:rsidRPr="006414E6">
        <w:rPr>
          <w:rFonts w:cs="Times New Roman"/>
        </w:rPr>
        <w:t>. godini iznosila je 2</w:t>
      </w:r>
      <w:r w:rsidR="00903003" w:rsidRPr="006414E6">
        <w:rPr>
          <w:rFonts w:cs="Times New Roman"/>
        </w:rPr>
        <w:t>3</w:t>
      </w:r>
      <w:r w:rsidRPr="006414E6">
        <w:rPr>
          <w:rFonts w:cs="Times New Roman"/>
        </w:rPr>
        <w:t>.</w:t>
      </w:r>
      <w:r w:rsidR="00903003" w:rsidRPr="006414E6">
        <w:rPr>
          <w:rFonts w:cs="Times New Roman"/>
        </w:rPr>
        <w:t>792</w:t>
      </w:r>
      <w:r w:rsidRPr="006414E6">
        <w:rPr>
          <w:rFonts w:cs="Times New Roman"/>
        </w:rPr>
        <w:t>,</w:t>
      </w:r>
      <w:r w:rsidR="00903003" w:rsidRPr="006414E6">
        <w:rPr>
          <w:rFonts w:cs="Times New Roman"/>
        </w:rPr>
        <w:t>8</w:t>
      </w:r>
      <w:r w:rsidR="0053306E" w:rsidRPr="006414E6">
        <w:rPr>
          <w:rFonts w:cs="Times New Roman"/>
        </w:rPr>
        <w:t>0</w:t>
      </w:r>
      <w:r w:rsidRPr="006414E6">
        <w:rPr>
          <w:rFonts w:cs="Times New Roman"/>
        </w:rPr>
        <w:t xml:space="preserve"> </w:t>
      </w:r>
      <w:proofErr w:type="spellStart"/>
      <w:r w:rsidRPr="006414E6">
        <w:rPr>
          <w:rFonts w:cs="Times New Roman"/>
        </w:rPr>
        <w:t>kt</w:t>
      </w:r>
      <w:proofErr w:type="spellEnd"/>
      <w:r w:rsidRPr="006414E6">
        <w:rPr>
          <w:rFonts w:cs="Times New Roman"/>
        </w:rPr>
        <w:t xml:space="preserve"> CO</w:t>
      </w:r>
      <w:r w:rsidRPr="006414E6">
        <w:rPr>
          <w:rFonts w:cs="Times New Roman"/>
          <w:vertAlign w:val="subscript"/>
        </w:rPr>
        <w:t>2</w:t>
      </w:r>
      <w:r w:rsidRPr="006414E6">
        <w:rPr>
          <w:rFonts w:cs="Times New Roman"/>
        </w:rPr>
        <w:t>e, što predstavlja smanjenje emisija za 2</w:t>
      </w:r>
      <w:r w:rsidR="0053306E" w:rsidRPr="006414E6">
        <w:rPr>
          <w:rFonts w:cs="Times New Roman"/>
        </w:rPr>
        <w:t>5</w:t>
      </w:r>
      <w:r w:rsidRPr="006414E6">
        <w:rPr>
          <w:rFonts w:cs="Times New Roman"/>
        </w:rPr>
        <w:t>,</w:t>
      </w:r>
      <w:r w:rsidR="00903003" w:rsidRPr="006414E6">
        <w:rPr>
          <w:rFonts w:cs="Times New Roman"/>
        </w:rPr>
        <w:t>36</w:t>
      </w:r>
      <w:r w:rsidRPr="006414E6">
        <w:rPr>
          <w:rFonts w:cs="Times New Roman"/>
        </w:rPr>
        <w:t>% u odnosu na emisiju stakleničkih plinova u 1990. godini. Trend emisija</w:t>
      </w:r>
      <w:r w:rsidR="00380D3D" w:rsidRPr="006414E6">
        <w:rPr>
          <w:rFonts w:cs="Times New Roman"/>
        </w:rPr>
        <w:t xml:space="preserve"> stakleničkih plinova</w:t>
      </w:r>
      <w:r w:rsidRPr="006414E6">
        <w:rPr>
          <w:rFonts w:cs="Times New Roman"/>
        </w:rPr>
        <w:t xml:space="preserve"> po sektorima, prikazan je na slici 1-1.</w:t>
      </w:r>
      <w:bookmarkStart w:id="111" w:name="_Toc436823637"/>
      <w:bookmarkStart w:id="112" w:name="_Toc390418884"/>
      <w:bookmarkStart w:id="113" w:name="_Toc292099512"/>
    </w:p>
    <w:p w14:paraId="2BF86ADD" w14:textId="1E22328D" w:rsidR="006D31EC" w:rsidRPr="006414E6" w:rsidRDefault="0024092C" w:rsidP="006D31EC">
      <w:pPr>
        <w:jc w:val="center"/>
        <w:rPr>
          <w:rFonts w:eastAsia="Calibri" w:cs="Times New Roman"/>
        </w:rPr>
      </w:pPr>
      <w:r>
        <w:rPr>
          <w:rFonts w:eastAsia="Calibri" w:cs="Times New Roman"/>
          <w:noProof/>
          <w:lang w:eastAsia="hr-HR"/>
        </w:rPr>
        <w:drawing>
          <wp:inline distT="0" distB="0" distL="0" distR="0" wp14:anchorId="20FA0A04" wp14:editId="58875D35">
            <wp:extent cx="4944139" cy="3237329"/>
            <wp:effectExtent l="0" t="0" r="8890"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11">
                      <a:extLst>
                        <a:ext uri="{28A0092B-C50C-407E-A947-70E740481C1C}">
                          <a14:useLocalDpi xmlns:a14="http://schemas.microsoft.com/office/drawing/2010/main" val="0"/>
                        </a:ext>
                      </a:extLst>
                    </a:blip>
                    <a:stretch>
                      <a:fillRect/>
                    </a:stretch>
                  </pic:blipFill>
                  <pic:spPr>
                    <a:xfrm>
                      <a:off x="0" y="0"/>
                      <a:ext cx="4972950" cy="3256194"/>
                    </a:xfrm>
                    <a:prstGeom prst="rect">
                      <a:avLst/>
                    </a:prstGeom>
                  </pic:spPr>
                </pic:pic>
              </a:graphicData>
            </a:graphic>
          </wp:inline>
        </w:drawing>
      </w:r>
    </w:p>
    <w:p w14:paraId="74285D46" w14:textId="77777777" w:rsidR="006D31EC" w:rsidRPr="006414E6" w:rsidRDefault="006D31EC" w:rsidP="006D31EC">
      <w:pPr>
        <w:pStyle w:val="Slika"/>
        <w:spacing w:before="120"/>
        <w:jc w:val="center"/>
        <w:rPr>
          <w:rFonts w:ascii="Times New Roman" w:hAnsi="Times New Roman"/>
          <w:i/>
        </w:rPr>
      </w:pPr>
      <w:bookmarkStart w:id="114" w:name="_Toc23415503"/>
      <w:bookmarkStart w:id="115" w:name="_Toc33417093"/>
      <w:r w:rsidRPr="006414E6">
        <w:rPr>
          <w:rFonts w:ascii="Times New Roman" w:hAnsi="Times New Roman"/>
          <w:i/>
        </w:rPr>
        <w:t>Slika 1-1: Trend emisija stakleničkih plinova po sektorima</w:t>
      </w:r>
      <w:bookmarkEnd w:id="114"/>
      <w:bookmarkEnd w:id="115"/>
    </w:p>
    <w:bookmarkEnd w:id="111"/>
    <w:bookmarkEnd w:id="112"/>
    <w:bookmarkEnd w:id="113"/>
    <w:p w14:paraId="51C0D02B" w14:textId="77777777" w:rsidR="006D31EC" w:rsidRPr="006414E6" w:rsidRDefault="006D31EC" w:rsidP="006D31EC">
      <w:pPr>
        <w:rPr>
          <w:rFonts w:cs="Times New Roman"/>
        </w:rPr>
      </w:pPr>
      <w:r w:rsidRPr="006414E6">
        <w:rPr>
          <w:rFonts w:cs="Times New Roman"/>
        </w:rPr>
        <w:t xml:space="preserve">U ukupnoj emisiji stakleničkih plinova </w:t>
      </w:r>
      <w:r w:rsidR="00775D7A" w:rsidRPr="006414E6">
        <w:rPr>
          <w:rFonts w:cs="Times New Roman"/>
        </w:rPr>
        <w:t>ugljikov dioksid (CO</w:t>
      </w:r>
      <w:r w:rsidR="00775D7A" w:rsidRPr="006414E6">
        <w:rPr>
          <w:rFonts w:cs="Times New Roman"/>
          <w:vertAlign w:val="subscript"/>
        </w:rPr>
        <w:t>2</w:t>
      </w:r>
      <w:r w:rsidR="00775D7A" w:rsidRPr="006414E6">
        <w:rPr>
          <w:rFonts w:cs="Times New Roman"/>
        </w:rPr>
        <w:t xml:space="preserve">) čini </w:t>
      </w:r>
      <w:r w:rsidR="00636B33" w:rsidRPr="006414E6">
        <w:rPr>
          <w:rFonts w:cs="Times New Roman"/>
        </w:rPr>
        <w:t>74,5</w:t>
      </w:r>
      <w:r w:rsidR="00775D7A" w:rsidRPr="006414E6">
        <w:rPr>
          <w:rFonts w:cs="Times New Roman"/>
        </w:rPr>
        <w:t>%, metan (CH</w:t>
      </w:r>
      <w:r w:rsidR="00775D7A" w:rsidRPr="006414E6">
        <w:rPr>
          <w:rFonts w:cs="Times New Roman"/>
          <w:vertAlign w:val="subscript"/>
        </w:rPr>
        <w:t>4</w:t>
      </w:r>
      <w:r w:rsidR="00775D7A" w:rsidRPr="006414E6">
        <w:rPr>
          <w:rFonts w:cs="Times New Roman"/>
        </w:rPr>
        <w:t>) 1</w:t>
      </w:r>
      <w:r w:rsidR="00636B33" w:rsidRPr="006414E6">
        <w:rPr>
          <w:rFonts w:cs="Times New Roman"/>
        </w:rPr>
        <w:t>6,3</w:t>
      </w:r>
      <w:r w:rsidR="00775D7A" w:rsidRPr="006414E6">
        <w:rPr>
          <w:rFonts w:cs="Times New Roman"/>
        </w:rPr>
        <w:t xml:space="preserve">%, </w:t>
      </w:r>
      <w:proofErr w:type="spellStart"/>
      <w:r w:rsidR="00775D7A" w:rsidRPr="006414E6">
        <w:rPr>
          <w:rFonts w:cs="Times New Roman"/>
        </w:rPr>
        <w:t>didušikov</w:t>
      </w:r>
      <w:proofErr w:type="spellEnd"/>
      <w:r w:rsidR="00775D7A" w:rsidRPr="006414E6">
        <w:rPr>
          <w:rFonts w:cs="Times New Roman"/>
        </w:rPr>
        <w:t xml:space="preserve"> oksid (N</w:t>
      </w:r>
      <w:r w:rsidR="00775D7A" w:rsidRPr="006414E6">
        <w:rPr>
          <w:rFonts w:cs="Times New Roman"/>
          <w:vertAlign w:val="subscript"/>
        </w:rPr>
        <w:t>2</w:t>
      </w:r>
      <w:r w:rsidR="00775D7A" w:rsidRPr="006414E6">
        <w:rPr>
          <w:rFonts w:cs="Times New Roman"/>
        </w:rPr>
        <w:t xml:space="preserve">O) </w:t>
      </w:r>
      <w:r w:rsidR="00636B33" w:rsidRPr="006414E6">
        <w:rPr>
          <w:rFonts w:cs="Times New Roman"/>
        </w:rPr>
        <w:t>7,1</w:t>
      </w:r>
      <w:r w:rsidR="00775D7A" w:rsidRPr="006414E6">
        <w:rPr>
          <w:rFonts w:cs="Times New Roman"/>
        </w:rPr>
        <w:t xml:space="preserve">%, a </w:t>
      </w:r>
      <w:proofErr w:type="spellStart"/>
      <w:r w:rsidR="00775D7A" w:rsidRPr="006414E6">
        <w:rPr>
          <w:rFonts w:cs="Times New Roman"/>
        </w:rPr>
        <w:t>fluorirani</w:t>
      </w:r>
      <w:proofErr w:type="spellEnd"/>
      <w:r w:rsidR="00775D7A" w:rsidRPr="006414E6">
        <w:rPr>
          <w:rFonts w:cs="Times New Roman"/>
        </w:rPr>
        <w:t xml:space="preserve"> ugljikovodici </w:t>
      </w:r>
      <w:r w:rsidR="00636B33" w:rsidRPr="006414E6">
        <w:rPr>
          <w:rFonts w:cs="Times New Roman"/>
        </w:rPr>
        <w:t>2,1</w:t>
      </w:r>
      <w:r w:rsidR="00775D7A" w:rsidRPr="006414E6">
        <w:rPr>
          <w:rFonts w:cs="Times New Roman"/>
        </w:rPr>
        <w:t xml:space="preserve">%. </w:t>
      </w:r>
      <w:r w:rsidRPr="006414E6">
        <w:rPr>
          <w:rFonts w:cs="Times New Roman"/>
        </w:rPr>
        <w:t xml:space="preserve">U </w:t>
      </w:r>
      <w:r w:rsidR="0036132D" w:rsidRPr="006414E6">
        <w:rPr>
          <w:rFonts w:cs="Times New Roman"/>
        </w:rPr>
        <w:t>Europski sustav trgovanja emisijskim jedinicama (</w:t>
      </w:r>
      <w:r w:rsidRPr="006414E6">
        <w:rPr>
          <w:rFonts w:cs="Times New Roman"/>
        </w:rPr>
        <w:t>ETS</w:t>
      </w:r>
      <w:r w:rsidR="0036132D" w:rsidRPr="006414E6">
        <w:rPr>
          <w:rFonts w:cs="Times New Roman"/>
        </w:rPr>
        <w:t>)</w:t>
      </w:r>
      <w:r w:rsidRPr="006414E6">
        <w:rPr>
          <w:rFonts w:cs="Times New Roman"/>
        </w:rPr>
        <w:t xml:space="preserve"> </w:t>
      </w:r>
      <w:r w:rsidR="0036132D" w:rsidRPr="006414E6">
        <w:rPr>
          <w:rFonts w:cs="Times New Roman"/>
        </w:rPr>
        <w:t xml:space="preserve">uključeni </w:t>
      </w:r>
      <w:r w:rsidRPr="006414E6">
        <w:rPr>
          <w:rFonts w:cs="Times New Roman"/>
        </w:rPr>
        <w:t>su svi energetski izvori s toplinskom snagom većom od 20 MW (termoelektrane, rafinerije), industrija mineralnih proizvoda (cement, staklo, opeka), kemijska industrija i industrija željeza i čelika.</w:t>
      </w:r>
      <w:r w:rsidR="00775D7A" w:rsidRPr="006414E6">
        <w:rPr>
          <w:rFonts w:cs="Times New Roman"/>
        </w:rPr>
        <w:t xml:space="preserve"> </w:t>
      </w:r>
      <w:r w:rsidRPr="006414E6">
        <w:rPr>
          <w:rFonts w:cs="Times New Roman"/>
        </w:rPr>
        <w:t xml:space="preserve">Emisija ETS-a čini </w:t>
      </w:r>
      <w:r w:rsidR="00710863" w:rsidRPr="006414E6">
        <w:rPr>
          <w:rFonts w:cs="Times New Roman"/>
        </w:rPr>
        <w:t>31,3</w:t>
      </w:r>
      <w:r w:rsidRPr="006414E6">
        <w:rPr>
          <w:rFonts w:cs="Times New Roman"/>
        </w:rPr>
        <w:t>% emisije u 201</w:t>
      </w:r>
      <w:r w:rsidR="00F626A5" w:rsidRPr="006414E6">
        <w:rPr>
          <w:rFonts w:cs="Times New Roman"/>
        </w:rPr>
        <w:t>8</w:t>
      </w:r>
      <w:r w:rsidRPr="006414E6">
        <w:rPr>
          <w:rFonts w:cs="Times New Roman"/>
        </w:rPr>
        <w:t>.</w:t>
      </w:r>
      <w:r w:rsidR="00775D7A" w:rsidRPr="006414E6">
        <w:rPr>
          <w:rFonts w:cs="Times New Roman"/>
        </w:rPr>
        <w:t xml:space="preserve"> </w:t>
      </w:r>
      <w:r w:rsidRPr="006414E6">
        <w:rPr>
          <w:rFonts w:cs="Times New Roman"/>
        </w:rPr>
        <w:t>godini.</w:t>
      </w:r>
    </w:p>
    <w:p w14:paraId="08E567A7" w14:textId="77777777" w:rsidR="006D31EC" w:rsidRPr="006414E6" w:rsidRDefault="006D31EC" w:rsidP="006D31EC">
      <w:pPr>
        <w:rPr>
          <w:rFonts w:cs="Times New Roman"/>
        </w:rPr>
      </w:pPr>
      <w:r w:rsidRPr="006414E6">
        <w:rPr>
          <w:rFonts w:cs="Times New Roman"/>
        </w:rPr>
        <w:lastRenderedPageBreak/>
        <w:t xml:space="preserve">Intenzitet emisije po BDP-u smanjio </w:t>
      </w:r>
      <w:r w:rsidR="00B562AA" w:rsidRPr="006414E6">
        <w:rPr>
          <w:rFonts w:cs="Times New Roman"/>
        </w:rPr>
        <w:t xml:space="preserve">se </w:t>
      </w:r>
      <w:r w:rsidRPr="006414E6">
        <w:rPr>
          <w:rFonts w:cs="Times New Roman"/>
        </w:rPr>
        <w:t xml:space="preserve">za </w:t>
      </w:r>
      <w:r w:rsidR="00A53D46" w:rsidRPr="006414E6">
        <w:rPr>
          <w:rFonts w:cs="Times New Roman"/>
        </w:rPr>
        <w:t>34</w:t>
      </w:r>
      <w:r w:rsidRPr="006414E6">
        <w:rPr>
          <w:rFonts w:cs="Times New Roman"/>
        </w:rPr>
        <w:t xml:space="preserve">% u </w:t>
      </w:r>
      <w:r w:rsidR="00094E44" w:rsidRPr="006414E6">
        <w:rPr>
          <w:rFonts w:cs="Times New Roman"/>
        </w:rPr>
        <w:t xml:space="preserve">razdoblju </w:t>
      </w:r>
      <w:r w:rsidRPr="006414E6">
        <w:rPr>
          <w:rFonts w:cs="Times New Roman"/>
        </w:rPr>
        <w:t>od 2004. do 201</w:t>
      </w:r>
      <w:r w:rsidR="00F626A5" w:rsidRPr="006414E6">
        <w:rPr>
          <w:rFonts w:cs="Times New Roman"/>
        </w:rPr>
        <w:t>8</w:t>
      </w:r>
      <w:r w:rsidRPr="006414E6">
        <w:rPr>
          <w:rFonts w:cs="Times New Roman"/>
        </w:rPr>
        <w:t>. godine, odnosno za oko 2</w:t>
      </w:r>
      <w:r w:rsidR="00A53D46" w:rsidRPr="006414E6">
        <w:rPr>
          <w:rFonts w:cs="Times New Roman"/>
        </w:rPr>
        <w:t>,5</w:t>
      </w:r>
      <w:r w:rsidRPr="006414E6">
        <w:rPr>
          <w:rFonts w:cs="Times New Roman"/>
        </w:rPr>
        <w:t xml:space="preserve">% godišnje. </w:t>
      </w:r>
    </w:p>
    <w:p w14:paraId="460FB125" w14:textId="77777777" w:rsidR="00414BCE" w:rsidRPr="006414E6" w:rsidRDefault="00414BCE" w:rsidP="00414BCE">
      <w:pPr>
        <w:rPr>
          <w:rFonts w:cs="Times New Roman"/>
          <w:b/>
          <w:i/>
          <w:u w:val="single"/>
        </w:rPr>
      </w:pPr>
      <w:r w:rsidRPr="006414E6">
        <w:rPr>
          <w:rFonts w:cs="Times New Roman"/>
          <w:b/>
          <w:i/>
          <w:u w:val="single"/>
        </w:rPr>
        <w:t xml:space="preserve">Vizija </w:t>
      </w:r>
      <w:proofErr w:type="spellStart"/>
      <w:r w:rsidRPr="006414E6">
        <w:rPr>
          <w:rFonts w:cs="Times New Roman"/>
          <w:b/>
          <w:i/>
          <w:u w:val="single"/>
        </w:rPr>
        <w:t>Niskougljične</w:t>
      </w:r>
      <w:proofErr w:type="spellEnd"/>
      <w:r w:rsidRPr="006414E6">
        <w:rPr>
          <w:rFonts w:cs="Times New Roman"/>
          <w:b/>
          <w:i/>
          <w:u w:val="single"/>
        </w:rPr>
        <w:t xml:space="preserve"> strategije </w:t>
      </w:r>
    </w:p>
    <w:p w14:paraId="52560ABE" w14:textId="40E3065D" w:rsidR="00414BCE" w:rsidRPr="006414E6" w:rsidRDefault="000C5C68" w:rsidP="00414BCE">
      <w:pPr>
        <w:rPr>
          <w:rFonts w:cs="Times New Roman"/>
        </w:rPr>
      </w:pPr>
      <w:proofErr w:type="spellStart"/>
      <w:r w:rsidRPr="006414E6">
        <w:rPr>
          <w:rFonts w:cs="Times New Roman"/>
        </w:rPr>
        <w:t>Niskougljična</w:t>
      </w:r>
      <w:proofErr w:type="spellEnd"/>
      <w:r w:rsidRPr="006414E6">
        <w:rPr>
          <w:rFonts w:cs="Times New Roman"/>
        </w:rPr>
        <w:t xml:space="preserve"> strategija vodi viziji društva u kojem ćemo živjeti zdravije, ugodnije i s većom mobilnosti. Postojeći nacionalni fond zgrada biti će obnovljen, a novi građeni po principima gotovo nulte potrošnje energije i kružnog gospodarenja prostorom i zgradama.</w:t>
      </w:r>
      <w:r w:rsidR="00414BCE" w:rsidRPr="006414E6">
        <w:rPr>
          <w:rFonts w:cs="Times New Roman"/>
        </w:rPr>
        <w:t xml:space="preserve"> Opskrba energijom biti će sigurnija, gotovo potpuno vlastita, iz obnovljivih izvora i s malim emisijama, a potrošači energije biti će i proizvođači energije. Prometni sustav biti će </w:t>
      </w:r>
      <w:proofErr w:type="spellStart"/>
      <w:r w:rsidR="00414BCE" w:rsidRPr="006414E6">
        <w:rPr>
          <w:rFonts w:cs="Times New Roman"/>
        </w:rPr>
        <w:t>intermodalan</w:t>
      </w:r>
      <w:proofErr w:type="spellEnd"/>
      <w:r w:rsidR="00414BCE" w:rsidRPr="006414E6">
        <w:rPr>
          <w:rFonts w:cs="Times New Roman"/>
        </w:rPr>
        <w:t xml:space="preserve"> i integriran, </w:t>
      </w:r>
      <w:r w:rsidR="004C200C" w:rsidRPr="006414E6">
        <w:rPr>
          <w:rFonts w:cs="Times New Roman"/>
        </w:rPr>
        <w:t xml:space="preserve">pretežito s vozilima na električni pogon i s korištenjem </w:t>
      </w:r>
      <w:proofErr w:type="spellStart"/>
      <w:r w:rsidR="004C200C" w:rsidRPr="006414E6">
        <w:rPr>
          <w:rFonts w:cs="Times New Roman"/>
        </w:rPr>
        <w:t>niskougljičnog</w:t>
      </w:r>
      <w:proofErr w:type="spellEnd"/>
      <w:r w:rsidR="004C200C" w:rsidRPr="006414E6">
        <w:rPr>
          <w:rFonts w:cs="Times New Roman"/>
        </w:rPr>
        <w:t xml:space="preserve"> i za klimu neutralnog goriva.</w:t>
      </w:r>
      <w:r w:rsidR="00414BCE" w:rsidRPr="006414E6">
        <w:rPr>
          <w:rFonts w:cs="Times New Roman"/>
        </w:rPr>
        <w:t xml:space="preserve"> Industrija i poljoprivreda biti će učinkovite i povezane sa svim sektorima gospodarstva, a pritom će se gotovo svi materijali reciklirati u integriranom i kružnom gospodarstvu. Prevladavati će svjesni, senzibilni i proaktivni način mišljenja i djelovanja u smjeru cjelovitog razvoja.</w:t>
      </w:r>
    </w:p>
    <w:p w14:paraId="3CB40F4D" w14:textId="77777777" w:rsidR="006D31EC" w:rsidRPr="006414E6" w:rsidRDefault="006D31EC" w:rsidP="006D31EC">
      <w:pPr>
        <w:rPr>
          <w:rFonts w:cs="Times New Roman"/>
          <w:b/>
          <w:i/>
          <w:u w:val="single"/>
        </w:rPr>
      </w:pPr>
      <w:r w:rsidRPr="006414E6">
        <w:rPr>
          <w:rFonts w:cs="Times New Roman"/>
          <w:b/>
          <w:i/>
          <w:u w:val="single"/>
        </w:rPr>
        <w:t xml:space="preserve">Ciljevi i scenariji </w:t>
      </w:r>
      <w:proofErr w:type="spellStart"/>
      <w:r w:rsidRPr="006414E6">
        <w:rPr>
          <w:rFonts w:cs="Times New Roman"/>
          <w:b/>
          <w:i/>
          <w:u w:val="single"/>
        </w:rPr>
        <w:t>Niskougljične</w:t>
      </w:r>
      <w:proofErr w:type="spellEnd"/>
      <w:r w:rsidRPr="006414E6">
        <w:rPr>
          <w:rFonts w:cs="Times New Roman"/>
          <w:b/>
          <w:i/>
          <w:u w:val="single"/>
        </w:rPr>
        <w:t xml:space="preserve"> strategije </w:t>
      </w:r>
    </w:p>
    <w:p w14:paraId="5BDEF337" w14:textId="77777777" w:rsidR="006D31EC" w:rsidRPr="006414E6" w:rsidRDefault="006D31EC" w:rsidP="006D31EC">
      <w:pPr>
        <w:rPr>
          <w:rFonts w:cs="Times New Roman"/>
        </w:rPr>
      </w:pPr>
      <w:proofErr w:type="spellStart"/>
      <w:r w:rsidRPr="006414E6">
        <w:rPr>
          <w:rFonts w:cs="Times New Roman"/>
        </w:rPr>
        <w:t>Niskougljična</w:t>
      </w:r>
      <w:proofErr w:type="spellEnd"/>
      <w:r w:rsidRPr="006414E6">
        <w:rPr>
          <w:rFonts w:cs="Times New Roman"/>
        </w:rPr>
        <w:t xml:space="preserve"> strategija postavlja put za tranziciju prema održivom konkurentnom gospodarstvu, u kojem se gospodarski rast ostvaruje uz male emisije stakleničkih plinova. Ciljevi smanjenja emisije stakleničkih plinova do 2030. i 2050. godine provodit će se u Republici Hrvatskoj u okviru političkog okvira koji je usvojila Europska unija.</w:t>
      </w:r>
      <w:r w:rsidR="005E69A4" w:rsidRPr="006414E6">
        <w:rPr>
          <w:rFonts w:cs="Times New Roman"/>
        </w:rPr>
        <w:t xml:space="preserve"> Nova strategija rasta E</w:t>
      </w:r>
      <w:r w:rsidR="00842174" w:rsidRPr="006414E6">
        <w:rPr>
          <w:rFonts w:cs="Times New Roman"/>
        </w:rPr>
        <w:t>U</w:t>
      </w:r>
      <w:r w:rsidR="005E69A4" w:rsidRPr="006414E6">
        <w:rPr>
          <w:rFonts w:cs="Times New Roman"/>
        </w:rPr>
        <w:t xml:space="preserve"> formulirana kroz Europski zeleni plan postavlja cilj</w:t>
      </w:r>
      <w:r w:rsidR="009A4810" w:rsidRPr="006414E6">
        <w:rPr>
          <w:rFonts w:cs="Times New Roman"/>
          <w:b/>
          <w:noProof/>
        </w:rPr>
        <w:t xml:space="preserve"> </w:t>
      </w:r>
      <w:r w:rsidR="009A4810" w:rsidRPr="006414E6">
        <w:rPr>
          <w:rFonts w:cs="Times New Roman"/>
          <w:noProof/>
        </w:rPr>
        <w:t>preobrazbe u pravedno i prosperitetno društvo s modernim, resursno učinkovitim i konkurentnim gospodarstvom</w:t>
      </w:r>
      <w:r w:rsidR="00FC0DA6" w:rsidRPr="006414E6">
        <w:rPr>
          <w:rFonts w:cs="Times New Roman"/>
        </w:rPr>
        <w:t xml:space="preserve"> </w:t>
      </w:r>
      <w:r w:rsidR="009A4810" w:rsidRPr="006414E6">
        <w:rPr>
          <w:rFonts w:cs="Times New Roman"/>
        </w:rPr>
        <w:t>u kojem 2050.</w:t>
      </w:r>
      <w:r w:rsidR="00842174" w:rsidRPr="006414E6">
        <w:rPr>
          <w:rFonts w:cs="Times New Roman"/>
        </w:rPr>
        <w:t xml:space="preserve"> </w:t>
      </w:r>
      <w:r w:rsidR="009A4810" w:rsidRPr="006414E6">
        <w:rPr>
          <w:rFonts w:cs="Times New Roman"/>
        </w:rPr>
        <w:t>godine  neće biti neto emisija stakleničkih plinova</w:t>
      </w:r>
      <w:r w:rsidR="005E35A2" w:rsidRPr="006414E6">
        <w:rPr>
          <w:rFonts w:cs="Times New Roman"/>
        </w:rPr>
        <w:t>.</w:t>
      </w:r>
    </w:p>
    <w:p w14:paraId="1D965A3D" w14:textId="77777777" w:rsidR="006D31EC" w:rsidRPr="006414E6" w:rsidRDefault="006D31EC" w:rsidP="006414E6">
      <w:pPr>
        <w:rPr>
          <w:b/>
        </w:rPr>
      </w:pPr>
      <w:r w:rsidRPr="006414E6">
        <w:rPr>
          <w:b/>
        </w:rPr>
        <w:t xml:space="preserve">Opći ciljevi </w:t>
      </w:r>
      <w:proofErr w:type="spellStart"/>
      <w:r w:rsidRPr="006414E6">
        <w:rPr>
          <w:b/>
        </w:rPr>
        <w:t>Niskougljične</w:t>
      </w:r>
      <w:proofErr w:type="spellEnd"/>
      <w:r w:rsidRPr="006414E6">
        <w:rPr>
          <w:b/>
        </w:rPr>
        <w:t xml:space="preserve"> strategije su:</w:t>
      </w:r>
    </w:p>
    <w:p w14:paraId="1126C7C5" w14:textId="77777777" w:rsidR="006D31EC" w:rsidRPr="006414E6" w:rsidRDefault="006D31EC" w:rsidP="003A2F37">
      <w:pPr>
        <w:pStyle w:val="ListParagraph"/>
        <w:numPr>
          <w:ilvl w:val="0"/>
          <w:numId w:val="9"/>
        </w:numPr>
        <w:rPr>
          <w:rFonts w:cs="Times New Roman"/>
        </w:rPr>
      </w:pPr>
      <w:r w:rsidRPr="006414E6">
        <w:rPr>
          <w:rFonts w:cs="Times New Roman"/>
        </w:rPr>
        <w:t>Postizanje održivog razvoja temeljenog na znanju i konkurentnom gospodarstvu s niskom razinom ugljika i učinkovitim korištenjem resursa</w:t>
      </w:r>
      <w:r w:rsidR="00636B33" w:rsidRPr="006414E6">
        <w:rPr>
          <w:rFonts w:cs="Times New Roman"/>
        </w:rPr>
        <w:t>.</w:t>
      </w:r>
    </w:p>
    <w:p w14:paraId="17CA8C23" w14:textId="77777777" w:rsidR="006D31EC" w:rsidRPr="006414E6" w:rsidRDefault="006D31EC" w:rsidP="003A2F37">
      <w:pPr>
        <w:pStyle w:val="ListParagraph"/>
        <w:numPr>
          <w:ilvl w:val="0"/>
          <w:numId w:val="9"/>
        </w:numPr>
        <w:rPr>
          <w:rFonts w:cs="Times New Roman"/>
        </w:rPr>
      </w:pPr>
      <w:r w:rsidRPr="006414E6">
        <w:rPr>
          <w:rFonts w:cs="Times New Roman"/>
        </w:rPr>
        <w:t>Povećanje sigurnosti opskrbe energijom, održivost energetske opskrbe, povećanje dostupnosti energije i smanjenje energetske ovisnosti</w:t>
      </w:r>
      <w:r w:rsidR="00636B33" w:rsidRPr="006414E6">
        <w:rPr>
          <w:rFonts w:cs="Times New Roman"/>
        </w:rPr>
        <w:t>.</w:t>
      </w:r>
    </w:p>
    <w:p w14:paraId="506EDDB3" w14:textId="77777777" w:rsidR="006D31EC" w:rsidRPr="006414E6" w:rsidRDefault="006D31EC" w:rsidP="003A2F37">
      <w:pPr>
        <w:pStyle w:val="ListParagraph"/>
        <w:numPr>
          <w:ilvl w:val="0"/>
          <w:numId w:val="9"/>
        </w:numPr>
        <w:rPr>
          <w:rFonts w:cs="Times New Roman"/>
        </w:rPr>
      </w:pPr>
      <w:r w:rsidRPr="006414E6">
        <w:rPr>
          <w:rFonts w:cs="Times New Roman"/>
        </w:rPr>
        <w:t>Solidarnost izvršavanjem obveza Republike Hrvatske prema međunarodnim sporazumima, u okviru politike Europske unije, kao dio naše povijesne odgovornosti i doprinos globalnim ciljevima</w:t>
      </w:r>
      <w:r w:rsidR="00636B33" w:rsidRPr="006414E6">
        <w:rPr>
          <w:rFonts w:cs="Times New Roman"/>
        </w:rPr>
        <w:t>.</w:t>
      </w:r>
    </w:p>
    <w:p w14:paraId="483C04B4" w14:textId="7186FA55" w:rsidR="006D31EC" w:rsidRPr="006414E6" w:rsidRDefault="000C5C68" w:rsidP="003A2F37">
      <w:pPr>
        <w:pStyle w:val="ListParagraph"/>
        <w:numPr>
          <w:ilvl w:val="0"/>
          <w:numId w:val="9"/>
        </w:numPr>
        <w:rPr>
          <w:rFonts w:cs="Times New Roman"/>
        </w:rPr>
      </w:pPr>
      <w:r w:rsidRPr="006414E6">
        <w:rPr>
          <w:rFonts w:cs="Times New Roman"/>
        </w:rPr>
        <w:t>Smanjenje onečišćenja zraka i utjecaja na zdravlje te kvalitetu života građana.</w:t>
      </w:r>
    </w:p>
    <w:p w14:paraId="62856487" w14:textId="77777777" w:rsidR="006D31EC" w:rsidRPr="006414E6" w:rsidRDefault="003359B1" w:rsidP="006D31EC">
      <w:pPr>
        <w:rPr>
          <w:rFonts w:cs="Times New Roman"/>
        </w:rPr>
      </w:pPr>
      <w:r w:rsidRPr="006414E6">
        <w:rPr>
          <w:rFonts w:cs="Times New Roman"/>
        </w:rPr>
        <w:t xml:space="preserve">Temeljni cilj smanjenja emisije je smanjenje za </w:t>
      </w:r>
      <w:r w:rsidR="006D31EC" w:rsidRPr="006414E6">
        <w:rPr>
          <w:rFonts w:cs="Times New Roman"/>
          <w:b/>
        </w:rPr>
        <w:t>7% u sektorima izvan ETS-a, u odnosu na emisiju u 2005. godini. Ciljevi za obnovljive izvore energije, energetsku učinkovitost te sektorski ciljevi proizlaze iz gore navedenih ciljeva.</w:t>
      </w:r>
      <w:r w:rsidR="006D31EC" w:rsidRPr="006414E6">
        <w:rPr>
          <w:rFonts w:cs="Times New Roman"/>
        </w:rPr>
        <w:t xml:space="preserve"> Provedbeni dokument za razdoblje do 2030. godine je Integrirani </w:t>
      </w:r>
      <w:r w:rsidR="005E35A2" w:rsidRPr="006414E6">
        <w:rPr>
          <w:rFonts w:cs="Times New Roman"/>
        </w:rPr>
        <w:t xml:space="preserve">nacionalni </w:t>
      </w:r>
      <w:r w:rsidR="006D31EC" w:rsidRPr="006414E6">
        <w:rPr>
          <w:rFonts w:cs="Times New Roman"/>
        </w:rPr>
        <w:t xml:space="preserve">energetski i klimatski plan </w:t>
      </w:r>
      <w:r w:rsidR="005E35A2" w:rsidRPr="006414E6">
        <w:rPr>
          <w:rFonts w:cs="Times New Roman"/>
        </w:rPr>
        <w:t xml:space="preserve">za Republiku Hrvatsku </w:t>
      </w:r>
      <w:r w:rsidR="006D31EC" w:rsidRPr="006414E6">
        <w:rPr>
          <w:rFonts w:cs="Times New Roman"/>
        </w:rPr>
        <w:t>za razdoblje od 2021. do 2030. godine.</w:t>
      </w:r>
    </w:p>
    <w:p w14:paraId="545AEE00" w14:textId="77777777" w:rsidR="006D31EC" w:rsidRPr="006414E6" w:rsidRDefault="005E35A2" w:rsidP="006D31EC">
      <w:pPr>
        <w:rPr>
          <w:rFonts w:cs="Times New Roman"/>
          <w:b/>
        </w:rPr>
      </w:pPr>
      <w:proofErr w:type="spellStart"/>
      <w:r w:rsidRPr="006414E6">
        <w:rPr>
          <w:rFonts w:cs="Times New Roman"/>
        </w:rPr>
        <w:t>Niskougljičnom</w:t>
      </w:r>
      <w:proofErr w:type="spellEnd"/>
      <w:r w:rsidRPr="006414E6">
        <w:rPr>
          <w:rFonts w:cs="Times New Roman"/>
        </w:rPr>
        <w:t xml:space="preserve"> s</w:t>
      </w:r>
      <w:r w:rsidR="006D31EC" w:rsidRPr="006414E6">
        <w:rPr>
          <w:rFonts w:cs="Times New Roman"/>
        </w:rPr>
        <w:t xml:space="preserve">trategijom </w:t>
      </w:r>
      <w:r w:rsidR="003359B1" w:rsidRPr="006414E6">
        <w:rPr>
          <w:rFonts w:cs="Times New Roman"/>
        </w:rPr>
        <w:t>identificirano</w:t>
      </w:r>
      <w:r w:rsidR="006D31EC" w:rsidRPr="006414E6">
        <w:rPr>
          <w:rFonts w:cs="Times New Roman"/>
        </w:rPr>
        <w:t xml:space="preserve"> </w:t>
      </w:r>
      <w:r w:rsidRPr="006414E6">
        <w:rPr>
          <w:rFonts w:cs="Times New Roman"/>
        </w:rPr>
        <w:t xml:space="preserve">je </w:t>
      </w:r>
      <w:r w:rsidR="006D31EC" w:rsidRPr="006414E6">
        <w:rPr>
          <w:rFonts w:cs="Times New Roman"/>
        </w:rPr>
        <w:t>ukupno oko stotinu mjera koje se mogu primijeniti za smanjenje emisij</w:t>
      </w:r>
      <w:r w:rsidRPr="006414E6">
        <w:rPr>
          <w:rFonts w:cs="Times New Roman"/>
        </w:rPr>
        <w:t>a</w:t>
      </w:r>
      <w:r w:rsidR="006D31EC" w:rsidRPr="006414E6">
        <w:rPr>
          <w:rFonts w:cs="Times New Roman"/>
        </w:rPr>
        <w:t xml:space="preserve"> (tehničkog i ne-tehničkog tipa), u različitim sektorima: proizvodnji električne energije i topline, proizvodnji i preradi goriva, prometu, općoj potrošnji (kućanstva i usluge), industriji, poljoprivredi, korištenju zemljišta, promjeni korištenja zemljišta i šumarstvu, gospodarenju otpadom, korištenju proizvoda te </w:t>
      </w:r>
      <w:proofErr w:type="spellStart"/>
      <w:r w:rsidR="006D31EC" w:rsidRPr="006414E6">
        <w:rPr>
          <w:rFonts w:cs="Times New Roman"/>
        </w:rPr>
        <w:t>fugitivnim</w:t>
      </w:r>
      <w:proofErr w:type="spellEnd"/>
      <w:r w:rsidR="006D31EC" w:rsidRPr="006414E6">
        <w:rPr>
          <w:rFonts w:cs="Times New Roman"/>
        </w:rPr>
        <w:t xml:space="preserve"> emisijama. </w:t>
      </w:r>
      <w:r w:rsidR="003359B1" w:rsidRPr="006414E6">
        <w:rPr>
          <w:rFonts w:cs="Times New Roman"/>
          <w:b/>
        </w:rPr>
        <w:t xml:space="preserve">Ove mjere su ugrađene u tri </w:t>
      </w:r>
      <w:r w:rsidR="006D31EC" w:rsidRPr="006414E6">
        <w:rPr>
          <w:rFonts w:cs="Times New Roman"/>
          <w:b/>
        </w:rPr>
        <w:t>glavna scenarija: Referentni scenarij (NUR), Scenarij postupne tranzicije (NU1) i Scenarij snažne tranzicije (NU2).</w:t>
      </w:r>
    </w:p>
    <w:p w14:paraId="47D50982" w14:textId="623E70CF" w:rsidR="006D31EC" w:rsidRPr="006414E6" w:rsidRDefault="006D31EC" w:rsidP="006D31EC">
      <w:pPr>
        <w:rPr>
          <w:rFonts w:cs="Times New Roman"/>
        </w:rPr>
      </w:pPr>
      <w:r w:rsidRPr="006414E6">
        <w:rPr>
          <w:rFonts w:cs="Times New Roman"/>
          <w:b/>
        </w:rPr>
        <w:t>Referentni scenarij NUR</w:t>
      </w:r>
      <w:r w:rsidRPr="006414E6">
        <w:rPr>
          <w:rFonts w:cs="Times New Roman"/>
        </w:rPr>
        <w:t xml:space="preserve"> predstavlja nastavak postojeće prakse, u skladu s važećom regulativom i prihvaćenim ciljevima do 2030. godine. Ovaj scenarij pretpostavlja tehnološki napredak i rast udjela obnovljivih izvora energije i energetske učinkovitosti temeljem tržišne situacije i danas utvrđenih ciljnih energetskih standarda. U odnosu na </w:t>
      </w:r>
      <w:proofErr w:type="spellStart"/>
      <w:r w:rsidRPr="006414E6">
        <w:rPr>
          <w:rFonts w:cs="Times New Roman"/>
        </w:rPr>
        <w:t>niskougljične</w:t>
      </w:r>
      <w:proofErr w:type="spellEnd"/>
      <w:r w:rsidRPr="006414E6">
        <w:rPr>
          <w:rFonts w:cs="Times New Roman"/>
        </w:rPr>
        <w:t xml:space="preserve"> scenarije za dostizanje ciljeva, to je scenarij s blažom penetracijom obnovljivih izvora energije i energetske učinkovitosti. Emisije u ovom scenariju se </w:t>
      </w:r>
      <w:r w:rsidRPr="006414E6">
        <w:rPr>
          <w:rFonts w:cs="Times New Roman"/>
        </w:rPr>
        <w:lastRenderedPageBreak/>
        <w:t xml:space="preserve">smanjuju za </w:t>
      </w:r>
      <w:r w:rsidR="00F64816" w:rsidRPr="006414E6">
        <w:rPr>
          <w:rFonts w:cs="Times New Roman"/>
        </w:rPr>
        <w:t>4,8</w:t>
      </w:r>
      <w:r w:rsidRPr="006414E6">
        <w:rPr>
          <w:rFonts w:cs="Times New Roman"/>
        </w:rPr>
        <w:t xml:space="preserve">% u 2030. godini te </w:t>
      </w:r>
      <w:r w:rsidR="00F64816" w:rsidRPr="006414E6">
        <w:rPr>
          <w:rFonts w:cs="Times New Roman"/>
        </w:rPr>
        <w:t>28</w:t>
      </w:r>
      <w:r w:rsidRPr="006414E6">
        <w:rPr>
          <w:rFonts w:cs="Times New Roman"/>
        </w:rPr>
        <w:t>% u 2050. godini u odnosu</w:t>
      </w:r>
      <w:r w:rsidR="00F64816" w:rsidRPr="006414E6">
        <w:rPr>
          <w:rFonts w:cs="Times New Roman"/>
        </w:rPr>
        <w:t xml:space="preserve"> na razinu emisije u 2018. godini</w:t>
      </w:r>
      <w:r w:rsidRPr="006414E6">
        <w:rPr>
          <w:rFonts w:cs="Times New Roman"/>
        </w:rPr>
        <w:t xml:space="preserve">. Udio obnovljivih izvora u ovom scenariju je </w:t>
      </w:r>
      <w:r w:rsidR="00997A43" w:rsidRPr="006414E6">
        <w:rPr>
          <w:rFonts w:cs="Times New Roman"/>
        </w:rPr>
        <w:t>35,7</w:t>
      </w:r>
      <w:r w:rsidRPr="006414E6">
        <w:rPr>
          <w:rFonts w:cs="Times New Roman"/>
        </w:rPr>
        <w:t xml:space="preserve">% u 2030. godini, a 45,5% u 2050. godini. Ipak, ovaj scenarij ne vodi </w:t>
      </w:r>
      <w:proofErr w:type="spellStart"/>
      <w:r w:rsidRPr="006414E6">
        <w:rPr>
          <w:rFonts w:cs="Times New Roman"/>
        </w:rPr>
        <w:t>niskougljičnom</w:t>
      </w:r>
      <w:proofErr w:type="spellEnd"/>
      <w:r w:rsidRPr="006414E6">
        <w:rPr>
          <w:rFonts w:cs="Times New Roman"/>
        </w:rPr>
        <w:t xml:space="preserve"> gospodarstvu.</w:t>
      </w:r>
    </w:p>
    <w:p w14:paraId="273B7103" w14:textId="4B242968" w:rsidR="006D31EC" w:rsidRPr="006414E6" w:rsidRDefault="006D31EC" w:rsidP="006D31EC">
      <w:pPr>
        <w:rPr>
          <w:rFonts w:cs="Times New Roman"/>
        </w:rPr>
      </w:pPr>
      <w:r w:rsidRPr="006414E6">
        <w:rPr>
          <w:rFonts w:cs="Times New Roman"/>
          <w:b/>
        </w:rPr>
        <w:t>Scenarij postupne tranzicije NU1</w:t>
      </w:r>
      <w:r w:rsidRPr="006414E6">
        <w:rPr>
          <w:rFonts w:cs="Times New Roman"/>
        </w:rPr>
        <w:t xml:space="preserve"> dimenzioniran je tako da se ispun</w:t>
      </w:r>
      <w:r w:rsidR="004804BB" w:rsidRPr="006414E6">
        <w:rPr>
          <w:rFonts w:cs="Times New Roman"/>
        </w:rPr>
        <w:t>e ciljevi smanjenja emisije koji</w:t>
      </w:r>
      <w:r w:rsidRPr="006414E6">
        <w:rPr>
          <w:rFonts w:cs="Times New Roman"/>
        </w:rPr>
        <w:t xml:space="preserve"> bi mogli biti obveza u okviru interne sheme obveza EU i s tim u vezi ciljevi međunarodnog dugoročnog dogovora da se porast t</w:t>
      </w:r>
      <w:r w:rsidR="00636B33" w:rsidRPr="006414E6">
        <w:rPr>
          <w:rFonts w:cs="Times New Roman"/>
        </w:rPr>
        <w:t xml:space="preserve">emperature održi unutar 2°C, a </w:t>
      </w:r>
      <w:r w:rsidRPr="006414E6">
        <w:rPr>
          <w:rFonts w:cs="Times New Roman"/>
        </w:rPr>
        <w:t>po mogućnosti i unutar 1,5°C. U ovom scenariju smanjenje emisije se postiže primjenom niza troškovno učinkovitih mjera, snažnim poticanjem energetske učinkovitosti i primjenom obnovljivih izvora energije koji bi, u proizvodnji električne energije, nakon 2030. godine mogli velikim dijelom biti potpuno tržišno konkurentni. Scenarij pretpostavlja snažan rast cijena CO</w:t>
      </w:r>
      <w:r w:rsidRPr="006414E6">
        <w:rPr>
          <w:rFonts w:cs="Times New Roman"/>
          <w:vertAlign w:val="subscript"/>
        </w:rPr>
        <w:t>2</w:t>
      </w:r>
      <w:r w:rsidRPr="006414E6">
        <w:rPr>
          <w:rFonts w:cs="Times New Roman"/>
        </w:rPr>
        <w:t>, do 92,1 EUR/t CO</w:t>
      </w:r>
      <w:r w:rsidRPr="006414E6">
        <w:rPr>
          <w:rFonts w:cs="Times New Roman"/>
          <w:vertAlign w:val="subscript"/>
        </w:rPr>
        <w:t>2</w:t>
      </w:r>
      <w:r w:rsidRPr="006414E6">
        <w:rPr>
          <w:rFonts w:cs="Times New Roman"/>
        </w:rPr>
        <w:t xml:space="preserve"> u 2050. godini, što je glavni pokretač tranzicije. Udio obnovljivih izvora energije u 2030. godini po ovom scenariju je 36,</w:t>
      </w:r>
      <w:r w:rsidR="001064C4" w:rsidRPr="006414E6">
        <w:rPr>
          <w:rFonts w:cs="Times New Roman"/>
        </w:rPr>
        <w:t>4</w:t>
      </w:r>
      <w:r w:rsidRPr="006414E6">
        <w:rPr>
          <w:rFonts w:cs="Times New Roman"/>
        </w:rPr>
        <w:t>%, a u 2050. godini mogao bi biti 53,2%. NU1 scenarijem smanjuje se emisija stakleničkih plinova za 33,5% u 2030. godini i 56,8% u 2050. godini, u odnosu na 1990. godinu.</w:t>
      </w:r>
    </w:p>
    <w:p w14:paraId="6723B41B" w14:textId="35C015E1" w:rsidR="006D31EC" w:rsidRPr="006414E6" w:rsidRDefault="006D31EC" w:rsidP="006D31EC">
      <w:pPr>
        <w:rPr>
          <w:rFonts w:cs="Times New Roman"/>
        </w:rPr>
      </w:pPr>
      <w:r w:rsidRPr="006414E6">
        <w:rPr>
          <w:rFonts w:cs="Times New Roman"/>
          <w:b/>
        </w:rPr>
        <w:t>Scenarij snažne tranzicije NU2</w:t>
      </w:r>
      <w:r w:rsidRPr="006414E6">
        <w:rPr>
          <w:rFonts w:cs="Times New Roman"/>
        </w:rPr>
        <w:t xml:space="preserve"> je dimenzioniran s ciljem da se u 2050. godini postigne smanjenje emisije 80% u odnosu na 1990. godinu. U ovom scenariju kao i u NU1 pretpostavlja se snažan porast cijena CO</w:t>
      </w:r>
      <w:r w:rsidRPr="006414E6">
        <w:rPr>
          <w:rFonts w:cs="Times New Roman"/>
          <w:vertAlign w:val="subscript"/>
        </w:rPr>
        <w:t xml:space="preserve">2 </w:t>
      </w:r>
      <w:r w:rsidRPr="006414E6">
        <w:rPr>
          <w:rFonts w:cs="Times New Roman"/>
        </w:rPr>
        <w:t>do 92,1 EUR/t CO</w:t>
      </w:r>
      <w:r w:rsidRPr="006414E6">
        <w:rPr>
          <w:rFonts w:cs="Times New Roman"/>
          <w:vertAlign w:val="subscript"/>
        </w:rPr>
        <w:t>2</w:t>
      </w:r>
      <w:r w:rsidRPr="006414E6">
        <w:rPr>
          <w:rFonts w:cs="Times New Roman"/>
        </w:rPr>
        <w:t xml:space="preserve"> u 2050. godini te vrlo snažne mjere energetske učinkovitosti. </w:t>
      </w:r>
      <w:r w:rsidR="009F5930" w:rsidRPr="006414E6">
        <w:rPr>
          <w:rFonts w:cs="Times New Roman"/>
        </w:rPr>
        <w:t xml:space="preserve">Udio obnovljivih izvora energije u po ovom scenariju u 2050. godini mogao bi biti </w:t>
      </w:r>
      <w:r w:rsidR="001064C4" w:rsidRPr="006414E6">
        <w:rPr>
          <w:rFonts w:cs="Times New Roman"/>
        </w:rPr>
        <w:t>65,6</w:t>
      </w:r>
      <w:r w:rsidR="009F5930" w:rsidRPr="006414E6">
        <w:rPr>
          <w:rFonts w:cs="Times New Roman"/>
        </w:rPr>
        <w:t xml:space="preserve">%. </w:t>
      </w:r>
      <w:r w:rsidRPr="006414E6">
        <w:rPr>
          <w:rFonts w:cs="Times New Roman"/>
        </w:rPr>
        <w:t xml:space="preserve">U ovom scenariju, u 2050. godini, dominantni izvor emisije ostaje promet, zatim poljoprivreda i industrija. Primjenom danas poznatih mjera, uključivo i one koje su </w:t>
      </w:r>
      <w:r w:rsidR="00636B33" w:rsidRPr="006414E6">
        <w:rPr>
          <w:rFonts w:cs="Times New Roman"/>
        </w:rPr>
        <w:t xml:space="preserve">u </w:t>
      </w:r>
      <w:proofErr w:type="spellStart"/>
      <w:r w:rsidRPr="006414E6">
        <w:rPr>
          <w:rFonts w:cs="Times New Roman"/>
        </w:rPr>
        <w:t>socio</w:t>
      </w:r>
      <w:proofErr w:type="spellEnd"/>
      <w:r w:rsidRPr="006414E6">
        <w:rPr>
          <w:rFonts w:cs="Times New Roman"/>
        </w:rPr>
        <w:t>-gospodarskom pogledu prihvatljive za poljoprivredu, moglo bi se postići smanjenje emisije od 73,1%</w:t>
      </w:r>
      <w:r w:rsidR="00B562AA" w:rsidRPr="006414E6">
        <w:rPr>
          <w:rFonts w:cs="Times New Roman"/>
        </w:rPr>
        <w:t xml:space="preserve"> u odnosu na 1990. godinu</w:t>
      </w:r>
      <w:r w:rsidRPr="006414E6">
        <w:rPr>
          <w:rFonts w:cs="Times New Roman"/>
        </w:rPr>
        <w:t>. Ostatak do 80% računa se na nove tehnologije</w:t>
      </w:r>
      <w:r w:rsidR="00A53D46" w:rsidRPr="006414E6">
        <w:rPr>
          <w:rFonts w:cs="Times New Roman"/>
        </w:rPr>
        <w:t xml:space="preserve"> koje danas još nisu u </w:t>
      </w:r>
      <w:r w:rsidR="00B562AA" w:rsidRPr="006414E6">
        <w:rPr>
          <w:rFonts w:cs="Times New Roman"/>
        </w:rPr>
        <w:t>primjeni</w:t>
      </w:r>
      <w:r w:rsidR="00A53D46" w:rsidRPr="006414E6">
        <w:rPr>
          <w:rFonts w:cs="Times New Roman"/>
        </w:rPr>
        <w:t>, odnosno nedovoljno razvijene tehnologije</w:t>
      </w:r>
      <w:r w:rsidRPr="006414E6">
        <w:rPr>
          <w:rFonts w:cs="Times New Roman"/>
        </w:rPr>
        <w:t>.</w:t>
      </w:r>
    </w:p>
    <w:p w14:paraId="17D6B896" w14:textId="25142039" w:rsidR="006D31EC" w:rsidRPr="006414E6" w:rsidRDefault="006D31EC" w:rsidP="006D31EC">
      <w:pPr>
        <w:rPr>
          <w:rFonts w:cs="Times New Roman"/>
        </w:rPr>
      </w:pPr>
      <w:r w:rsidRPr="006414E6">
        <w:rPr>
          <w:rFonts w:cs="Times New Roman"/>
          <w:b/>
        </w:rPr>
        <w:t>Scenarij neto nulte emisije</w:t>
      </w:r>
      <w:r w:rsidRPr="006414E6">
        <w:rPr>
          <w:rFonts w:cs="Times New Roman"/>
        </w:rPr>
        <w:t xml:space="preserve"> za sada nije analiziran.</w:t>
      </w:r>
      <w:r w:rsidR="00BF5BE6" w:rsidRPr="006414E6">
        <w:rPr>
          <w:rFonts w:cs="Times New Roman"/>
        </w:rPr>
        <w:t xml:space="preserve"> U narednim godina</w:t>
      </w:r>
      <w:r w:rsidR="004804BB" w:rsidRPr="006414E6">
        <w:rPr>
          <w:rFonts w:cs="Times New Roman"/>
        </w:rPr>
        <w:t>ma</w:t>
      </w:r>
      <w:r w:rsidR="00FC0DA6" w:rsidRPr="006414E6">
        <w:rPr>
          <w:rFonts w:cs="Times New Roman"/>
        </w:rPr>
        <w:t xml:space="preserve">, u skladu s ciljevima koje je 2019. godine postavio Europski zeleni plan, Republika Hrvatska će </w:t>
      </w:r>
      <w:r w:rsidR="001E185B" w:rsidRPr="006414E6">
        <w:rPr>
          <w:rFonts w:cs="Times New Roman"/>
        </w:rPr>
        <w:t xml:space="preserve">kao i druge države EU </w:t>
      </w:r>
      <w:r w:rsidR="00BF5BE6" w:rsidRPr="006414E6">
        <w:rPr>
          <w:rFonts w:cs="Times New Roman"/>
        </w:rPr>
        <w:t>analizirat</w:t>
      </w:r>
      <w:r w:rsidR="00FC0DA6" w:rsidRPr="006414E6">
        <w:rPr>
          <w:rFonts w:cs="Times New Roman"/>
        </w:rPr>
        <w:t>i</w:t>
      </w:r>
      <w:r w:rsidR="00BF5BE6" w:rsidRPr="006414E6">
        <w:rPr>
          <w:rFonts w:cs="Times New Roman"/>
        </w:rPr>
        <w:t xml:space="preserve">  moguće scenarije </w:t>
      </w:r>
      <w:r w:rsidR="00842174" w:rsidRPr="006414E6">
        <w:rPr>
          <w:rFonts w:cs="Times New Roman"/>
        </w:rPr>
        <w:t xml:space="preserve">neto </w:t>
      </w:r>
      <w:r w:rsidR="00BF5BE6" w:rsidRPr="006414E6">
        <w:rPr>
          <w:rFonts w:cs="Times New Roman"/>
        </w:rPr>
        <w:t>nulte emisije do 2050. godine i revidirati svoj</w:t>
      </w:r>
      <w:r w:rsidR="001E185B" w:rsidRPr="006414E6">
        <w:rPr>
          <w:rFonts w:cs="Times New Roman"/>
        </w:rPr>
        <w:t>u</w:t>
      </w:r>
      <w:r w:rsidR="00BF5BE6" w:rsidRPr="006414E6">
        <w:rPr>
          <w:rFonts w:cs="Times New Roman"/>
        </w:rPr>
        <w:t xml:space="preserve"> </w:t>
      </w:r>
      <w:proofErr w:type="spellStart"/>
      <w:r w:rsidR="009F5930" w:rsidRPr="006414E6">
        <w:rPr>
          <w:rFonts w:cs="Times New Roman"/>
        </w:rPr>
        <w:t>N</w:t>
      </w:r>
      <w:r w:rsidR="00F64816" w:rsidRPr="006414E6">
        <w:rPr>
          <w:rFonts w:cs="Times New Roman"/>
        </w:rPr>
        <w:t>iskou</w:t>
      </w:r>
      <w:r w:rsidR="00BF5BE6" w:rsidRPr="006414E6">
        <w:rPr>
          <w:rFonts w:cs="Times New Roman"/>
        </w:rPr>
        <w:t>gljičn</w:t>
      </w:r>
      <w:r w:rsidR="00FC0DA6" w:rsidRPr="006414E6">
        <w:rPr>
          <w:rFonts w:cs="Times New Roman"/>
        </w:rPr>
        <w:t>u</w:t>
      </w:r>
      <w:proofErr w:type="spellEnd"/>
      <w:r w:rsidR="001E185B" w:rsidRPr="006414E6">
        <w:rPr>
          <w:rFonts w:cs="Times New Roman"/>
        </w:rPr>
        <w:t xml:space="preserve"> strategiju</w:t>
      </w:r>
      <w:r w:rsidR="00BF5BE6" w:rsidRPr="006414E6">
        <w:rPr>
          <w:rFonts w:cs="Times New Roman"/>
        </w:rPr>
        <w:t>.</w:t>
      </w:r>
    </w:p>
    <w:p w14:paraId="395CFB7E" w14:textId="77777777" w:rsidR="006D31EC" w:rsidRPr="006414E6" w:rsidRDefault="006D31EC" w:rsidP="006D31EC">
      <w:pPr>
        <w:rPr>
          <w:rFonts w:cs="Times New Roman"/>
          <w:b/>
        </w:rPr>
      </w:pPr>
      <w:r w:rsidRPr="006414E6">
        <w:rPr>
          <w:rFonts w:cs="Times New Roman"/>
        </w:rPr>
        <w:t xml:space="preserve">Scenariji NU1 i NU2 vrlo su slični do 2030. godine, tako da ako </w:t>
      </w:r>
      <w:r w:rsidRPr="006414E6">
        <w:rPr>
          <w:rFonts w:cs="Times New Roman"/>
          <w:b/>
        </w:rPr>
        <w:t xml:space="preserve">Republika Hrvatska krene sa scenarijem postupne tranzicije (NU1) ima vremena preusmjeriti se na ambiciozniji scenarij snažne tranzicije (NU2). </w:t>
      </w:r>
    </w:p>
    <w:p w14:paraId="201676B3" w14:textId="77777777" w:rsidR="006D31EC" w:rsidRPr="006414E6" w:rsidRDefault="006D31EC" w:rsidP="006D31EC">
      <w:pPr>
        <w:rPr>
          <w:rFonts w:cs="Times New Roman"/>
          <w:b/>
        </w:rPr>
      </w:pPr>
      <w:r w:rsidRPr="006414E6">
        <w:rPr>
          <w:rFonts w:cs="Times New Roman"/>
          <w:b/>
        </w:rPr>
        <w:t xml:space="preserve">Cilj </w:t>
      </w:r>
      <w:proofErr w:type="spellStart"/>
      <w:r w:rsidR="005E35A2" w:rsidRPr="006414E6">
        <w:rPr>
          <w:rFonts w:cs="Times New Roman"/>
          <w:b/>
        </w:rPr>
        <w:t>N</w:t>
      </w:r>
      <w:r w:rsidRPr="006414E6">
        <w:rPr>
          <w:rFonts w:cs="Times New Roman"/>
          <w:b/>
        </w:rPr>
        <w:t>iskougljične</w:t>
      </w:r>
      <w:proofErr w:type="spellEnd"/>
      <w:r w:rsidRPr="006414E6">
        <w:rPr>
          <w:rFonts w:cs="Times New Roman"/>
          <w:b/>
        </w:rPr>
        <w:t xml:space="preserve"> strategije je da putanja emisija stakleničkih plinova bude u rasponu između scenarija NU1 i NU2</w:t>
      </w:r>
      <w:r w:rsidR="00CE3946" w:rsidRPr="006414E6">
        <w:rPr>
          <w:rFonts w:cs="Times New Roman"/>
          <w:b/>
        </w:rPr>
        <w:t>, s težnjom prema ambicioznijem scenariju NU2</w:t>
      </w:r>
      <w:r w:rsidRPr="006414E6">
        <w:rPr>
          <w:rFonts w:cs="Times New Roman"/>
        </w:rPr>
        <w:t xml:space="preserve"> (slika 1-2).</w:t>
      </w:r>
      <w:r w:rsidRPr="006414E6">
        <w:rPr>
          <w:rFonts w:cs="Times New Roman"/>
          <w:b/>
        </w:rPr>
        <w:t xml:space="preserve"> </w:t>
      </w:r>
    </w:p>
    <w:p w14:paraId="308D8A56" w14:textId="5485F7CD" w:rsidR="004B2CFF" w:rsidRDefault="0017100B" w:rsidP="006D31EC">
      <w:pPr>
        <w:pStyle w:val="Slika"/>
        <w:spacing w:before="120"/>
        <w:jc w:val="center"/>
        <w:rPr>
          <w:rFonts w:ascii="Times New Roman" w:hAnsi="Times New Roman"/>
          <w:i/>
        </w:rPr>
      </w:pPr>
      <w:bookmarkStart w:id="116" w:name="_Toc33417094"/>
      <w:r>
        <w:rPr>
          <w:rFonts w:ascii="Times New Roman" w:hAnsi="Times New Roman"/>
          <w:i/>
          <w:noProof/>
          <w:lang w:eastAsia="hr-HR"/>
        </w:rPr>
        <w:drawing>
          <wp:inline distT="0" distB="0" distL="0" distR="0" wp14:anchorId="32804A04" wp14:editId="76E77550">
            <wp:extent cx="3938016" cy="2353056"/>
            <wp:effectExtent l="0" t="0" r="571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jpg"/>
                    <pic:cNvPicPr/>
                  </pic:nvPicPr>
                  <pic:blipFill>
                    <a:blip r:embed="rId12">
                      <a:extLst>
                        <a:ext uri="{28A0092B-C50C-407E-A947-70E740481C1C}">
                          <a14:useLocalDpi xmlns:a14="http://schemas.microsoft.com/office/drawing/2010/main" val="0"/>
                        </a:ext>
                      </a:extLst>
                    </a:blip>
                    <a:stretch>
                      <a:fillRect/>
                    </a:stretch>
                  </pic:blipFill>
                  <pic:spPr>
                    <a:xfrm>
                      <a:off x="0" y="0"/>
                      <a:ext cx="3938016" cy="2353056"/>
                    </a:xfrm>
                    <a:prstGeom prst="rect">
                      <a:avLst/>
                    </a:prstGeom>
                  </pic:spPr>
                </pic:pic>
              </a:graphicData>
            </a:graphic>
          </wp:inline>
        </w:drawing>
      </w:r>
    </w:p>
    <w:p w14:paraId="4EBB1850" w14:textId="0049F6CB" w:rsidR="006D31EC" w:rsidRPr="006414E6" w:rsidRDefault="006D31EC" w:rsidP="006D31EC">
      <w:pPr>
        <w:pStyle w:val="Slika"/>
        <w:spacing w:before="120"/>
        <w:jc w:val="center"/>
        <w:rPr>
          <w:rFonts w:ascii="Times New Roman" w:hAnsi="Times New Roman"/>
          <w:i/>
        </w:rPr>
      </w:pPr>
      <w:r w:rsidRPr="006414E6">
        <w:rPr>
          <w:rFonts w:ascii="Times New Roman" w:hAnsi="Times New Roman"/>
          <w:i/>
        </w:rPr>
        <w:t>Slika 1-2: Smanjenje emisije stakleničkih plinova NUR, NU1 i NU2 scenarijem</w:t>
      </w:r>
      <w:bookmarkEnd w:id="116"/>
    </w:p>
    <w:p w14:paraId="7C85C65D" w14:textId="77777777" w:rsidR="009A052C" w:rsidRPr="006414E6" w:rsidRDefault="009A052C" w:rsidP="009A052C">
      <w:pPr>
        <w:rPr>
          <w:rFonts w:cs="Times New Roman"/>
        </w:rPr>
      </w:pPr>
      <w:r w:rsidRPr="006414E6">
        <w:rPr>
          <w:rFonts w:cs="Times New Roman"/>
        </w:rPr>
        <w:lastRenderedPageBreak/>
        <w:t xml:space="preserve">U 2030. godini </w:t>
      </w:r>
      <w:r w:rsidR="002F3674" w:rsidRPr="006414E6">
        <w:rPr>
          <w:rFonts w:cs="Times New Roman"/>
        </w:rPr>
        <w:t>u</w:t>
      </w:r>
      <w:r w:rsidRPr="006414E6">
        <w:rPr>
          <w:rFonts w:cs="Times New Roman"/>
        </w:rPr>
        <w:t xml:space="preserve"> NU1 scenariju postiže se ukupno smanjenje od 33,5%, dok se </w:t>
      </w:r>
      <w:r w:rsidR="002F3674" w:rsidRPr="006414E6">
        <w:rPr>
          <w:rFonts w:cs="Times New Roman"/>
        </w:rPr>
        <w:t>u</w:t>
      </w:r>
      <w:r w:rsidRPr="006414E6">
        <w:rPr>
          <w:rFonts w:cs="Times New Roman"/>
        </w:rPr>
        <w:t xml:space="preserve"> NU2 scenariju postiže smanjenje od 36,7%. Najveći doprinos navedenom smanjenju ima sektor industrije (</w:t>
      </w:r>
      <w:r w:rsidR="00CA7ACA" w:rsidRPr="006414E6">
        <w:rPr>
          <w:rFonts w:cs="Times New Roman"/>
        </w:rPr>
        <w:t>43</w:t>
      </w:r>
      <w:r w:rsidRPr="006414E6">
        <w:rPr>
          <w:rFonts w:cs="Times New Roman"/>
        </w:rPr>
        <w:t>%), zatim sektor proizvodnje i prerade goriva (</w:t>
      </w:r>
      <w:r w:rsidR="00CA7ACA" w:rsidRPr="006414E6">
        <w:rPr>
          <w:rFonts w:cs="Times New Roman"/>
        </w:rPr>
        <w:t>18</w:t>
      </w:r>
      <w:r w:rsidRPr="006414E6">
        <w:rPr>
          <w:rFonts w:cs="Times New Roman"/>
        </w:rPr>
        <w:t>%), sektor poljoprivrede (1</w:t>
      </w:r>
      <w:r w:rsidR="00CA7ACA" w:rsidRPr="006414E6">
        <w:rPr>
          <w:rFonts w:cs="Times New Roman"/>
        </w:rPr>
        <w:t>5</w:t>
      </w:r>
      <w:r w:rsidRPr="006414E6">
        <w:rPr>
          <w:rFonts w:cs="Times New Roman"/>
        </w:rPr>
        <w:t>%), sektor proizvodnje električne energije i topline (1</w:t>
      </w:r>
      <w:r w:rsidR="00CA7ACA" w:rsidRPr="006414E6">
        <w:rPr>
          <w:rFonts w:cs="Times New Roman"/>
        </w:rPr>
        <w:t>4</w:t>
      </w:r>
      <w:r w:rsidRPr="006414E6">
        <w:rPr>
          <w:rFonts w:cs="Times New Roman"/>
        </w:rPr>
        <w:t>%) te sektor opće potrošnje (1</w:t>
      </w:r>
      <w:r w:rsidR="00CA7ACA" w:rsidRPr="006414E6">
        <w:rPr>
          <w:rFonts w:cs="Times New Roman"/>
        </w:rPr>
        <w:t>0</w:t>
      </w:r>
      <w:r w:rsidRPr="006414E6">
        <w:rPr>
          <w:rFonts w:cs="Times New Roman"/>
        </w:rPr>
        <w:t>%). Sektori promet i gospodarenje otpadom bilježe porast</w:t>
      </w:r>
      <w:r w:rsidR="004804BB" w:rsidRPr="006414E6">
        <w:rPr>
          <w:rFonts w:cs="Times New Roman"/>
        </w:rPr>
        <w:t xml:space="preserve"> emisija u 2030. godini u odnos</w:t>
      </w:r>
      <w:r w:rsidRPr="006414E6">
        <w:rPr>
          <w:rFonts w:cs="Times New Roman"/>
        </w:rPr>
        <w:t xml:space="preserve">u na 1990. godinu. </w:t>
      </w:r>
    </w:p>
    <w:p w14:paraId="338F9CF9" w14:textId="1024E920" w:rsidR="009A052C" w:rsidRPr="006414E6" w:rsidRDefault="009A052C" w:rsidP="009A052C">
      <w:pPr>
        <w:rPr>
          <w:rFonts w:cs="Times New Roman"/>
        </w:rPr>
      </w:pPr>
      <w:r w:rsidRPr="006414E6">
        <w:rPr>
          <w:rFonts w:cs="Times New Roman"/>
        </w:rPr>
        <w:t xml:space="preserve">U 2050. godini </w:t>
      </w:r>
      <w:r w:rsidR="002F3674" w:rsidRPr="006414E6">
        <w:rPr>
          <w:rFonts w:cs="Times New Roman"/>
        </w:rPr>
        <w:t>u</w:t>
      </w:r>
      <w:r w:rsidRPr="006414E6">
        <w:rPr>
          <w:rFonts w:cs="Times New Roman"/>
        </w:rPr>
        <w:t xml:space="preserve"> NU1</w:t>
      </w:r>
      <w:r w:rsidR="002F3674" w:rsidRPr="006414E6">
        <w:rPr>
          <w:rFonts w:cs="Times New Roman"/>
        </w:rPr>
        <w:t xml:space="preserve"> scenariju</w:t>
      </w:r>
      <w:r w:rsidRPr="006414E6">
        <w:rPr>
          <w:rFonts w:cs="Times New Roman"/>
        </w:rPr>
        <w:t xml:space="preserve"> postiže se uk</w:t>
      </w:r>
      <w:r w:rsidR="004804BB" w:rsidRPr="006414E6">
        <w:rPr>
          <w:rFonts w:cs="Times New Roman"/>
        </w:rPr>
        <w:t xml:space="preserve">upno smanjenje od 56,8% </w:t>
      </w:r>
      <w:r w:rsidRPr="006414E6">
        <w:rPr>
          <w:rFonts w:cs="Times New Roman"/>
        </w:rPr>
        <w:t xml:space="preserve">dok se </w:t>
      </w:r>
      <w:r w:rsidR="002F3674" w:rsidRPr="006414E6">
        <w:rPr>
          <w:rFonts w:cs="Times New Roman"/>
        </w:rPr>
        <w:t>u</w:t>
      </w:r>
      <w:r w:rsidRPr="006414E6">
        <w:rPr>
          <w:rFonts w:cs="Times New Roman"/>
        </w:rPr>
        <w:t xml:space="preserve"> NU2 scenariju postiže smanjenje od 73,1%</w:t>
      </w:r>
      <w:r w:rsidR="009F5930" w:rsidRPr="006414E6">
        <w:rPr>
          <w:rFonts w:cs="Times New Roman"/>
        </w:rPr>
        <w:t>, u odnosu na 1990. godinu</w:t>
      </w:r>
      <w:r w:rsidRPr="006414E6">
        <w:rPr>
          <w:rFonts w:cs="Times New Roman"/>
        </w:rPr>
        <w:t>. Najveći doprinos navedenom smanjenju ima sektor industrije (36%), zatim sektor proizvodnje električne energije i topline (15%), sektor proizvodnje i prerade goriva (14%), sektor opće potrošnje (13%), sektor poljoprivrede (1</w:t>
      </w:r>
      <w:r w:rsidR="00CA7ACA" w:rsidRPr="006414E6">
        <w:rPr>
          <w:rFonts w:cs="Times New Roman"/>
        </w:rPr>
        <w:t>1</w:t>
      </w:r>
      <w:r w:rsidRPr="006414E6">
        <w:rPr>
          <w:rFonts w:cs="Times New Roman"/>
        </w:rPr>
        <w:t>%), sektor prometa (9%) te sektor gospodarenje otpadom (1,3%).</w:t>
      </w:r>
    </w:p>
    <w:p w14:paraId="50D4BD50" w14:textId="77777777" w:rsidR="006D31EC" w:rsidRPr="006414E6" w:rsidRDefault="006D31EC" w:rsidP="006D31EC">
      <w:pPr>
        <w:rPr>
          <w:rFonts w:cs="Times New Roman"/>
          <w:b/>
          <w:i/>
          <w:u w:val="single"/>
        </w:rPr>
      </w:pPr>
      <w:r w:rsidRPr="006414E6">
        <w:rPr>
          <w:rFonts w:cs="Times New Roman"/>
          <w:b/>
          <w:i/>
          <w:u w:val="single"/>
        </w:rPr>
        <w:t>Financiranje</w:t>
      </w:r>
    </w:p>
    <w:p w14:paraId="2BF7F930" w14:textId="77777777" w:rsidR="006D31EC" w:rsidRPr="006414E6" w:rsidRDefault="006D31EC" w:rsidP="006D31EC">
      <w:pPr>
        <w:rPr>
          <w:rFonts w:cs="Times New Roman"/>
        </w:rPr>
      </w:pPr>
      <w:r w:rsidRPr="006414E6">
        <w:rPr>
          <w:rFonts w:cs="Times New Roman"/>
        </w:rPr>
        <w:t xml:space="preserve">Razlika troškova između </w:t>
      </w:r>
      <w:proofErr w:type="spellStart"/>
      <w:r w:rsidRPr="006414E6">
        <w:rPr>
          <w:rFonts w:cs="Times New Roman"/>
        </w:rPr>
        <w:t>niskougljičnih</w:t>
      </w:r>
      <w:proofErr w:type="spellEnd"/>
      <w:r w:rsidRPr="006414E6">
        <w:rPr>
          <w:rFonts w:cs="Times New Roman"/>
        </w:rPr>
        <w:t xml:space="preserve"> scenarija i referentnog scenarija je trošak društva za put prema </w:t>
      </w:r>
      <w:proofErr w:type="spellStart"/>
      <w:r w:rsidRPr="006414E6">
        <w:rPr>
          <w:rFonts w:cs="Times New Roman"/>
        </w:rPr>
        <w:t>niskougljičnom</w:t>
      </w:r>
      <w:proofErr w:type="spellEnd"/>
      <w:r w:rsidRPr="006414E6">
        <w:rPr>
          <w:rFonts w:cs="Times New Roman"/>
        </w:rPr>
        <w:t xml:space="preserve"> razvoju.</w:t>
      </w:r>
    </w:p>
    <w:p w14:paraId="477838C5" w14:textId="77777777" w:rsidR="006D31EC" w:rsidRPr="006414E6" w:rsidRDefault="006D31EC" w:rsidP="006D31EC">
      <w:pPr>
        <w:rPr>
          <w:rFonts w:cs="Times New Roman"/>
        </w:rPr>
      </w:pPr>
      <w:r w:rsidRPr="006414E6">
        <w:rPr>
          <w:rFonts w:cs="Times New Roman"/>
        </w:rPr>
        <w:t xml:space="preserve">Da bi došlo do promjena, financijsko poticanje ne može biti ograničeno samo na razliku troška </w:t>
      </w:r>
      <w:proofErr w:type="spellStart"/>
      <w:r w:rsidRPr="006414E6">
        <w:rPr>
          <w:rFonts w:cs="Times New Roman"/>
        </w:rPr>
        <w:t>niskougljičnog</w:t>
      </w:r>
      <w:proofErr w:type="spellEnd"/>
      <w:r w:rsidRPr="006414E6">
        <w:rPr>
          <w:rFonts w:cs="Times New Roman"/>
        </w:rPr>
        <w:t xml:space="preserve"> i referentnog rješenja, već treba biti više od toga. Dugoročno, ulaganja u </w:t>
      </w:r>
      <w:proofErr w:type="spellStart"/>
      <w:r w:rsidRPr="006414E6">
        <w:rPr>
          <w:rFonts w:cs="Times New Roman"/>
        </w:rPr>
        <w:t>niskougljične</w:t>
      </w:r>
      <w:proofErr w:type="spellEnd"/>
      <w:r w:rsidRPr="006414E6">
        <w:rPr>
          <w:rFonts w:cs="Times New Roman"/>
        </w:rPr>
        <w:t xml:space="preserve"> projekte trebaju biti ekonomski održiva. Javni izvori financiranja neće biti dostatni</w:t>
      </w:r>
      <w:r w:rsidR="004804BB" w:rsidRPr="006414E6">
        <w:rPr>
          <w:rFonts w:cs="Times New Roman"/>
        </w:rPr>
        <w:t>,</w:t>
      </w:r>
      <w:r w:rsidRPr="006414E6">
        <w:rPr>
          <w:rFonts w:cs="Times New Roman"/>
        </w:rPr>
        <w:t xml:space="preserve"> potrebno je naći instrumente za mobilizaciju privatnih sre</w:t>
      </w:r>
      <w:r w:rsidR="004804BB" w:rsidRPr="006414E6">
        <w:rPr>
          <w:rFonts w:cs="Times New Roman"/>
        </w:rPr>
        <w:t>dstva za ulaganje u poslove koji</w:t>
      </w:r>
      <w:r w:rsidRPr="006414E6">
        <w:rPr>
          <w:rFonts w:cs="Times New Roman"/>
        </w:rPr>
        <w:t xml:space="preserve"> doprinose </w:t>
      </w:r>
      <w:proofErr w:type="spellStart"/>
      <w:r w:rsidR="009F5930" w:rsidRPr="006414E6">
        <w:rPr>
          <w:rFonts w:cs="Times New Roman"/>
        </w:rPr>
        <w:t>N</w:t>
      </w:r>
      <w:r w:rsidRPr="006414E6">
        <w:rPr>
          <w:rFonts w:cs="Times New Roman"/>
        </w:rPr>
        <w:t>iskougljičnoj</w:t>
      </w:r>
      <w:proofErr w:type="spellEnd"/>
      <w:r w:rsidRPr="006414E6">
        <w:rPr>
          <w:rFonts w:cs="Times New Roman"/>
        </w:rPr>
        <w:t xml:space="preserve"> strategiji i gospodarskom rastu.</w:t>
      </w:r>
    </w:p>
    <w:p w14:paraId="6C25ADA1" w14:textId="2ABD0833" w:rsidR="006D31EC" w:rsidRPr="006414E6" w:rsidRDefault="003D68E5" w:rsidP="006D31EC">
      <w:pPr>
        <w:rPr>
          <w:rFonts w:cs="Times New Roman"/>
          <w:b/>
        </w:rPr>
      </w:pPr>
      <w:r w:rsidRPr="006414E6">
        <w:rPr>
          <w:rFonts w:cs="Times New Roman"/>
          <w:b/>
        </w:rPr>
        <w:t xml:space="preserve">Trošak društva za put prema </w:t>
      </w:r>
      <w:proofErr w:type="spellStart"/>
      <w:r w:rsidRPr="006414E6">
        <w:rPr>
          <w:rFonts w:cs="Times New Roman"/>
          <w:b/>
        </w:rPr>
        <w:t>niskougljičnom</w:t>
      </w:r>
      <w:proofErr w:type="spellEnd"/>
      <w:r w:rsidRPr="006414E6">
        <w:rPr>
          <w:rFonts w:cs="Times New Roman"/>
          <w:b/>
        </w:rPr>
        <w:t xml:space="preserve"> razvoju predstavlja razliku ulaganja između </w:t>
      </w:r>
      <w:proofErr w:type="spellStart"/>
      <w:r w:rsidRPr="006414E6">
        <w:rPr>
          <w:rFonts w:cs="Times New Roman"/>
          <w:b/>
        </w:rPr>
        <w:t>niskougljičnih</w:t>
      </w:r>
      <w:proofErr w:type="spellEnd"/>
      <w:r w:rsidRPr="006414E6">
        <w:rPr>
          <w:rFonts w:cs="Times New Roman"/>
          <w:b/>
        </w:rPr>
        <w:t xml:space="preserve"> scenarija (NU1 i NU2) i ulaganja referentnog scenarija (NUR). </w:t>
      </w:r>
      <w:r w:rsidR="006D31EC" w:rsidRPr="006414E6">
        <w:rPr>
          <w:rFonts w:cs="Times New Roman"/>
          <w:b/>
        </w:rPr>
        <w:t xml:space="preserve">Procjenjuje se da će trošak društva za put prema </w:t>
      </w:r>
      <w:proofErr w:type="spellStart"/>
      <w:r w:rsidR="006D31EC" w:rsidRPr="006414E6">
        <w:rPr>
          <w:rFonts w:cs="Times New Roman"/>
          <w:b/>
        </w:rPr>
        <w:t>niskougljičnom</w:t>
      </w:r>
      <w:proofErr w:type="spellEnd"/>
      <w:r w:rsidR="006D31EC" w:rsidRPr="006414E6">
        <w:rPr>
          <w:rFonts w:cs="Times New Roman"/>
          <w:b/>
        </w:rPr>
        <w:t xml:space="preserve"> razvoju biti od </w:t>
      </w:r>
      <w:r w:rsidR="00906D99" w:rsidRPr="006414E6">
        <w:rPr>
          <w:rFonts w:cs="Times New Roman"/>
          <w:b/>
        </w:rPr>
        <w:t xml:space="preserve">38,65 </w:t>
      </w:r>
      <w:r w:rsidR="006D31EC" w:rsidRPr="006414E6">
        <w:rPr>
          <w:rFonts w:cs="Times New Roman"/>
          <w:b/>
        </w:rPr>
        <w:t xml:space="preserve">do </w:t>
      </w:r>
      <w:r w:rsidR="00906D99" w:rsidRPr="006414E6">
        <w:rPr>
          <w:rFonts w:cs="Times New Roman"/>
          <w:b/>
        </w:rPr>
        <w:t xml:space="preserve">65,92 </w:t>
      </w:r>
      <w:proofErr w:type="spellStart"/>
      <w:r w:rsidR="006D31EC" w:rsidRPr="006414E6">
        <w:rPr>
          <w:rFonts w:cs="Times New Roman"/>
          <w:b/>
        </w:rPr>
        <w:t>mlrd</w:t>
      </w:r>
      <w:proofErr w:type="spellEnd"/>
      <w:r w:rsidR="006D31EC" w:rsidRPr="006414E6">
        <w:rPr>
          <w:rFonts w:cs="Times New Roman"/>
          <w:b/>
        </w:rPr>
        <w:t xml:space="preserve">. </w:t>
      </w:r>
      <w:r w:rsidR="00906D99" w:rsidRPr="006414E6">
        <w:rPr>
          <w:rFonts w:cs="Times New Roman"/>
          <w:b/>
        </w:rPr>
        <w:t xml:space="preserve">kuna </w:t>
      </w:r>
      <w:r w:rsidR="006D31EC" w:rsidRPr="006414E6">
        <w:rPr>
          <w:rFonts w:cs="Times New Roman"/>
          <w:b/>
        </w:rPr>
        <w:t xml:space="preserve">u razdoblju od 2021. do 2030. godine, </w:t>
      </w:r>
      <w:r w:rsidR="00A16A6B" w:rsidRPr="006414E6">
        <w:rPr>
          <w:rFonts w:cs="Times New Roman"/>
          <w:b/>
        </w:rPr>
        <w:t xml:space="preserve">odnosno od </w:t>
      </w:r>
      <w:r w:rsidR="001064C4" w:rsidRPr="006414E6">
        <w:rPr>
          <w:rFonts w:cs="Times New Roman"/>
          <w:b/>
        </w:rPr>
        <w:t>0,92</w:t>
      </w:r>
      <w:r w:rsidR="00A16A6B" w:rsidRPr="006414E6">
        <w:rPr>
          <w:rFonts w:cs="Times New Roman"/>
          <w:b/>
        </w:rPr>
        <w:t xml:space="preserve"> do </w:t>
      </w:r>
      <w:r w:rsidR="001064C4" w:rsidRPr="006414E6">
        <w:rPr>
          <w:rFonts w:cs="Times New Roman"/>
          <w:b/>
        </w:rPr>
        <w:t>1,6</w:t>
      </w:r>
      <w:r w:rsidR="00A16A6B" w:rsidRPr="006414E6">
        <w:rPr>
          <w:rFonts w:cs="Times New Roman"/>
          <w:b/>
        </w:rPr>
        <w:t xml:space="preserve">% BDP-a. U razdoblju od 2031. do 2050. godine trošak će biti </w:t>
      </w:r>
      <w:r w:rsidR="006D31EC" w:rsidRPr="006414E6">
        <w:rPr>
          <w:rFonts w:cs="Times New Roman"/>
          <w:b/>
        </w:rPr>
        <w:t xml:space="preserve">od </w:t>
      </w:r>
      <w:r w:rsidR="00906D99" w:rsidRPr="006414E6">
        <w:rPr>
          <w:rFonts w:cs="Times New Roman"/>
          <w:b/>
        </w:rPr>
        <w:t>107,09</w:t>
      </w:r>
      <w:r w:rsidR="006D31EC" w:rsidRPr="006414E6">
        <w:rPr>
          <w:rFonts w:cs="Times New Roman"/>
          <w:b/>
        </w:rPr>
        <w:t xml:space="preserve"> do </w:t>
      </w:r>
      <w:r w:rsidR="00906D99" w:rsidRPr="006414E6">
        <w:rPr>
          <w:rFonts w:cs="Times New Roman"/>
          <w:b/>
        </w:rPr>
        <w:t>167,95</w:t>
      </w:r>
      <w:r w:rsidR="006D31EC" w:rsidRPr="006414E6">
        <w:rPr>
          <w:rFonts w:cs="Times New Roman"/>
          <w:b/>
        </w:rPr>
        <w:t xml:space="preserve"> </w:t>
      </w:r>
      <w:proofErr w:type="spellStart"/>
      <w:r w:rsidR="006D31EC" w:rsidRPr="006414E6">
        <w:rPr>
          <w:rFonts w:cs="Times New Roman"/>
          <w:b/>
        </w:rPr>
        <w:t>mlrd</w:t>
      </w:r>
      <w:proofErr w:type="spellEnd"/>
      <w:r w:rsidR="006D31EC" w:rsidRPr="006414E6">
        <w:rPr>
          <w:rFonts w:cs="Times New Roman"/>
          <w:b/>
        </w:rPr>
        <w:t xml:space="preserve">. </w:t>
      </w:r>
      <w:r w:rsidR="00906D99" w:rsidRPr="006414E6">
        <w:rPr>
          <w:rFonts w:cs="Times New Roman"/>
          <w:b/>
        </w:rPr>
        <w:t xml:space="preserve">kuna </w:t>
      </w:r>
      <w:r w:rsidR="00A16A6B" w:rsidRPr="006414E6">
        <w:rPr>
          <w:rFonts w:cs="Times New Roman"/>
          <w:b/>
        </w:rPr>
        <w:t xml:space="preserve">(od </w:t>
      </w:r>
      <w:r w:rsidR="001064C4" w:rsidRPr="006414E6">
        <w:rPr>
          <w:rFonts w:cs="Times New Roman"/>
          <w:b/>
        </w:rPr>
        <w:t>0,96</w:t>
      </w:r>
      <w:r w:rsidR="00A16A6B" w:rsidRPr="006414E6">
        <w:rPr>
          <w:rFonts w:cs="Times New Roman"/>
          <w:b/>
        </w:rPr>
        <w:t xml:space="preserve"> do </w:t>
      </w:r>
      <w:r w:rsidR="001064C4" w:rsidRPr="006414E6">
        <w:rPr>
          <w:rFonts w:cs="Times New Roman"/>
          <w:b/>
        </w:rPr>
        <w:t>1,51</w:t>
      </w:r>
      <w:r w:rsidR="00A16A6B" w:rsidRPr="006414E6">
        <w:rPr>
          <w:rFonts w:cs="Times New Roman"/>
          <w:b/>
        </w:rPr>
        <w:t>% BDP-a).</w:t>
      </w:r>
    </w:p>
    <w:p w14:paraId="45EE816D" w14:textId="77777777" w:rsidR="006D31EC" w:rsidRPr="006414E6" w:rsidRDefault="006D31EC" w:rsidP="006D31EC">
      <w:pPr>
        <w:rPr>
          <w:rFonts w:cs="Times New Roman"/>
        </w:rPr>
      </w:pPr>
      <w:r w:rsidRPr="006414E6">
        <w:rPr>
          <w:rFonts w:cs="Times New Roman"/>
        </w:rPr>
        <w:t>Okvir za financiranje mjera u priličnoj mjeri već postoji, u smislu mogućih izvora financiranja</w:t>
      </w:r>
      <w:r w:rsidR="00B64584" w:rsidRPr="006414E6">
        <w:rPr>
          <w:rFonts w:cs="Times New Roman"/>
        </w:rPr>
        <w:t>. Glavni izvor financiranja bit</w:t>
      </w:r>
      <w:r w:rsidRPr="006414E6">
        <w:rPr>
          <w:rFonts w:cs="Times New Roman"/>
        </w:rPr>
        <w:t xml:space="preserve"> će sredstva Europskih strukturnih i investicijskih fondova (ESI) i sredstva prikupljena na dražbi emisijskih jedinica CO</w:t>
      </w:r>
      <w:r w:rsidRPr="006414E6">
        <w:rPr>
          <w:rFonts w:cs="Times New Roman"/>
          <w:vertAlign w:val="subscript"/>
        </w:rPr>
        <w:t>2</w:t>
      </w:r>
      <w:r w:rsidRPr="006414E6">
        <w:rPr>
          <w:rFonts w:cs="Times New Roman"/>
        </w:rPr>
        <w:t>. Uz to, siguran izvor bit će i sredstva iz Fonda za modernizaciju, Fonda za inovacije, Fonda za povezivanje Europe, Europskog fonda za strateška ulaganja, i dr. Ostali izvori financiranja kao što su Obzor 2020 i Obzor Europa te LIFE program su kompetitivne prirode.</w:t>
      </w:r>
    </w:p>
    <w:p w14:paraId="0773E7E1" w14:textId="77777777" w:rsidR="006D31EC" w:rsidRPr="006414E6" w:rsidRDefault="006D31EC" w:rsidP="006D31EC">
      <w:pPr>
        <w:rPr>
          <w:rFonts w:cs="Times New Roman"/>
        </w:rPr>
      </w:pPr>
      <w:r w:rsidRPr="006414E6">
        <w:rPr>
          <w:rFonts w:cs="Times New Roman"/>
          <w:b/>
        </w:rPr>
        <w:t>Važan korak je da se u sljedećem ciklusu financiranja iz ESI fondova (2021.-2027.) poveća udio koji se odnosi na klimatske aktivnosti</w:t>
      </w:r>
      <w:r w:rsidRPr="006414E6">
        <w:rPr>
          <w:rFonts w:cs="Times New Roman"/>
        </w:rPr>
        <w:t xml:space="preserve"> </w:t>
      </w:r>
      <w:r w:rsidR="00B64584" w:rsidRPr="006414E6">
        <w:rPr>
          <w:rFonts w:cs="Times New Roman"/>
        </w:rPr>
        <w:t>više od</w:t>
      </w:r>
      <w:r w:rsidRPr="006414E6">
        <w:rPr>
          <w:rFonts w:cs="Times New Roman"/>
        </w:rPr>
        <w:t xml:space="preserve"> 20,4%, koliko je raspoloživ u razdoblju od 2014. do 2020. godine. </w:t>
      </w:r>
    </w:p>
    <w:p w14:paraId="23201080" w14:textId="713A751C" w:rsidR="00CA7ACA" w:rsidRPr="006414E6" w:rsidRDefault="00CA7ACA" w:rsidP="006D31EC">
      <w:pPr>
        <w:rPr>
          <w:rFonts w:cs="Times New Roman"/>
        </w:rPr>
      </w:pPr>
      <w:proofErr w:type="spellStart"/>
      <w:r w:rsidRPr="006414E6">
        <w:rPr>
          <w:rFonts w:cs="Times New Roman"/>
        </w:rPr>
        <w:t>Niskougljična</w:t>
      </w:r>
      <w:proofErr w:type="spellEnd"/>
      <w:r w:rsidRPr="006414E6">
        <w:rPr>
          <w:rFonts w:cs="Times New Roman"/>
        </w:rPr>
        <w:t xml:space="preserve"> strategija predviđa da će dugoročno za provođenje biti potrebno osigurati dodatna sredstva uvođenjem naknada na emisije za sve djelatnosti koje imaju emisije stakleničkih plinova, to se odnosi i na potrošnju fosilnih goriva za toplinske potrebe u kućanstvima, uslužnoj djelatnosti i prometu.</w:t>
      </w:r>
    </w:p>
    <w:p w14:paraId="632EFE36" w14:textId="77777777" w:rsidR="001E185B" w:rsidRPr="006414E6" w:rsidRDefault="001E185B" w:rsidP="006D31EC">
      <w:pPr>
        <w:rPr>
          <w:rFonts w:cs="Times New Roman"/>
        </w:rPr>
      </w:pPr>
      <w:r w:rsidRPr="006414E6">
        <w:rPr>
          <w:rFonts w:cs="Times New Roman"/>
        </w:rPr>
        <w:t xml:space="preserve">Novu perspektivu financiranja otvara Europski zeleni plan koji </w:t>
      </w:r>
      <w:r w:rsidR="006F570A" w:rsidRPr="006414E6">
        <w:rPr>
          <w:rFonts w:cs="Times New Roman"/>
        </w:rPr>
        <w:t xml:space="preserve">definira </w:t>
      </w:r>
      <w:r w:rsidRPr="006414E6">
        <w:rPr>
          <w:rFonts w:cs="Times New Roman"/>
        </w:rPr>
        <w:t xml:space="preserve">izradu Plana ulaganja za održivu Europu s dodatnim sredstvima za klimatske aktivnosti i prijedlogom novih instrumenata financiranja na nacionalnim razinama.  </w:t>
      </w:r>
    </w:p>
    <w:p w14:paraId="5F0DA038" w14:textId="77777777" w:rsidR="006D31EC" w:rsidRPr="006414E6" w:rsidRDefault="006D31EC" w:rsidP="006D31EC">
      <w:pPr>
        <w:rPr>
          <w:rFonts w:cs="Times New Roman"/>
          <w:b/>
          <w:i/>
          <w:u w:val="single"/>
        </w:rPr>
      </w:pPr>
      <w:r w:rsidRPr="006414E6">
        <w:rPr>
          <w:rFonts w:cs="Times New Roman"/>
          <w:b/>
          <w:i/>
          <w:u w:val="single"/>
        </w:rPr>
        <w:t xml:space="preserve">Utjecaj scenarija na okoliš i prirodu </w:t>
      </w:r>
    </w:p>
    <w:p w14:paraId="2995A577" w14:textId="77777777" w:rsidR="007178EC" w:rsidRPr="006414E6" w:rsidRDefault="007178EC" w:rsidP="007178EC">
      <w:pPr>
        <w:rPr>
          <w:rFonts w:cs="Times New Roman"/>
        </w:rPr>
      </w:pPr>
      <w:r w:rsidRPr="006414E6">
        <w:rPr>
          <w:rFonts w:cs="Times New Roman"/>
        </w:rPr>
        <w:t xml:space="preserve">Iako provedba </w:t>
      </w:r>
      <w:proofErr w:type="spellStart"/>
      <w:r w:rsidRPr="006414E6">
        <w:rPr>
          <w:rFonts w:cs="Times New Roman"/>
        </w:rPr>
        <w:t>Niskougljične</w:t>
      </w:r>
      <w:proofErr w:type="spellEnd"/>
      <w:r w:rsidRPr="006414E6">
        <w:rPr>
          <w:rFonts w:cs="Times New Roman"/>
        </w:rPr>
        <w:t xml:space="preserve"> strategije ima pozitivan učinak na smanjenje emisija stakleničkih plinova, neki aspekti </w:t>
      </w:r>
      <w:proofErr w:type="spellStart"/>
      <w:r w:rsidRPr="006414E6">
        <w:rPr>
          <w:rFonts w:cs="Times New Roman"/>
        </w:rPr>
        <w:t>niskougljičnog</w:t>
      </w:r>
      <w:proofErr w:type="spellEnd"/>
      <w:r w:rsidRPr="006414E6">
        <w:rPr>
          <w:rFonts w:cs="Times New Roman"/>
        </w:rPr>
        <w:t xml:space="preserve"> razvoja predstavljaju potencijalnu prijetnju za pojedine sastavnice okoliša i </w:t>
      </w:r>
      <w:r w:rsidRPr="006414E6">
        <w:rPr>
          <w:rFonts w:cs="Times New Roman"/>
        </w:rPr>
        <w:lastRenderedPageBreak/>
        <w:t xml:space="preserve">prirodu. Za </w:t>
      </w:r>
      <w:proofErr w:type="spellStart"/>
      <w:r w:rsidRPr="006414E6">
        <w:rPr>
          <w:rFonts w:cs="Times New Roman"/>
        </w:rPr>
        <w:t>Niskougljičnu</w:t>
      </w:r>
      <w:proofErr w:type="spellEnd"/>
      <w:r w:rsidRPr="006414E6">
        <w:rPr>
          <w:rFonts w:cs="Times New Roman"/>
        </w:rPr>
        <w:t xml:space="preserve"> strategiju provodi se postupak strateške procjene utjecaja na okoliš, koji obuhvaća i glavnu ocjenu prihvatljivosti za ekološku mrežu. U Strateškoj studiji utjecaja na okoliš Strategije </w:t>
      </w:r>
      <w:proofErr w:type="spellStart"/>
      <w:r w:rsidR="005C2285" w:rsidRPr="006414E6">
        <w:rPr>
          <w:rFonts w:cs="Times New Roman"/>
        </w:rPr>
        <w:t>n</w:t>
      </w:r>
      <w:r w:rsidRPr="006414E6">
        <w:rPr>
          <w:rFonts w:cs="Times New Roman"/>
        </w:rPr>
        <w:t>iskougljičnog</w:t>
      </w:r>
      <w:proofErr w:type="spellEnd"/>
      <w:r w:rsidRPr="006414E6">
        <w:rPr>
          <w:rFonts w:cs="Times New Roman"/>
        </w:rPr>
        <w:t xml:space="preserve"> razvoja Republike Hrvatske  do 2030. s pogledom na 2050. godinu sagledan je mogući utjecaj </w:t>
      </w:r>
      <w:proofErr w:type="spellStart"/>
      <w:r w:rsidRPr="006414E6">
        <w:rPr>
          <w:rFonts w:cs="Times New Roman"/>
        </w:rPr>
        <w:t>Niskougljične</w:t>
      </w:r>
      <w:proofErr w:type="spellEnd"/>
      <w:r w:rsidRPr="006414E6">
        <w:rPr>
          <w:rFonts w:cs="Times New Roman"/>
        </w:rPr>
        <w:t xml:space="preserve"> strategije na okoliš i ekološku mrežu te su određene mjere zaštite okoliša i mjere ublažavanja utjecaja na ciljeve očuvanja i cjelovitost područja ekološke mreže. Mjere zaštite okoliša i mjere ublažavanja utjecaja na ciljeve očuvanja i cjelovitost područja ekološke mreže ugrađene su u </w:t>
      </w:r>
      <w:proofErr w:type="spellStart"/>
      <w:r w:rsidRPr="006414E6">
        <w:rPr>
          <w:rFonts w:cs="Times New Roman"/>
        </w:rPr>
        <w:t>Niskougljičnu</w:t>
      </w:r>
      <w:proofErr w:type="spellEnd"/>
      <w:r w:rsidRPr="006414E6">
        <w:rPr>
          <w:rFonts w:cs="Times New Roman"/>
        </w:rPr>
        <w:t xml:space="preserve"> strategiju.</w:t>
      </w:r>
    </w:p>
    <w:p w14:paraId="3B263643" w14:textId="77777777" w:rsidR="006D31EC" w:rsidRPr="006414E6" w:rsidRDefault="006D31EC" w:rsidP="006D31EC">
      <w:pPr>
        <w:rPr>
          <w:rFonts w:cs="Times New Roman"/>
          <w:b/>
          <w:i/>
          <w:u w:val="single"/>
        </w:rPr>
      </w:pPr>
      <w:proofErr w:type="spellStart"/>
      <w:r w:rsidRPr="006414E6">
        <w:rPr>
          <w:rFonts w:cs="Times New Roman"/>
          <w:b/>
          <w:i/>
          <w:u w:val="single"/>
        </w:rPr>
        <w:t>Socio</w:t>
      </w:r>
      <w:proofErr w:type="spellEnd"/>
      <w:r w:rsidRPr="006414E6">
        <w:rPr>
          <w:rFonts w:cs="Times New Roman"/>
          <w:b/>
          <w:i/>
          <w:u w:val="single"/>
        </w:rPr>
        <w:t>-gospodarski utjecaji</w:t>
      </w:r>
    </w:p>
    <w:p w14:paraId="46970D5A" w14:textId="77777777" w:rsidR="006D31EC" w:rsidRPr="006414E6" w:rsidRDefault="006D31EC" w:rsidP="006D31EC">
      <w:pPr>
        <w:rPr>
          <w:rFonts w:cs="Times New Roman"/>
        </w:rPr>
      </w:pPr>
      <w:r w:rsidRPr="006414E6">
        <w:rPr>
          <w:rFonts w:cs="Times New Roman"/>
        </w:rPr>
        <w:t>Ukupne očekivane koristi za društvo (uzimajući u obzir eksterne troškove) su pozitivne i rezultiraju ukupno manjim društvenim troškom. Osnovni izazov provedbe i dinamike promjena je potreba visokih ulaganja koja mogu predstavljati značajan izazov za pojedine segmente gospodarstva i/ili kupaca. Ograničavajući čimbenik ubrzane tranzicije može biti sposobnost gospodarstva, društva i pojedinaca da pravovremeno sudjeluju u procesima zbog velikih početnih ulaganja, bez obzira što procesi tranzicije donose dugoročnu korist društvu i okolišu.</w:t>
      </w:r>
    </w:p>
    <w:p w14:paraId="00F38915" w14:textId="77777777" w:rsidR="006D31EC" w:rsidRPr="006414E6" w:rsidRDefault="006D31EC" w:rsidP="006D31EC">
      <w:pPr>
        <w:rPr>
          <w:rFonts w:cs="Times New Roman"/>
          <w:b/>
        </w:rPr>
      </w:pPr>
      <w:proofErr w:type="spellStart"/>
      <w:r w:rsidRPr="006414E6">
        <w:rPr>
          <w:rFonts w:cs="Times New Roman"/>
          <w:b/>
        </w:rPr>
        <w:t>Niskougljičnim</w:t>
      </w:r>
      <w:proofErr w:type="spellEnd"/>
      <w:r w:rsidRPr="006414E6">
        <w:rPr>
          <w:rFonts w:cs="Times New Roman"/>
          <w:b/>
        </w:rPr>
        <w:t xml:space="preserve"> razvojem mogu se ostvariti neto koristi za društvo, ali su za provedbu mjera potrebna dodatna sredstva, odnosno bez odgovarajuće politike i mjera tranzicija se neće dogoditi u potrebnom opsegu.</w:t>
      </w:r>
    </w:p>
    <w:p w14:paraId="0D83B68D" w14:textId="77777777" w:rsidR="006D31EC" w:rsidRPr="006414E6" w:rsidRDefault="006D31EC" w:rsidP="006D31EC">
      <w:pPr>
        <w:rPr>
          <w:rFonts w:cs="Times New Roman"/>
          <w:b/>
          <w:i/>
          <w:u w:val="single"/>
        </w:rPr>
      </w:pPr>
      <w:bookmarkStart w:id="117" w:name="_Toc477868530"/>
      <w:r w:rsidRPr="006414E6">
        <w:rPr>
          <w:rFonts w:cs="Times New Roman"/>
          <w:b/>
          <w:i/>
          <w:u w:val="single"/>
        </w:rPr>
        <w:t xml:space="preserve">Obrazovanje i aktivno uključivanje građana u </w:t>
      </w:r>
      <w:proofErr w:type="spellStart"/>
      <w:r w:rsidRPr="006414E6">
        <w:rPr>
          <w:rFonts w:cs="Times New Roman"/>
          <w:b/>
          <w:i/>
          <w:u w:val="single"/>
        </w:rPr>
        <w:t>niskougljični</w:t>
      </w:r>
      <w:proofErr w:type="spellEnd"/>
      <w:r w:rsidRPr="006414E6">
        <w:rPr>
          <w:rFonts w:cs="Times New Roman"/>
          <w:b/>
          <w:i/>
          <w:u w:val="single"/>
        </w:rPr>
        <w:t xml:space="preserve"> razvoj</w:t>
      </w:r>
      <w:bookmarkEnd w:id="117"/>
    </w:p>
    <w:p w14:paraId="22D4FA8E" w14:textId="25E98466" w:rsidR="006D31EC" w:rsidRPr="006414E6" w:rsidRDefault="00291539" w:rsidP="006D31EC">
      <w:pPr>
        <w:rPr>
          <w:rFonts w:cs="Times New Roman"/>
        </w:rPr>
      </w:pPr>
      <w:r w:rsidRPr="006414E6">
        <w:rPr>
          <w:rFonts w:cs="Times New Roman"/>
        </w:rPr>
        <w:t xml:space="preserve">Obrazovni sustav treba postati predvodnik u promicanju načela </w:t>
      </w:r>
      <w:proofErr w:type="spellStart"/>
      <w:r w:rsidRPr="006414E6">
        <w:rPr>
          <w:rFonts w:cs="Times New Roman"/>
        </w:rPr>
        <w:t>niskougljičnog</w:t>
      </w:r>
      <w:proofErr w:type="spellEnd"/>
      <w:r w:rsidRPr="006414E6">
        <w:rPr>
          <w:rFonts w:cs="Times New Roman"/>
        </w:rPr>
        <w:t xml:space="preserve"> razvoja, mladi ljudi koji ulaze u sustav obrazovanja danas bit će nositelji promjena u budućnosti te se bez njihovog znanja i uvjerenja ciljevi </w:t>
      </w:r>
      <w:proofErr w:type="spellStart"/>
      <w:r w:rsidRPr="006414E6">
        <w:rPr>
          <w:rFonts w:cs="Times New Roman"/>
        </w:rPr>
        <w:t>Niskougljične</w:t>
      </w:r>
      <w:proofErr w:type="spellEnd"/>
      <w:r w:rsidRPr="006414E6">
        <w:rPr>
          <w:rFonts w:cs="Times New Roman"/>
        </w:rPr>
        <w:t xml:space="preserve"> strategije neće provesti. </w:t>
      </w:r>
      <w:r w:rsidR="006D31EC" w:rsidRPr="006414E6">
        <w:rPr>
          <w:rFonts w:cs="Times New Roman"/>
        </w:rPr>
        <w:t xml:space="preserve">Stoga je ovo prioritetna aktivnost </w:t>
      </w:r>
      <w:proofErr w:type="spellStart"/>
      <w:r w:rsidR="006D31EC" w:rsidRPr="006414E6">
        <w:rPr>
          <w:rFonts w:cs="Times New Roman"/>
        </w:rPr>
        <w:t>Niskougljične</w:t>
      </w:r>
      <w:proofErr w:type="spellEnd"/>
      <w:r w:rsidR="006D31EC" w:rsidRPr="006414E6">
        <w:rPr>
          <w:rFonts w:cs="Times New Roman"/>
        </w:rPr>
        <w:t xml:space="preserve"> strategije, dugoročno važnija od bilo koje mjere tehničkog tipa. </w:t>
      </w:r>
    </w:p>
    <w:p w14:paraId="201E61C6" w14:textId="77777777" w:rsidR="006D31EC" w:rsidRPr="006414E6" w:rsidRDefault="006D31EC" w:rsidP="006D31EC">
      <w:pPr>
        <w:rPr>
          <w:rFonts w:cs="Times New Roman"/>
        </w:rPr>
      </w:pPr>
      <w:r w:rsidRPr="006414E6">
        <w:rPr>
          <w:rFonts w:cs="Times New Roman"/>
        </w:rPr>
        <w:t>U razdoblju od 2021. do 2030. godine sustav podizanja razine pismenosti o održivom razvoju i klimatskim promjenama u Hrvatskoj će se razvijati, dopunjavati i modernizirati u hodu, te stvarati generacije građana Hrvatske koji će biti cjelovito i sustavno „klimatski opismenjeni“.</w:t>
      </w:r>
    </w:p>
    <w:p w14:paraId="47ECB522" w14:textId="77777777" w:rsidR="006D31EC" w:rsidRPr="006414E6" w:rsidRDefault="006D31EC" w:rsidP="006D31EC">
      <w:pPr>
        <w:rPr>
          <w:rFonts w:cs="Times New Roman"/>
        </w:rPr>
      </w:pPr>
      <w:r w:rsidRPr="006414E6">
        <w:rPr>
          <w:rFonts w:cs="Times New Roman"/>
        </w:rPr>
        <w:t xml:space="preserve">Također, u razdoblju do 2030. godine previđa se ubrzanija promjena načina poimanja i obrazaca ponašanja u smjeru Republike Hrvatske kao </w:t>
      </w:r>
      <w:proofErr w:type="spellStart"/>
      <w:r w:rsidRPr="006414E6">
        <w:rPr>
          <w:rFonts w:cs="Times New Roman"/>
        </w:rPr>
        <w:t>niskougljičnog</w:t>
      </w:r>
      <w:proofErr w:type="spellEnd"/>
      <w:r w:rsidRPr="006414E6">
        <w:rPr>
          <w:rFonts w:cs="Times New Roman"/>
        </w:rPr>
        <w:t xml:space="preserve"> društva. S jedne strane, sustavno će rasti pismenost, s druge „učenje iz nužde“, a s treće </w:t>
      </w:r>
      <w:proofErr w:type="spellStart"/>
      <w:r w:rsidRPr="006414E6">
        <w:rPr>
          <w:rFonts w:cs="Times New Roman"/>
        </w:rPr>
        <w:t>niskougljična</w:t>
      </w:r>
      <w:proofErr w:type="spellEnd"/>
      <w:r w:rsidRPr="006414E6">
        <w:rPr>
          <w:rFonts w:cs="Times New Roman"/>
        </w:rPr>
        <w:t xml:space="preserve"> praktična rješenja u organizaciji društvenog života, produkcije, potrošnje i upravljanja razvojem u smjeru porasta održivosti.</w:t>
      </w:r>
    </w:p>
    <w:p w14:paraId="623676FE" w14:textId="77777777" w:rsidR="006D31EC" w:rsidRPr="006414E6" w:rsidRDefault="006D31EC" w:rsidP="006D31EC">
      <w:pPr>
        <w:rPr>
          <w:rFonts w:cs="Times New Roman"/>
          <w:b/>
          <w:i/>
          <w:u w:val="single"/>
        </w:rPr>
      </w:pPr>
      <w:r w:rsidRPr="006414E6">
        <w:rPr>
          <w:rFonts w:cs="Times New Roman"/>
          <w:b/>
          <w:i/>
          <w:u w:val="single"/>
        </w:rPr>
        <w:t xml:space="preserve">Istraživanje, razvoj i inovacije </w:t>
      </w:r>
    </w:p>
    <w:p w14:paraId="6BECBB80" w14:textId="47238DAB" w:rsidR="006D31EC" w:rsidRPr="006414E6" w:rsidRDefault="006D31EC" w:rsidP="006D31EC">
      <w:pPr>
        <w:rPr>
          <w:rFonts w:cs="Times New Roman"/>
        </w:rPr>
      </w:pPr>
      <w:r w:rsidRPr="006414E6">
        <w:rPr>
          <w:rFonts w:cs="Times New Roman"/>
        </w:rPr>
        <w:t xml:space="preserve">Dosadašnja ulaganja u istraživanje, razvoj i inovacije po pitanju klimatskih promjena bila su potpuno zanemariva i nedostatno raspoznata u postojećim strateškim dokumentima.  Istraživanje i razvoj su među najvećim potencijalnim faktorima doprinosa rastu BDP-a, odmah nakon povećanja zaposlenosti, stoga je u Hrvatskoj potrebno povećanje izdataka za  istraživanje i razvoj, bliže prosječnoj razini EU-a. Pristup sredstvima treba omogućiti i privatnom sektoru, za </w:t>
      </w:r>
      <w:r w:rsidR="00291539" w:rsidRPr="006414E6">
        <w:rPr>
          <w:rFonts w:cs="Times New Roman"/>
        </w:rPr>
        <w:t xml:space="preserve">primijenjena znanstvena i razvojna istraživanja, </w:t>
      </w:r>
      <w:r w:rsidRPr="006414E6">
        <w:rPr>
          <w:rFonts w:cs="Times New Roman"/>
        </w:rPr>
        <w:t xml:space="preserve"> pilot i demonstracijske projekte. U planiranju programa financiranja i u praćenju realizacije treba biti snažno uključeno ministarstvo nadležno za politike klime, </w:t>
      </w:r>
      <w:proofErr w:type="spellStart"/>
      <w:r w:rsidRPr="006414E6">
        <w:rPr>
          <w:rFonts w:cs="Times New Roman"/>
        </w:rPr>
        <w:t>međukoordinacijska</w:t>
      </w:r>
      <w:proofErr w:type="spellEnd"/>
      <w:r w:rsidRPr="006414E6">
        <w:rPr>
          <w:rFonts w:cs="Times New Roman"/>
        </w:rPr>
        <w:t xml:space="preserve"> tijela i predstavnici izvan javnog sektora.  </w:t>
      </w:r>
    </w:p>
    <w:p w14:paraId="420251F0" w14:textId="77777777" w:rsidR="006D31EC" w:rsidRPr="006414E6" w:rsidRDefault="006D31EC" w:rsidP="006D31EC">
      <w:pPr>
        <w:rPr>
          <w:rFonts w:cs="Times New Roman"/>
          <w:b/>
          <w:i/>
          <w:u w:val="single"/>
        </w:rPr>
      </w:pPr>
      <w:r w:rsidRPr="006414E6">
        <w:rPr>
          <w:rFonts w:cs="Times New Roman"/>
        </w:rPr>
        <w:t xml:space="preserve">Elemente </w:t>
      </w:r>
      <w:proofErr w:type="spellStart"/>
      <w:r w:rsidRPr="006414E6">
        <w:rPr>
          <w:rFonts w:cs="Times New Roman"/>
        </w:rPr>
        <w:t>niskougljičnog</w:t>
      </w:r>
      <w:proofErr w:type="spellEnd"/>
      <w:r w:rsidRPr="006414E6">
        <w:rPr>
          <w:rFonts w:cs="Times New Roman"/>
        </w:rPr>
        <w:t xml:space="preserve"> razvoja potrebno je integrirati u programe poticanja inovacija, istraživanja i razvoja visokih tehnologija u privatnom i javnom sektoru</w:t>
      </w:r>
      <w:r w:rsidR="004804BB" w:rsidRPr="006414E6">
        <w:rPr>
          <w:rFonts w:cs="Times New Roman"/>
        </w:rPr>
        <w:t>.</w:t>
      </w:r>
    </w:p>
    <w:p w14:paraId="324EF126" w14:textId="77777777" w:rsidR="006D31EC" w:rsidRPr="006414E6" w:rsidRDefault="006D31EC" w:rsidP="006D31EC">
      <w:pPr>
        <w:rPr>
          <w:rFonts w:cs="Times New Roman"/>
          <w:b/>
          <w:i/>
          <w:u w:val="single"/>
        </w:rPr>
      </w:pPr>
      <w:bookmarkStart w:id="118" w:name="_Toc477868529"/>
      <w:proofErr w:type="spellStart"/>
      <w:r w:rsidRPr="006414E6">
        <w:rPr>
          <w:rFonts w:cs="Times New Roman"/>
          <w:b/>
          <w:i/>
          <w:u w:val="single"/>
        </w:rPr>
        <w:t>Niskougljični</w:t>
      </w:r>
      <w:proofErr w:type="spellEnd"/>
      <w:r w:rsidRPr="006414E6">
        <w:rPr>
          <w:rFonts w:cs="Times New Roman"/>
          <w:b/>
          <w:i/>
          <w:u w:val="single"/>
        </w:rPr>
        <w:t xml:space="preserve"> razvoj na lokalnoj razini</w:t>
      </w:r>
      <w:bookmarkEnd w:id="118"/>
    </w:p>
    <w:p w14:paraId="46E55534" w14:textId="77777777" w:rsidR="006D31EC" w:rsidRPr="006414E6" w:rsidRDefault="006D31EC" w:rsidP="006D31EC">
      <w:pPr>
        <w:rPr>
          <w:rFonts w:cs="Times New Roman"/>
        </w:rPr>
      </w:pPr>
      <w:r w:rsidRPr="006414E6">
        <w:rPr>
          <w:rFonts w:cs="Times New Roman"/>
        </w:rPr>
        <w:lastRenderedPageBreak/>
        <w:t xml:space="preserve">Provedbom </w:t>
      </w:r>
      <w:proofErr w:type="spellStart"/>
      <w:r w:rsidRPr="006414E6">
        <w:rPr>
          <w:rFonts w:cs="Times New Roman"/>
        </w:rPr>
        <w:t>niskougljične</w:t>
      </w:r>
      <w:proofErr w:type="spellEnd"/>
      <w:r w:rsidRPr="006414E6">
        <w:rPr>
          <w:rFonts w:cs="Times New Roman"/>
        </w:rPr>
        <w:t xml:space="preserve"> strategije treba uspostaviti bolju povezanost i sinergijske učinke politika na državnoj razini i lokalnim razinama. Djelovanje se sve više pomiče na samostalne aktivnosti lokalnih uprava i gradova. Ambicioznije inicijative kao što su ugljično neutralni otoci, gradovi i slično treba podržati. U tome je osobito važno povezivanje aktivnosti koje se provode u okviru inicijative „Povelja gradonačelnika“, koncepta „pametnih gradova“ i inovativnih platformi. Na lokalnoj razini dolazi do povezivanja mjera ublažavanja i prilagodbe klimatskim promjenama te je sinergija korištenja resursa najsnažnija. </w:t>
      </w:r>
    </w:p>
    <w:p w14:paraId="6481033F" w14:textId="00307346" w:rsidR="006D31EC" w:rsidRPr="006414E6" w:rsidRDefault="006D31EC" w:rsidP="006D31EC">
      <w:pPr>
        <w:rPr>
          <w:rFonts w:cs="Times New Roman"/>
        </w:rPr>
      </w:pPr>
      <w:proofErr w:type="spellStart"/>
      <w:r w:rsidRPr="006414E6">
        <w:rPr>
          <w:rFonts w:cs="Times New Roman"/>
        </w:rPr>
        <w:t>Niskougljična</w:t>
      </w:r>
      <w:proofErr w:type="spellEnd"/>
      <w:r w:rsidRPr="006414E6">
        <w:rPr>
          <w:rFonts w:cs="Times New Roman"/>
        </w:rPr>
        <w:t xml:space="preserve"> strategija ukazuje na niz mjera pri planiranju i izgradnji integralnih sustava u gradovima. Mjere uključuju javni i ostali promet, zgradarstvo, komunalne sustave, autonomne</w:t>
      </w:r>
      <w:r w:rsidR="004804BB" w:rsidRPr="006414E6">
        <w:rPr>
          <w:rFonts w:cs="Times New Roman"/>
        </w:rPr>
        <w:t xml:space="preserve"> sustave, obrazovne sustave, I</w:t>
      </w:r>
      <w:r w:rsidRPr="006414E6">
        <w:rPr>
          <w:rFonts w:cs="Times New Roman"/>
        </w:rPr>
        <w:t>C</w:t>
      </w:r>
      <w:r w:rsidR="004804BB" w:rsidRPr="006414E6">
        <w:rPr>
          <w:rFonts w:cs="Times New Roman"/>
        </w:rPr>
        <w:t>T</w:t>
      </w:r>
      <w:r w:rsidRPr="006414E6">
        <w:rPr>
          <w:rFonts w:cs="Times New Roman"/>
        </w:rPr>
        <w:t xml:space="preserve"> tehnologije, urbanizam, inovativna rješenja u raznim područjima</w:t>
      </w:r>
      <w:r w:rsidR="00291539" w:rsidRPr="006414E6">
        <w:rPr>
          <w:rFonts w:cs="Times New Roman"/>
        </w:rPr>
        <w:t xml:space="preserve"> </w:t>
      </w:r>
      <w:r w:rsidRPr="006414E6">
        <w:rPr>
          <w:rFonts w:cs="Times New Roman"/>
        </w:rPr>
        <w:t xml:space="preserve">i podizanje javne svijesti. </w:t>
      </w:r>
    </w:p>
    <w:p w14:paraId="276C667C" w14:textId="77777777" w:rsidR="006D31EC" w:rsidRPr="006414E6" w:rsidRDefault="006D31EC" w:rsidP="006414E6">
      <w:pPr>
        <w:rPr>
          <w:rFonts w:cs="Times New Roman"/>
          <w:b/>
          <w:i/>
          <w:u w:val="single"/>
        </w:rPr>
      </w:pPr>
      <w:proofErr w:type="spellStart"/>
      <w:r w:rsidRPr="006414E6">
        <w:rPr>
          <w:rFonts w:cs="Times New Roman"/>
          <w:b/>
          <w:i/>
          <w:u w:val="single"/>
        </w:rPr>
        <w:t>Niskougljično</w:t>
      </w:r>
      <w:proofErr w:type="spellEnd"/>
      <w:r w:rsidRPr="006414E6">
        <w:rPr>
          <w:rFonts w:cs="Times New Roman"/>
          <w:b/>
          <w:i/>
          <w:u w:val="single"/>
        </w:rPr>
        <w:t xml:space="preserve"> gospodarstvo i obrasci poslovanja </w:t>
      </w:r>
    </w:p>
    <w:p w14:paraId="32B74066" w14:textId="77777777" w:rsidR="006D31EC" w:rsidRPr="006414E6" w:rsidRDefault="006D31EC" w:rsidP="006414E6">
      <w:pPr>
        <w:rPr>
          <w:rFonts w:cs="Times New Roman"/>
        </w:rPr>
      </w:pPr>
      <w:r w:rsidRPr="006414E6">
        <w:rPr>
          <w:rFonts w:cs="Times New Roman"/>
        </w:rPr>
        <w:t>Vezano za obrasce poslovanja najznačajniji je preobražaj poslovanja po načelima kružnog gospodarstva. Potrebno je provoditi politiku održive potrošnje i proizvodnje, potaknuti održive obrasce ponašanja i poslovanja u svim gospodarskim sektorima. Treba povoditi koncept „životni ciklus proizvoda i usluga“ (LCA) koji prati okolišni otisak proizvoda i usluga, a utemeljen je na znanstvenim pokazateljima. Cilj je smanjiti potrošnju prirodnih dobara, smanjiti nastanak opasnih i toksičnih tvari, smanjiti emisije u zrak, vodu i tlo te smanjiti ili spriječiti nastajanje otpada na mjestu nastanka.</w:t>
      </w:r>
    </w:p>
    <w:p w14:paraId="7E4CB495" w14:textId="77777777" w:rsidR="006D31EC" w:rsidRPr="006414E6" w:rsidRDefault="006D31EC" w:rsidP="006D31EC">
      <w:pPr>
        <w:rPr>
          <w:rFonts w:cs="Times New Roman"/>
        </w:rPr>
      </w:pPr>
      <w:r w:rsidRPr="006414E6">
        <w:rPr>
          <w:rFonts w:cs="Times New Roman"/>
        </w:rPr>
        <w:t xml:space="preserve">Primjena načela </w:t>
      </w:r>
      <w:proofErr w:type="spellStart"/>
      <w:r w:rsidRPr="006414E6">
        <w:rPr>
          <w:rFonts w:cs="Times New Roman"/>
        </w:rPr>
        <w:t>niskougljičnog</w:t>
      </w:r>
      <w:proofErr w:type="spellEnd"/>
      <w:r w:rsidRPr="006414E6">
        <w:rPr>
          <w:rFonts w:cs="Times New Roman"/>
        </w:rPr>
        <w:t xml:space="preserve"> razvoja u poslovnim organizacijama je uglavnom dobrovoljna, što znači da vodstva organizacija primjenjuju ova načela očekujući da će dugoročno ostvariti određenu korist. Zbog toga uspjeh ovisi o dva elementa: prvenstveno o jačanju svijesti i edukaciji osoba odgovornih za upravljanje organizacijama i donošenje ključnih poslovnih odluka (visokog menadžmenta) te o stvaranju poticajnog poslovnog okruženja u kojem će organizacije prepoznati korist od primjene načela </w:t>
      </w:r>
      <w:proofErr w:type="spellStart"/>
      <w:r w:rsidRPr="006414E6">
        <w:rPr>
          <w:rFonts w:cs="Times New Roman"/>
        </w:rPr>
        <w:t>niskougljičnog</w:t>
      </w:r>
      <w:proofErr w:type="spellEnd"/>
      <w:r w:rsidRPr="006414E6">
        <w:rPr>
          <w:rFonts w:cs="Times New Roman"/>
        </w:rPr>
        <w:t xml:space="preserve"> razvoja, s time da ta korist nije nužno materijalna ili se barem tek dugoročno može materijalizirati.</w:t>
      </w:r>
    </w:p>
    <w:p w14:paraId="0A55E625" w14:textId="0569BB03" w:rsidR="006D31EC" w:rsidRPr="006414E6" w:rsidRDefault="006D31EC" w:rsidP="006D31EC">
      <w:pPr>
        <w:rPr>
          <w:rFonts w:cs="Times New Roman"/>
          <w:b/>
          <w:i/>
          <w:u w:val="single"/>
        </w:rPr>
      </w:pPr>
      <w:r w:rsidRPr="006414E6">
        <w:rPr>
          <w:rFonts w:cs="Times New Roman"/>
        </w:rPr>
        <w:t>Vez</w:t>
      </w:r>
      <w:r w:rsidR="004804BB" w:rsidRPr="006414E6">
        <w:rPr>
          <w:rFonts w:cs="Times New Roman"/>
        </w:rPr>
        <w:t>a</w:t>
      </w:r>
      <w:r w:rsidRPr="006414E6">
        <w:rPr>
          <w:rFonts w:cs="Times New Roman"/>
        </w:rPr>
        <w:t xml:space="preserve">no za konkretne mjere, radi se o poticanju uspostave sustava kvalitete, sustava upravljanja okolišem, određivanju ugljičnog otiska, ekološkom licenciranju, zelenoj javnoj nabavi, itd.  Navedeno podrazumijeva i izgradnju adekvatne informatičke infrastrukture, baza podataka, modela proračuna. </w:t>
      </w:r>
    </w:p>
    <w:p w14:paraId="492A1AB2" w14:textId="77777777" w:rsidR="006D31EC" w:rsidRPr="006414E6" w:rsidRDefault="006D31EC" w:rsidP="006D31EC">
      <w:pPr>
        <w:rPr>
          <w:rFonts w:cs="Times New Roman"/>
          <w:b/>
          <w:i/>
          <w:u w:val="single"/>
        </w:rPr>
      </w:pPr>
      <w:r w:rsidRPr="006414E6">
        <w:rPr>
          <w:rFonts w:cs="Times New Roman"/>
          <w:b/>
          <w:i/>
          <w:u w:val="single"/>
        </w:rPr>
        <w:t xml:space="preserve">Međunarodna suradnja </w:t>
      </w:r>
    </w:p>
    <w:p w14:paraId="45E4E469" w14:textId="77777777" w:rsidR="006D31EC" w:rsidRPr="006414E6" w:rsidRDefault="006D31EC" w:rsidP="006D31EC">
      <w:pPr>
        <w:rPr>
          <w:rFonts w:cs="Times New Roman"/>
        </w:rPr>
      </w:pPr>
      <w:r w:rsidRPr="006414E6">
        <w:rPr>
          <w:rFonts w:cs="Times New Roman"/>
        </w:rPr>
        <w:t>Pariškim sporazumom utvrđeno je da će razvijene države svijeta i dalje pomagati državama u razvoju u provođenju mjera za ublažavanje klimatskih promjena i prilagodbi na klimatske promjene, u cilju ispunjenja njihovih obveza prema UNFCCC. Generalno, tri su vida moguće pomoći: financiranje, transfer tehnologija i izgradnja kapaciteta.</w:t>
      </w:r>
    </w:p>
    <w:p w14:paraId="2D672714" w14:textId="77777777" w:rsidR="006D31EC" w:rsidRPr="006414E6" w:rsidRDefault="006D31EC" w:rsidP="006D31EC">
      <w:pPr>
        <w:ind w:left="708"/>
        <w:rPr>
          <w:rFonts w:cs="Times New Roman"/>
        </w:rPr>
      </w:pPr>
      <w:r w:rsidRPr="006414E6">
        <w:rPr>
          <w:rFonts w:cs="Times New Roman"/>
          <w:u w:val="single"/>
        </w:rPr>
        <w:t>Hrvatska u ulozi primatelja</w:t>
      </w:r>
      <w:r w:rsidRPr="006414E6">
        <w:rPr>
          <w:rFonts w:cs="Times New Roman"/>
        </w:rPr>
        <w:t xml:space="preserve">. Potrebno je identificirati međunarodne programe i projekte na koje se može kvalificirati Hrvatska ili za koje se mogu kvalificirati pojedinačni subjekti iz Hrvatske. </w:t>
      </w:r>
    </w:p>
    <w:p w14:paraId="315B4B46" w14:textId="77777777" w:rsidR="006D31EC" w:rsidRPr="006414E6" w:rsidRDefault="006D31EC" w:rsidP="006D31EC">
      <w:pPr>
        <w:ind w:left="674"/>
        <w:rPr>
          <w:rFonts w:cs="Times New Roman"/>
        </w:rPr>
      </w:pPr>
      <w:r w:rsidRPr="006414E6">
        <w:rPr>
          <w:rFonts w:cs="Times New Roman"/>
          <w:u w:val="single"/>
        </w:rPr>
        <w:t>Hrvatska u ulozi davatelja.</w:t>
      </w:r>
      <w:r w:rsidRPr="006414E6">
        <w:rPr>
          <w:rFonts w:cs="Times New Roman"/>
        </w:rPr>
        <w:t xml:space="preserve"> Pružanje pomoći kroz transfer tehnologija, što podrazumijeva tok znanja, iskustva i opreme iz Hrvatske, moguće je ostvariti također kroz međunarodne projekte i programe, ali i kroz druge oblike suradnje, kao što je bilateralna suradnja. </w:t>
      </w:r>
    </w:p>
    <w:p w14:paraId="049171DD" w14:textId="77777777" w:rsidR="006D31EC" w:rsidRPr="006414E6" w:rsidRDefault="006D31EC" w:rsidP="006414E6">
      <w:pPr>
        <w:rPr>
          <w:rFonts w:cs="Times New Roman"/>
          <w:b/>
          <w:i/>
          <w:u w:val="single"/>
        </w:rPr>
      </w:pPr>
      <w:r w:rsidRPr="006414E6">
        <w:rPr>
          <w:rFonts w:cs="Times New Roman"/>
          <w:b/>
          <w:i/>
          <w:u w:val="single"/>
        </w:rPr>
        <w:t xml:space="preserve">Provedba </w:t>
      </w:r>
      <w:proofErr w:type="spellStart"/>
      <w:r w:rsidRPr="006414E6">
        <w:rPr>
          <w:rFonts w:cs="Times New Roman"/>
          <w:b/>
          <w:i/>
          <w:u w:val="single"/>
        </w:rPr>
        <w:t>Niskougljične</w:t>
      </w:r>
      <w:proofErr w:type="spellEnd"/>
      <w:r w:rsidRPr="006414E6">
        <w:rPr>
          <w:rFonts w:cs="Times New Roman"/>
          <w:b/>
          <w:i/>
          <w:u w:val="single"/>
        </w:rPr>
        <w:t xml:space="preserve"> strategije </w:t>
      </w:r>
    </w:p>
    <w:p w14:paraId="0EC12183" w14:textId="77777777" w:rsidR="007178EC" w:rsidRPr="006414E6" w:rsidRDefault="007178EC" w:rsidP="006414E6">
      <w:pPr>
        <w:rPr>
          <w:rFonts w:cs="Times New Roman"/>
        </w:rPr>
      </w:pPr>
      <w:r w:rsidRPr="006414E6">
        <w:rPr>
          <w:rFonts w:cs="Times New Roman"/>
        </w:rPr>
        <w:t xml:space="preserve">Proces tranzicije prema </w:t>
      </w:r>
      <w:proofErr w:type="spellStart"/>
      <w:r w:rsidRPr="006414E6">
        <w:rPr>
          <w:rFonts w:cs="Times New Roman"/>
        </w:rPr>
        <w:t>niskougljičnom</w:t>
      </w:r>
      <w:proofErr w:type="spellEnd"/>
      <w:r w:rsidRPr="006414E6">
        <w:rPr>
          <w:rFonts w:cs="Times New Roman"/>
        </w:rPr>
        <w:t xml:space="preserve"> gospodarstvu je kontinuiran i dugotrajan i zahvaća cjelokupno društvo i gospodarstvo. Stoga je za uspješnu provedbu </w:t>
      </w:r>
      <w:proofErr w:type="spellStart"/>
      <w:r w:rsidRPr="006414E6">
        <w:rPr>
          <w:rFonts w:cs="Times New Roman"/>
        </w:rPr>
        <w:t>Niskougljične</w:t>
      </w:r>
      <w:proofErr w:type="spellEnd"/>
      <w:r w:rsidRPr="006414E6">
        <w:rPr>
          <w:rFonts w:cs="Times New Roman"/>
        </w:rPr>
        <w:t xml:space="preserve"> strategije potrebna horizontalna </w:t>
      </w:r>
      <w:r w:rsidRPr="006414E6">
        <w:rPr>
          <w:rFonts w:cs="Times New Roman"/>
        </w:rPr>
        <w:lastRenderedPageBreak/>
        <w:t xml:space="preserve">međusektorska suradnja središnjih tijela državne uprave i tijela javne vlasti te vertikalna suradnja od državne razine do djelovanja na lokalnoj razini. </w:t>
      </w:r>
    </w:p>
    <w:p w14:paraId="0F7444EF" w14:textId="77777777" w:rsidR="007178EC" w:rsidRPr="006414E6" w:rsidRDefault="007178EC" w:rsidP="007178EC">
      <w:pPr>
        <w:rPr>
          <w:rFonts w:cs="Times New Roman"/>
        </w:rPr>
      </w:pPr>
      <w:r w:rsidRPr="006414E6">
        <w:rPr>
          <w:rFonts w:cs="Times New Roman"/>
        </w:rPr>
        <w:t xml:space="preserve">Kako bi se </w:t>
      </w:r>
      <w:proofErr w:type="spellStart"/>
      <w:r w:rsidRPr="006414E6">
        <w:rPr>
          <w:rFonts w:cs="Times New Roman"/>
        </w:rPr>
        <w:t>niskougljični</w:t>
      </w:r>
      <w:proofErr w:type="spellEnd"/>
      <w:r w:rsidRPr="006414E6">
        <w:rPr>
          <w:rFonts w:cs="Times New Roman"/>
        </w:rPr>
        <w:t xml:space="preserve"> razvoj ugradio u ključne aspekte društva i gospodarstva, za očekivati je da će doći do prilagodbe postojećeg pravnog okvira i razvojnih dokumenata pojedinih područja. </w:t>
      </w:r>
      <w:r w:rsidRPr="006414E6">
        <w:rPr>
          <w:rFonts w:cs="Times New Roman"/>
          <w:szCs w:val="24"/>
        </w:rPr>
        <w:t xml:space="preserve">Međusektorsku suradnju koordiniraju danas </w:t>
      </w:r>
      <w:r w:rsidRPr="006414E6">
        <w:rPr>
          <w:rFonts w:cs="Times New Roman"/>
        </w:rPr>
        <w:t>Povjerenstvo za međusektorsku koordinaciju za nacionalni sustav za praćenje emisija stakleničkih plinova i Povjerenstvo za međusektorsku koordinaciju za politiku i mjere za ublažavanje i prilagodbu klimatskim promjenama. Kako bi se dodatno osnažili mehanizmi za horizontalno djelovanje predloženo je osnivanje centralne koordinacijske funkcije za održivi razvoj i klimatske aktivnosti pri Vladi Republike Hrvatske, a prepoznata je potreba jačanja kapaciteta na svima razinama.</w:t>
      </w:r>
    </w:p>
    <w:p w14:paraId="63B6B4AD" w14:textId="77777777" w:rsidR="007178EC" w:rsidRPr="006414E6" w:rsidRDefault="007178EC" w:rsidP="007178EC">
      <w:pPr>
        <w:rPr>
          <w:rFonts w:cs="Times New Roman"/>
          <w:szCs w:val="24"/>
        </w:rPr>
      </w:pPr>
      <w:r w:rsidRPr="006414E6">
        <w:rPr>
          <w:rFonts w:cs="Times New Roman"/>
          <w:szCs w:val="24"/>
        </w:rPr>
        <w:t xml:space="preserve">Središnje tijelo državne uprave nadležno za zaštitu okoliša izvješćuje Europsku komisiju o provedbi </w:t>
      </w:r>
      <w:proofErr w:type="spellStart"/>
      <w:r w:rsidRPr="006414E6">
        <w:rPr>
          <w:rFonts w:cs="Times New Roman"/>
          <w:szCs w:val="24"/>
        </w:rPr>
        <w:t>Niskougljične</w:t>
      </w:r>
      <w:proofErr w:type="spellEnd"/>
      <w:r w:rsidRPr="006414E6">
        <w:rPr>
          <w:rFonts w:cs="Times New Roman"/>
          <w:szCs w:val="24"/>
        </w:rPr>
        <w:t xml:space="preserve"> strategije putem Izvješće o primjeni </w:t>
      </w:r>
      <w:proofErr w:type="spellStart"/>
      <w:r w:rsidRPr="006414E6">
        <w:rPr>
          <w:rFonts w:cs="Times New Roman"/>
          <w:szCs w:val="24"/>
        </w:rPr>
        <w:t>Niskougljične</w:t>
      </w:r>
      <w:proofErr w:type="spellEnd"/>
      <w:r w:rsidRPr="006414E6">
        <w:rPr>
          <w:rFonts w:cs="Times New Roman"/>
          <w:szCs w:val="24"/>
        </w:rPr>
        <w:t xml:space="preserve"> strategije u rokovima određenima propisima, odnosno u skladu s rasporedom dogovorenim na međunarodnoj razini u kontekstu </w:t>
      </w:r>
      <w:r w:rsidR="005C2285" w:rsidRPr="006414E6">
        <w:rPr>
          <w:rFonts w:cs="Times New Roman"/>
        </w:rPr>
        <w:t>Okvirne konvencije Ujedinjenih naroda o promjeni klime (dalje u tekstu: UNFCCC</w:t>
      </w:r>
      <w:r w:rsidR="005C2285" w:rsidRPr="006414E6">
        <w:rPr>
          <w:rFonts w:cs="Times New Roman"/>
          <w:szCs w:val="24"/>
        </w:rPr>
        <w:t>)</w:t>
      </w:r>
      <w:r w:rsidRPr="006414E6">
        <w:rPr>
          <w:rFonts w:cs="Times New Roman"/>
          <w:szCs w:val="24"/>
        </w:rPr>
        <w:t>.</w:t>
      </w:r>
    </w:p>
    <w:p w14:paraId="37DDBB39" w14:textId="77777777" w:rsidR="006D31EC" w:rsidRPr="006414E6" w:rsidRDefault="006D31EC" w:rsidP="006D31EC">
      <w:pPr>
        <w:rPr>
          <w:rFonts w:cs="Times New Roman"/>
          <w:b/>
          <w:i/>
          <w:u w:val="single"/>
        </w:rPr>
      </w:pPr>
      <w:r w:rsidRPr="006414E6">
        <w:rPr>
          <w:rFonts w:cs="Times New Roman"/>
          <w:b/>
          <w:i/>
          <w:u w:val="single"/>
        </w:rPr>
        <w:t xml:space="preserve">Strateška procjena utjecaja </w:t>
      </w:r>
      <w:proofErr w:type="spellStart"/>
      <w:r w:rsidRPr="006414E6">
        <w:rPr>
          <w:rFonts w:cs="Times New Roman"/>
          <w:b/>
          <w:i/>
          <w:u w:val="single"/>
        </w:rPr>
        <w:t>niskougljične</w:t>
      </w:r>
      <w:proofErr w:type="spellEnd"/>
      <w:r w:rsidRPr="006414E6">
        <w:rPr>
          <w:rFonts w:cs="Times New Roman"/>
          <w:b/>
          <w:i/>
          <w:u w:val="single"/>
        </w:rPr>
        <w:t xml:space="preserve"> strategije na okoliš  </w:t>
      </w:r>
    </w:p>
    <w:p w14:paraId="34CBE930" w14:textId="77777777" w:rsidR="006D31EC" w:rsidRPr="006414E6" w:rsidRDefault="006D31EC" w:rsidP="006D31EC">
      <w:pPr>
        <w:rPr>
          <w:rFonts w:cs="Times New Roman"/>
        </w:rPr>
      </w:pPr>
      <w:r w:rsidRPr="006414E6">
        <w:rPr>
          <w:rFonts w:cs="Times New Roman"/>
        </w:rPr>
        <w:t xml:space="preserve">Sukladno propisima koji uređuju zaštitu okoliša, za </w:t>
      </w:r>
      <w:proofErr w:type="spellStart"/>
      <w:r w:rsidRPr="006414E6">
        <w:rPr>
          <w:rFonts w:cs="Times New Roman"/>
        </w:rPr>
        <w:t>Niskougljičnu</w:t>
      </w:r>
      <w:proofErr w:type="spellEnd"/>
      <w:r w:rsidRPr="006414E6">
        <w:rPr>
          <w:rFonts w:cs="Times New Roman"/>
        </w:rPr>
        <w:t xml:space="preserve"> strategiju proveden je  postupak strateške procjene utjecaja na okoliš. U Strateškoj studiji sagledan je mogući utjecaj </w:t>
      </w:r>
      <w:proofErr w:type="spellStart"/>
      <w:r w:rsidRPr="006414E6">
        <w:rPr>
          <w:rFonts w:cs="Times New Roman"/>
        </w:rPr>
        <w:t>Niskougljične</w:t>
      </w:r>
      <w:proofErr w:type="spellEnd"/>
      <w:r w:rsidRPr="006414E6">
        <w:rPr>
          <w:rFonts w:cs="Times New Roman"/>
        </w:rPr>
        <w:t xml:space="preserve"> strategije na okoliš i ekološku mrežu te su određene mjere zaštite okoliša i mjere ublažavanja utjecaja na ciljeve očuvanja i cjelovitost područja ekološke mreže.</w:t>
      </w:r>
    </w:p>
    <w:p w14:paraId="099D2585" w14:textId="77777777" w:rsidR="009A2FAA" w:rsidRPr="006414E6" w:rsidRDefault="00B251B2" w:rsidP="00EE3488">
      <w:pPr>
        <w:pStyle w:val="Heading2"/>
      </w:pPr>
      <w:bookmarkStart w:id="119" w:name="_Toc20841284"/>
      <w:bookmarkStart w:id="120" w:name="_Toc20841390"/>
      <w:bookmarkStart w:id="121" w:name="_Toc39133254"/>
      <w:r w:rsidRPr="006414E6">
        <w:t>1</w:t>
      </w:r>
      <w:r w:rsidR="009A2FAA" w:rsidRPr="006414E6">
        <w:t>.2.</w:t>
      </w:r>
      <w:r w:rsidR="009A2FAA" w:rsidRPr="006414E6">
        <w:tab/>
        <w:t>PRAVNI KONTEKST I KONTEKST POLITIKA</w:t>
      </w:r>
      <w:bookmarkEnd w:id="119"/>
      <w:bookmarkEnd w:id="120"/>
      <w:bookmarkEnd w:id="121"/>
    </w:p>
    <w:p w14:paraId="77B8FD45" w14:textId="77777777" w:rsidR="00B251B2" w:rsidRPr="006414E6" w:rsidRDefault="00B251B2" w:rsidP="00B251B2">
      <w:pPr>
        <w:rPr>
          <w:rFonts w:cs="Times New Roman"/>
        </w:rPr>
      </w:pPr>
      <w:r w:rsidRPr="006414E6">
        <w:rPr>
          <w:rFonts w:cs="Times New Roman"/>
        </w:rPr>
        <w:t>Globalna promjena klime danas je jedan od najvećih izazova čovječanstva. Znanstveno je utvrđeno da su vodeći uzroci promjene klime povećana emisija stakleničkih plinova, najviše kao posljedica izgaranja fosilnih goriva i intenzivne poljoprivrede te sječa tropskih šuma. Zajedničko djelovanje država u cilju sprječavanja globalnih promjena provodi se kroz UNFCCC</w:t>
      </w:r>
      <w:r w:rsidR="005C2285" w:rsidRPr="006414E6">
        <w:rPr>
          <w:rFonts w:cs="Times New Roman"/>
        </w:rPr>
        <w:t>-a</w:t>
      </w:r>
      <w:r w:rsidRPr="006414E6">
        <w:rPr>
          <w:rFonts w:cs="Times New Roman"/>
        </w:rPr>
        <w:t xml:space="preserve">. </w:t>
      </w:r>
      <w:proofErr w:type="spellStart"/>
      <w:r w:rsidRPr="006414E6">
        <w:rPr>
          <w:rFonts w:cs="Times New Roman"/>
        </w:rPr>
        <w:t>Kyotski</w:t>
      </w:r>
      <w:proofErr w:type="spellEnd"/>
      <w:r w:rsidRPr="006414E6">
        <w:rPr>
          <w:rFonts w:cs="Times New Roman"/>
        </w:rPr>
        <w:t xml:space="preserve"> protokol uz </w:t>
      </w:r>
      <w:proofErr w:type="spellStart"/>
      <w:r w:rsidRPr="006414E6">
        <w:rPr>
          <w:rFonts w:cs="Times New Roman"/>
        </w:rPr>
        <w:t>UNFCCC</w:t>
      </w:r>
      <w:proofErr w:type="spellEnd"/>
      <w:r w:rsidRPr="006414E6">
        <w:rPr>
          <w:rFonts w:cs="Times New Roman"/>
        </w:rPr>
        <w:t xml:space="preserve"> i njegov </w:t>
      </w:r>
      <w:r w:rsidR="005C2285" w:rsidRPr="006414E6">
        <w:rPr>
          <w:rFonts w:cs="Times New Roman"/>
        </w:rPr>
        <w:t xml:space="preserve">Doha </w:t>
      </w:r>
      <w:r w:rsidRPr="006414E6">
        <w:rPr>
          <w:rFonts w:cs="Times New Roman"/>
        </w:rPr>
        <w:t>amandman nisu spriječili globalni porast emisije. Pariškim sporazumom države su se obvezale da će zajedničkim djelovanjem smanjivati emisije stakleničkih plinova s ciljem ograničavanja porasta prosječne globalne temperature do najaviše 2°C do kraja stoljeća, a ukoliko bude moguće do 1,5°C. Ciljevi smanjenja emisija stakleničkih plinova određuju se vlastitim planiranjem, tako da svaka stranka Pariškog sporazuma (ili skupina država) određuje planiran</w:t>
      </w:r>
      <w:r w:rsidR="002E2DF2" w:rsidRPr="006414E6">
        <w:rPr>
          <w:rFonts w:cs="Times New Roman"/>
        </w:rPr>
        <w:t>i nacionalno utvrđeni doprinos</w:t>
      </w:r>
      <w:r w:rsidRPr="006414E6">
        <w:rPr>
          <w:rFonts w:cs="Times New Roman"/>
        </w:rPr>
        <w:t xml:space="preserve"> do 2030. godine. </w:t>
      </w:r>
    </w:p>
    <w:p w14:paraId="40581F3E" w14:textId="77777777" w:rsidR="00947B36" w:rsidRPr="006414E6" w:rsidRDefault="00947B36" w:rsidP="00947B36">
      <w:pPr>
        <w:rPr>
          <w:rFonts w:cs="Times New Roman"/>
          <w:color w:val="000000" w:themeColor="text1"/>
        </w:rPr>
      </w:pPr>
      <w:r w:rsidRPr="006414E6">
        <w:rPr>
          <w:rFonts w:cs="Times New Roman"/>
          <w:color w:val="000000" w:themeColor="text1"/>
        </w:rPr>
        <w:t>Republika Hrvatska stranka je Pariškog sporazuma</w:t>
      </w:r>
      <w:r w:rsidR="00E4595E" w:rsidRPr="006414E6">
        <w:rPr>
          <w:rFonts w:cs="Times New Roman"/>
          <w:color w:val="000000" w:themeColor="text1"/>
        </w:rPr>
        <w:t xml:space="preserve"> od 2017. godine</w:t>
      </w:r>
      <w:r w:rsidRPr="006414E6">
        <w:rPr>
          <w:rFonts w:cs="Times New Roman"/>
          <w:color w:val="000000" w:themeColor="text1"/>
        </w:rPr>
        <w:t xml:space="preserve">, čime se obvezala provoditi mjere  smanjenja emisija stakleničkih plinova u okviru obveza Europske unije (EU). </w:t>
      </w:r>
    </w:p>
    <w:p w14:paraId="71D5FDD7" w14:textId="77777777" w:rsidR="00947B36" w:rsidRPr="006414E6" w:rsidRDefault="00947B36" w:rsidP="00947B36">
      <w:pPr>
        <w:rPr>
          <w:rFonts w:cs="Times New Roman"/>
        </w:rPr>
      </w:pPr>
      <w:r w:rsidRPr="006414E6">
        <w:rPr>
          <w:rFonts w:cs="Times New Roman"/>
        </w:rPr>
        <w:t xml:space="preserve">Polazište politike Europske unije (EU) za put prema </w:t>
      </w:r>
      <w:proofErr w:type="spellStart"/>
      <w:r w:rsidRPr="006414E6">
        <w:rPr>
          <w:rFonts w:cs="Times New Roman"/>
        </w:rPr>
        <w:t>niskougljičnom</w:t>
      </w:r>
      <w:proofErr w:type="spellEnd"/>
      <w:r w:rsidRPr="006414E6">
        <w:rPr>
          <w:rFonts w:cs="Times New Roman"/>
        </w:rPr>
        <w:t xml:space="preserve"> gospodarstvu je cilj smanjenja emisija stakleničkih plinova 80-95% do 2050. godine definiran kroz dokument Plan puta za prijelaz na konkurentno </w:t>
      </w:r>
      <w:proofErr w:type="spellStart"/>
      <w:r w:rsidRPr="006414E6">
        <w:rPr>
          <w:rFonts w:cs="Times New Roman"/>
        </w:rPr>
        <w:t>niskougljično</w:t>
      </w:r>
      <w:proofErr w:type="spellEnd"/>
      <w:r w:rsidRPr="006414E6">
        <w:rPr>
          <w:rFonts w:cs="Times New Roman"/>
        </w:rPr>
        <w:t xml:space="preserve"> gospodarstvo do 2050. godine (eng. </w:t>
      </w:r>
      <w:r w:rsidRPr="006414E6">
        <w:rPr>
          <w:rFonts w:cs="Times New Roman"/>
          <w:i/>
        </w:rPr>
        <w:t xml:space="preserve">A </w:t>
      </w:r>
      <w:proofErr w:type="spellStart"/>
      <w:r w:rsidRPr="006414E6">
        <w:rPr>
          <w:rFonts w:cs="Times New Roman"/>
          <w:i/>
        </w:rPr>
        <w:t>Roadmap</w:t>
      </w:r>
      <w:proofErr w:type="spellEnd"/>
      <w:r w:rsidRPr="006414E6">
        <w:rPr>
          <w:rFonts w:cs="Times New Roman"/>
          <w:i/>
        </w:rPr>
        <w:t xml:space="preserve"> for </w:t>
      </w:r>
      <w:proofErr w:type="spellStart"/>
      <w:r w:rsidRPr="006414E6">
        <w:rPr>
          <w:rFonts w:cs="Times New Roman"/>
          <w:i/>
        </w:rPr>
        <w:t>moving</w:t>
      </w:r>
      <w:proofErr w:type="spellEnd"/>
      <w:r w:rsidRPr="006414E6">
        <w:rPr>
          <w:rFonts w:cs="Times New Roman"/>
          <w:i/>
        </w:rPr>
        <w:t xml:space="preserve"> to a </w:t>
      </w:r>
      <w:proofErr w:type="spellStart"/>
      <w:r w:rsidRPr="006414E6">
        <w:rPr>
          <w:rFonts w:cs="Times New Roman"/>
          <w:i/>
        </w:rPr>
        <w:t>competitive</w:t>
      </w:r>
      <w:proofErr w:type="spellEnd"/>
      <w:r w:rsidRPr="006414E6">
        <w:rPr>
          <w:rFonts w:cs="Times New Roman"/>
          <w:i/>
        </w:rPr>
        <w:t xml:space="preserve"> </w:t>
      </w:r>
      <w:proofErr w:type="spellStart"/>
      <w:r w:rsidRPr="006414E6">
        <w:rPr>
          <w:rFonts w:cs="Times New Roman"/>
          <w:i/>
        </w:rPr>
        <w:t>low-carbon</w:t>
      </w:r>
      <w:proofErr w:type="spellEnd"/>
      <w:r w:rsidRPr="006414E6">
        <w:rPr>
          <w:rFonts w:cs="Times New Roman"/>
          <w:i/>
        </w:rPr>
        <w:t xml:space="preserve"> </w:t>
      </w:r>
      <w:proofErr w:type="spellStart"/>
      <w:r w:rsidRPr="006414E6">
        <w:rPr>
          <w:rFonts w:cs="Times New Roman"/>
          <w:i/>
        </w:rPr>
        <w:t>economy</w:t>
      </w:r>
      <w:proofErr w:type="spellEnd"/>
      <w:r w:rsidRPr="006414E6">
        <w:rPr>
          <w:rFonts w:cs="Times New Roman"/>
          <w:i/>
        </w:rPr>
        <w:t xml:space="preserve"> </w:t>
      </w:r>
      <w:proofErr w:type="spellStart"/>
      <w:r w:rsidRPr="006414E6">
        <w:rPr>
          <w:rFonts w:cs="Times New Roman"/>
          <w:i/>
        </w:rPr>
        <w:t>in</w:t>
      </w:r>
      <w:proofErr w:type="spellEnd"/>
      <w:r w:rsidRPr="006414E6">
        <w:rPr>
          <w:rFonts w:cs="Times New Roman"/>
          <w:i/>
        </w:rPr>
        <w:t xml:space="preserve"> 2050</w:t>
      </w:r>
      <w:r w:rsidRPr="006414E6">
        <w:rPr>
          <w:rFonts w:cs="Times New Roman"/>
        </w:rPr>
        <w:t xml:space="preserve"> (dalje u tekstu: Plan puta do 2050)</w:t>
      </w:r>
      <w:r w:rsidR="003359B1" w:rsidRPr="006414E6">
        <w:rPr>
          <w:rFonts w:cs="Times New Roman"/>
        </w:rPr>
        <w:t>.</w:t>
      </w:r>
      <w:r w:rsidRPr="006414E6">
        <w:rPr>
          <w:rFonts w:cs="Times New Roman"/>
        </w:rPr>
        <w:t xml:space="preserve"> </w:t>
      </w:r>
    </w:p>
    <w:p w14:paraId="4FC54F7A" w14:textId="77777777" w:rsidR="00947B36" w:rsidRPr="006414E6" w:rsidRDefault="00947B36" w:rsidP="00947B36">
      <w:pPr>
        <w:rPr>
          <w:rFonts w:cs="Times New Roman"/>
        </w:rPr>
      </w:pPr>
      <w:r w:rsidRPr="006414E6">
        <w:rPr>
          <w:rFonts w:eastAsia="Calibri" w:cs="Times New Roman"/>
        </w:rPr>
        <w:t xml:space="preserve">U skladu s tim ciljem, Europsko vijeće usvojilo je </w:t>
      </w:r>
      <w:r w:rsidRPr="006414E6">
        <w:rPr>
          <w:rFonts w:cs="Times New Roman"/>
        </w:rPr>
        <w:t>Okvir klimatsko-energetske politike EU do 2030. godine, kojim su postavljeni sljedeći ciljevi:</w:t>
      </w:r>
    </w:p>
    <w:p w14:paraId="56414E4F" w14:textId="77777777" w:rsidR="005C789E" w:rsidRPr="006414E6" w:rsidRDefault="005C789E" w:rsidP="003A2F37">
      <w:pPr>
        <w:pStyle w:val="ListParagraph"/>
        <w:numPr>
          <w:ilvl w:val="0"/>
          <w:numId w:val="8"/>
        </w:numPr>
        <w:rPr>
          <w:rFonts w:cs="Times New Roman"/>
        </w:rPr>
      </w:pPr>
      <w:r w:rsidRPr="006414E6">
        <w:rPr>
          <w:rFonts w:cs="Times New Roman"/>
        </w:rPr>
        <w:t>smanjenje emisija stakleničkih plinova za 40% u uspor</w:t>
      </w:r>
      <w:r w:rsidR="00710863" w:rsidRPr="006414E6">
        <w:rPr>
          <w:rFonts w:cs="Times New Roman"/>
        </w:rPr>
        <w:t>edbi s razinama iz 1990. godine</w:t>
      </w:r>
    </w:p>
    <w:p w14:paraId="22662230" w14:textId="77777777" w:rsidR="005C789E" w:rsidRPr="006414E6" w:rsidRDefault="005C789E" w:rsidP="003A2F37">
      <w:pPr>
        <w:pStyle w:val="ListParagraph"/>
        <w:numPr>
          <w:ilvl w:val="0"/>
          <w:numId w:val="8"/>
        </w:numPr>
        <w:rPr>
          <w:rFonts w:cs="Times New Roman"/>
        </w:rPr>
      </w:pPr>
      <w:r w:rsidRPr="006414E6">
        <w:rPr>
          <w:rFonts w:cs="Times New Roman"/>
        </w:rPr>
        <w:t>najmanje 32% potrošene energije tre</w:t>
      </w:r>
      <w:r w:rsidR="00710863" w:rsidRPr="006414E6">
        <w:rPr>
          <w:rFonts w:cs="Times New Roman"/>
        </w:rPr>
        <w:t xml:space="preserve">ba biti iz obnovljivih izvora </w:t>
      </w:r>
    </w:p>
    <w:p w14:paraId="433A5E15" w14:textId="77777777" w:rsidR="005C789E" w:rsidRPr="006414E6" w:rsidRDefault="005C789E" w:rsidP="003A2F37">
      <w:pPr>
        <w:pStyle w:val="ListParagraph"/>
        <w:numPr>
          <w:ilvl w:val="0"/>
          <w:numId w:val="8"/>
        </w:numPr>
        <w:rPr>
          <w:rFonts w:cs="Times New Roman"/>
        </w:rPr>
      </w:pPr>
      <w:r w:rsidRPr="006414E6">
        <w:rPr>
          <w:rFonts w:cs="Times New Roman"/>
        </w:rPr>
        <w:t>poboljša</w:t>
      </w:r>
      <w:r w:rsidR="00710863" w:rsidRPr="006414E6">
        <w:rPr>
          <w:rFonts w:cs="Times New Roman"/>
        </w:rPr>
        <w:t>nje</w:t>
      </w:r>
      <w:r w:rsidRPr="006414E6">
        <w:rPr>
          <w:rFonts w:cs="Times New Roman"/>
        </w:rPr>
        <w:t xml:space="preserve"> energetsk</w:t>
      </w:r>
      <w:r w:rsidR="00710863" w:rsidRPr="006414E6">
        <w:rPr>
          <w:rFonts w:cs="Times New Roman"/>
        </w:rPr>
        <w:t>e</w:t>
      </w:r>
      <w:r w:rsidRPr="006414E6">
        <w:rPr>
          <w:rFonts w:cs="Times New Roman"/>
        </w:rPr>
        <w:t xml:space="preserve"> učinkovitost</w:t>
      </w:r>
      <w:r w:rsidR="00710863" w:rsidRPr="006414E6">
        <w:rPr>
          <w:rFonts w:cs="Times New Roman"/>
        </w:rPr>
        <w:t>i</w:t>
      </w:r>
      <w:r w:rsidRPr="006414E6">
        <w:rPr>
          <w:rFonts w:cs="Times New Roman"/>
        </w:rPr>
        <w:t xml:space="preserve"> za najmanje 32,5%.</w:t>
      </w:r>
    </w:p>
    <w:p w14:paraId="5404C71E" w14:textId="77777777" w:rsidR="005C789E" w:rsidRPr="006414E6" w:rsidRDefault="005C789E" w:rsidP="005C789E">
      <w:pPr>
        <w:rPr>
          <w:rFonts w:cs="Times New Roman"/>
        </w:rPr>
      </w:pPr>
      <w:r w:rsidRPr="006414E6">
        <w:rPr>
          <w:rFonts w:cs="Times New Roman"/>
        </w:rPr>
        <w:lastRenderedPageBreak/>
        <w:t>Krajem 2018. godine usvojen je</w:t>
      </w:r>
      <w:r w:rsidR="003359B1" w:rsidRPr="006414E6">
        <w:rPr>
          <w:rFonts w:cs="Times New Roman"/>
        </w:rPr>
        <w:t xml:space="preserve"> dokument Čist planet za sve - </w:t>
      </w:r>
      <w:r w:rsidRPr="006414E6">
        <w:rPr>
          <w:rFonts w:cs="Times New Roman"/>
        </w:rPr>
        <w:t>Europska strateška dugoročna vizija za perspektivno, moderno, konkurentno i klimatski neutralno gospodarstvo</w:t>
      </w:r>
      <w:r w:rsidR="003C35F4" w:rsidRPr="006414E6">
        <w:rPr>
          <w:rFonts w:cs="Times New Roman"/>
        </w:rPr>
        <w:t xml:space="preserve"> (eng. </w:t>
      </w:r>
      <w:r w:rsidR="003C35F4" w:rsidRPr="006414E6">
        <w:rPr>
          <w:rFonts w:cs="Times New Roman"/>
          <w:i/>
          <w:lang w:val="en-GB"/>
        </w:rPr>
        <w:t>A Clean Planet for all – A European strategic long-term vision for a prosperous, modern, competitive and climate neutral economy</w:t>
      </w:r>
      <w:r w:rsidR="003C35F4" w:rsidRPr="006414E6">
        <w:rPr>
          <w:rFonts w:cs="Times New Roman"/>
        </w:rPr>
        <w:t>)</w:t>
      </w:r>
      <w:r w:rsidRPr="006414E6">
        <w:rPr>
          <w:rFonts w:cs="Times New Roman"/>
        </w:rPr>
        <w:t xml:space="preserve">. Svrha je ove dugoročne strategije potvrditi vodeću ulogu Europe u oblikovanju globalne klimatske politike te predstaviti viziju koja može pomoći da se do 2050. na troškovno učinkovit način i putem društveno pravedne tranzicije postigne </w:t>
      </w:r>
      <w:r w:rsidR="00842174" w:rsidRPr="006414E6">
        <w:rPr>
          <w:rFonts w:cs="Times New Roman"/>
        </w:rPr>
        <w:t xml:space="preserve">neto </w:t>
      </w:r>
      <w:r w:rsidRPr="006414E6">
        <w:rPr>
          <w:rFonts w:cs="Times New Roman"/>
        </w:rPr>
        <w:t>nulta stopa emisija stakleničkih plinova</w:t>
      </w:r>
      <w:r w:rsidR="0013023C" w:rsidRPr="006414E6">
        <w:rPr>
          <w:rFonts w:cs="Times New Roman"/>
        </w:rPr>
        <w:t xml:space="preserve"> te se očekuje da će se u narednim godinama kroz intenzivne analize i rasprave država članica analizirati mogući scenariji nulte net</w:t>
      </w:r>
      <w:r w:rsidR="003359B1" w:rsidRPr="006414E6">
        <w:rPr>
          <w:rFonts w:cs="Times New Roman"/>
        </w:rPr>
        <w:t>o emisije stakleničkih plinova.</w:t>
      </w:r>
    </w:p>
    <w:p w14:paraId="79CFCB3C" w14:textId="77777777" w:rsidR="00B81172" w:rsidRPr="006414E6" w:rsidRDefault="00B81172" w:rsidP="005C789E">
      <w:pPr>
        <w:rPr>
          <w:rFonts w:cs="Times New Roman"/>
        </w:rPr>
      </w:pPr>
      <w:r w:rsidRPr="006414E6">
        <w:rPr>
          <w:rFonts w:cs="Times New Roman"/>
        </w:rPr>
        <w:t>Krajem 2019. godine E</w:t>
      </w:r>
      <w:r w:rsidR="00842174" w:rsidRPr="006414E6">
        <w:rPr>
          <w:rFonts w:cs="Times New Roman"/>
        </w:rPr>
        <w:t>U</w:t>
      </w:r>
      <w:r w:rsidRPr="006414E6">
        <w:rPr>
          <w:rFonts w:cs="Times New Roman"/>
        </w:rPr>
        <w:t xml:space="preserve"> objavljuje svoj novi strateški politički okvir još ambicioznijeg djelovanja </w:t>
      </w:r>
      <w:r w:rsidR="00E1672F" w:rsidRPr="006414E6">
        <w:rPr>
          <w:rFonts w:cs="Times New Roman"/>
        </w:rPr>
        <w:t xml:space="preserve">- </w:t>
      </w:r>
      <w:r w:rsidRPr="006414E6">
        <w:rPr>
          <w:rFonts w:cs="Times New Roman"/>
          <w:i/>
        </w:rPr>
        <w:t>Europski zeleni plan</w:t>
      </w:r>
      <w:r w:rsidR="00710863" w:rsidRPr="006414E6">
        <w:rPr>
          <w:rFonts w:cs="Times New Roman"/>
        </w:rPr>
        <w:t xml:space="preserve">. </w:t>
      </w:r>
      <w:r w:rsidRPr="006414E6">
        <w:rPr>
          <w:rFonts w:cs="Times New Roman"/>
        </w:rPr>
        <w:t xml:space="preserve">Novom strategijom se EU nastoji preobraziti u pravedno i prosperitetno društvo s modernim, resursno učinkovitim i konkurentnim gospodarstvom u kojem 2050. godine neće biti neto emisija stakleničkih plinova i u kojem gospodarski rast nije povezan s upotrebom resursa. </w:t>
      </w:r>
      <w:r w:rsidRPr="006414E6">
        <w:rPr>
          <w:rFonts w:cs="Times New Roman"/>
          <w:i/>
        </w:rPr>
        <w:t>Europski zeleni plan</w:t>
      </w:r>
      <w:r w:rsidRPr="006414E6">
        <w:rPr>
          <w:rFonts w:cs="Times New Roman"/>
        </w:rPr>
        <w:t xml:space="preserve"> ubrzat će i poduprijeti tranziciju koja je potrebna u svim sektorima. </w:t>
      </w:r>
      <w:r w:rsidR="00710863" w:rsidRPr="006414E6">
        <w:rPr>
          <w:rFonts w:cs="Times New Roman"/>
          <w:i/>
        </w:rPr>
        <w:t>Europski zeleni plan</w:t>
      </w:r>
      <w:r w:rsidR="00710863" w:rsidRPr="006414E6">
        <w:rPr>
          <w:rFonts w:cs="Times New Roman"/>
        </w:rPr>
        <w:t xml:space="preserve"> </w:t>
      </w:r>
      <w:r w:rsidRPr="006414E6">
        <w:rPr>
          <w:rFonts w:cs="Times New Roman"/>
        </w:rPr>
        <w:t xml:space="preserve">je sastavni dio strategije </w:t>
      </w:r>
      <w:r w:rsidR="00842174" w:rsidRPr="006414E6">
        <w:rPr>
          <w:rFonts w:cs="Times New Roman"/>
        </w:rPr>
        <w:t xml:space="preserve">EK </w:t>
      </w:r>
      <w:r w:rsidRPr="006414E6">
        <w:rPr>
          <w:rFonts w:cs="Times New Roman"/>
        </w:rPr>
        <w:t>za provedbu Programa Ujedinjenih naroda do 2030. godine i ciljeva održivog razvoja</w:t>
      </w:r>
      <w:r w:rsidR="003B31CE" w:rsidRPr="006414E6">
        <w:rPr>
          <w:rFonts w:cs="Times New Roman"/>
        </w:rPr>
        <w:t xml:space="preserve"> te drugih prioriteta najavljenih u političkim smjernicama novog predsjedavajućeg saziva EU. </w:t>
      </w:r>
    </w:p>
    <w:p w14:paraId="38EB8D80" w14:textId="77777777" w:rsidR="00E91765" w:rsidRPr="006414E6" w:rsidRDefault="00B251B2" w:rsidP="00B251B2">
      <w:pPr>
        <w:rPr>
          <w:rFonts w:cs="Times New Roman"/>
        </w:rPr>
      </w:pPr>
      <w:r w:rsidRPr="006414E6">
        <w:rPr>
          <w:rFonts w:cs="Times New Roman"/>
        </w:rPr>
        <w:t xml:space="preserve">Zakon o </w:t>
      </w:r>
      <w:r w:rsidR="009626DF" w:rsidRPr="006414E6">
        <w:rPr>
          <w:rFonts w:cs="Times New Roman"/>
        </w:rPr>
        <w:t>klimatskim promjenama i zaštiti ozonskog sloja</w:t>
      </w:r>
      <w:r w:rsidRPr="006414E6">
        <w:rPr>
          <w:rFonts w:cs="Times New Roman"/>
        </w:rPr>
        <w:t xml:space="preserve"> postavlja obvezu izrade Strategije </w:t>
      </w:r>
      <w:proofErr w:type="spellStart"/>
      <w:r w:rsidRPr="006414E6">
        <w:rPr>
          <w:rFonts w:cs="Times New Roman"/>
        </w:rPr>
        <w:t>niskougljičnog</w:t>
      </w:r>
      <w:proofErr w:type="spellEnd"/>
      <w:r w:rsidRPr="006414E6">
        <w:rPr>
          <w:rFonts w:cs="Times New Roman"/>
        </w:rPr>
        <w:t xml:space="preserve"> razvoja Republike Hrvatske do 2030. godine s pogledom na 2050. godinu (dalje u testu: </w:t>
      </w:r>
      <w:proofErr w:type="spellStart"/>
      <w:r w:rsidRPr="006414E6">
        <w:rPr>
          <w:rFonts w:cs="Times New Roman"/>
        </w:rPr>
        <w:t>Niskougljična</w:t>
      </w:r>
      <w:proofErr w:type="spellEnd"/>
      <w:r w:rsidRPr="006414E6">
        <w:rPr>
          <w:rFonts w:cs="Times New Roman"/>
        </w:rPr>
        <w:t xml:space="preserve"> strategija) i Akcijskog plana za provedbu </w:t>
      </w:r>
      <w:proofErr w:type="spellStart"/>
      <w:r w:rsidRPr="006414E6">
        <w:rPr>
          <w:rFonts w:cs="Times New Roman"/>
        </w:rPr>
        <w:t>Niskougljične</w:t>
      </w:r>
      <w:proofErr w:type="spellEnd"/>
      <w:r w:rsidRPr="006414E6">
        <w:rPr>
          <w:rFonts w:cs="Times New Roman"/>
        </w:rPr>
        <w:t xml:space="preserve"> strategije za razdoblje od pet godina. Prema Zakonu o </w:t>
      </w:r>
      <w:r w:rsidR="00E91765" w:rsidRPr="006414E6">
        <w:rPr>
          <w:rFonts w:cs="Times New Roman"/>
        </w:rPr>
        <w:t xml:space="preserve">klimatskim promjenama i zaštiti ozonskog sloja smanjivanje emisija stakleničkih plinova na teritoriju Republike Hrvatske osigurava se provođenjem </w:t>
      </w:r>
      <w:proofErr w:type="spellStart"/>
      <w:r w:rsidR="00E91765" w:rsidRPr="006414E6">
        <w:rPr>
          <w:rFonts w:cs="Times New Roman"/>
        </w:rPr>
        <w:t>Niskougljične</w:t>
      </w:r>
      <w:proofErr w:type="spellEnd"/>
      <w:r w:rsidR="00E91765" w:rsidRPr="006414E6">
        <w:rPr>
          <w:rFonts w:cs="Times New Roman"/>
        </w:rPr>
        <w:t xml:space="preserve"> strategije, Akcijskog plana provedbe </w:t>
      </w:r>
      <w:proofErr w:type="spellStart"/>
      <w:r w:rsidR="00E91765" w:rsidRPr="006414E6">
        <w:rPr>
          <w:rFonts w:cs="Times New Roman"/>
        </w:rPr>
        <w:t>Niskougljične</w:t>
      </w:r>
      <w:proofErr w:type="spellEnd"/>
      <w:r w:rsidR="00E91765" w:rsidRPr="006414E6">
        <w:rPr>
          <w:rFonts w:cs="Times New Roman"/>
        </w:rPr>
        <w:t xml:space="preserve"> strategije, Integriranog </w:t>
      </w:r>
      <w:r w:rsidR="005E35A2" w:rsidRPr="006414E6">
        <w:rPr>
          <w:rFonts w:cs="Times New Roman"/>
        </w:rPr>
        <w:t xml:space="preserve">nacionalnog </w:t>
      </w:r>
      <w:r w:rsidR="00E91765" w:rsidRPr="006414E6">
        <w:rPr>
          <w:rFonts w:cs="Times New Roman"/>
        </w:rPr>
        <w:t xml:space="preserve">energetskog i klimatskog plana, razvojnih dokumenata pojedinih sektora, postupnim ograničavanjem emisijskih jedinica u okviru EU sustava trgovanja emisijama, dodjeljivanjem utvrđene godišnje emisijske kvote Republici Hrvatskoj za sektore izvan EU sustava trgovanja emisijama, koja se ne smije premašiti, mjerama u sektorima izvan sustava trgovanja emisijama, mjerama u sektoru korištenja zemljišta i šumarstva i drugim mjerama koje pridonose ublažavanju klimatskih promjena. </w:t>
      </w:r>
      <w:r w:rsidRPr="006414E6">
        <w:rPr>
          <w:rFonts w:cs="Times New Roman"/>
        </w:rPr>
        <w:t xml:space="preserve">Zakon </w:t>
      </w:r>
      <w:r w:rsidR="00E91765" w:rsidRPr="006414E6">
        <w:rPr>
          <w:rFonts w:cs="Times New Roman"/>
        </w:rPr>
        <w:t xml:space="preserve">o klimatskim promjenama i zaštiti ozonskog sloja </w:t>
      </w:r>
      <w:r w:rsidRPr="006414E6">
        <w:rPr>
          <w:rFonts w:cs="Times New Roman"/>
        </w:rPr>
        <w:t xml:space="preserve">propisuje da </w:t>
      </w:r>
      <w:r w:rsidR="00E91765" w:rsidRPr="006414E6">
        <w:rPr>
          <w:rFonts w:cs="Times New Roman"/>
        </w:rPr>
        <w:t xml:space="preserve">nacionalni razvojni dokumenti i razvojni dokumenti pojedinih područja i djelatnosti moraju biti usklađeni s načelima, osnovnim ciljevima, prioritetima i mjerama utvrđenim u </w:t>
      </w:r>
      <w:proofErr w:type="spellStart"/>
      <w:r w:rsidR="00E91765" w:rsidRPr="006414E6">
        <w:rPr>
          <w:rFonts w:cs="Times New Roman"/>
        </w:rPr>
        <w:t>Niskougljičnoj</w:t>
      </w:r>
      <w:proofErr w:type="spellEnd"/>
      <w:r w:rsidR="00E91765" w:rsidRPr="006414E6">
        <w:rPr>
          <w:rFonts w:cs="Times New Roman"/>
        </w:rPr>
        <w:t xml:space="preserve"> strategiji.</w:t>
      </w:r>
    </w:p>
    <w:p w14:paraId="039E0545" w14:textId="77777777" w:rsidR="0068061D" w:rsidRPr="006414E6" w:rsidRDefault="0068061D" w:rsidP="00B251B2">
      <w:pPr>
        <w:rPr>
          <w:rFonts w:cs="Times New Roman"/>
        </w:rPr>
      </w:pPr>
      <w:r w:rsidRPr="006414E6">
        <w:rPr>
          <w:rFonts w:cs="Times New Roman"/>
        </w:rPr>
        <w:t xml:space="preserve">Prema Zakonu o sustavu strateškog planiranja i upravljanju razvojem Republike Hrvatske  </w:t>
      </w:r>
      <w:proofErr w:type="spellStart"/>
      <w:r w:rsidRPr="006414E6">
        <w:rPr>
          <w:rFonts w:cs="Times New Roman"/>
        </w:rPr>
        <w:t>Niskougljična</w:t>
      </w:r>
      <w:proofErr w:type="spellEnd"/>
      <w:r w:rsidRPr="006414E6">
        <w:rPr>
          <w:rFonts w:cs="Times New Roman"/>
        </w:rPr>
        <w:t xml:space="preserve"> strategija </w:t>
      </w:r>
      <w:proofErr w:type="spellStart"/>
      <w:r w:rsidRPr="006414E6">
        <w:rPr>
          <w:rFonts w:cs="Times New Roman"/>
        </w:rPr>
        <w:t>jenacionalna</w:t>
      </w:r>
      <w:proofErr w:type="spellEnd"/>
      <w:r w:rsidRPr="006414E6">
        <w:rPr>
          <w:rFonts w:cs="Times New Roman"/>
        </w:rPr>
        <w:t xml:space="preserve">, dugoročna i višesektorska strategija, te je kao takva u hijerarhijskom redu ispod Nacionalne razvojne strategije. Nacionalni razvojni dokumenti i razvojni dokumenti pojedinih područja i djelatnosti moraju biti usklađeni s načelima, osnovnim ciljevima, prioritetima i mjerama utvrđenim u </w:t>
      </w:r>
      <w:proofErr w:type="spellStart"/>
      <w:r w:rsidRPr="006414E6">
        <w:rPr>
          <w:rFonts w:cs="Times New Roman"/>
        </w:rPr>
        <w:t>Niskougljičnoj</w:t>
      </w:r>
      <w:proofErr w:type="spellEnd"/>
      <w:r w:rsidRPr="006414E6">
        <w:rPr>
          <w:rFonts w:cs="Times New Roman"/>
        </w:rPr>
        <w:t xml:space="preserve"> strategiji.</w:t>
      </w:r>
    </w:p>
    <w:p w14:paraId="1AE1881C" w14:textId="77777777" w:rsidR="00B251B2" w:rsidRPr="006414E6" w:rsidRDefault="00B251B2" w:rsidP="00B251B2">
      <w:pPr>
        <w:rPr>
          <w:rFonts w:cs="Times New Roman"/>
        </w:rPr>
      </w:pPr>
      <w:proofErr w:type="spellStart"/>
      <w:r w:rsidRPr="006414E6">
        <w:rPr>
          <w:rFonts w:cs="Times New Roman"/>
          <w:b/>
        </w:rPr>
        <w:t>Niskougljična</w:t>
      </w:r>
      <w:proofErr w:type="spellEnd"/>
      <w:r w:rsidRPr="006414E6">
        <w:rPr>
          <w:rFonts w:cs="Times New Roman"/>
          <w:b/>
        </w:rPr>
        <w:t xml:space="preserve"> strategija određuje put Republike Hrvatske prema konkurentnom gospodarstvu s niskom emisijom stakleničkih plinova.</w:t>
      </w:r>
      <w:r w:rsidRPr="006414E6">
        <w:rPr>
          <w:rFonts w:cs="Times New Roman"/>
        </w:rPr>
        <w:t xml:space="preserve"> Ciljevi smanjenja emisije stakleničkih plinova do 2030. i 2050. godine provodit će se u Republici Hrvatskoj unutar političkog okvira koji je usvojila Europska unija. </w:t>
      </w:r>
      <w:proofErr w:type="spellStart"/>
      <w:r w:rsidRPr="006414E6">
        <w:rPr>
          <w:rFonts w:cs="Times New Roman"/>
        </w:rPr>
        <w:t>Niskougljična</w:t>
      </w:r>
      <w:proofErr w:type="spellEnd"/>
      <w:r w:rsidRPr="006414E6">
        <w:rPr>
          <w:rFonts w:cs="Times New Roman"/>
        </w:rPr>
        <w:t xml:space="preserve"> strategija odnosi </w:t>
      </w:r>
      <w:r w:rsidR="005E35A2" w:rsidRPr="006414E6">
        <w:rPr>
          <w:rFonts w:cs="Times New Roman"/>
        </w:rPr>
        <w:t xml:space="preserve">se </w:t>
      </w:r>
      <w:r w:rsidRPr="006414E6">
        <w:rPr>
          <w:rFonts w:cs="Times New Roman"/>
        </w:rPr>
        <w:t xml:space="preserve">na sve sektore gospodarstva i ljudske aktivnosti, a osobito je vezana za energetiku, industriju, promet, poljoprivredu, šumarstvo i gospodarenje otpadom. </w:t>
      </w:r>
    </w:p>
    <w:p w14:paraId="078EC1CC" w14:textId="77777777" w:rsidR="00B251B2" w:rsidRPr="006414E6" w:rsidRDefault="00B251B2" w:rsidP="00B251B2">
      <w:pPr>
        <w:rPr>
          <w:rFonts w:cs="Times New Roman"/>
        </w:rPr>
      </w:pPr>
      <w:r w:rsidRPr="006414E6">
        <w:rPr>
          <w:rFonts w:cs="Times New Roman"/>
        </w:rPr>
        <w:t xml:space="preserve">Proces tranzicije prema </w:t>
      </w:r>
      <w:proofErr w:type="spellStart"/>
      <w:r w:rsidRPr="006414E6">
        <w:rPr>
          <w:rFonts w:cs="Times New Roman"/>
        </w:rPr>
        <w:t>niskougljičnom</w:t>
      </w:r>
      <w:proofErr w:type="spellEnd"/>
      <w:r w:rsidRPr="006414E6">
        <w:rPr>
          <w:rFonts w:cs="Times New Roman"/>
        </w:rPr>
        <w:t xml:space="preserve"> gospodarstvu je kontinuiran i dugotrajan, zahvaća cjelokupno društvo i gospodarstvo</w:t>
      </w:r>
      <w:r w:rsidR="004B4E50" w:rsidRPr="006414E6">
        <w:rPr>
          <w:rFonts w:cs="Times New Roman"/>
        </w:rPr>
        <w:t>. Proces tranzicije t</w:t>
      </w:r>
      <w:r w:rsidRPr="006414E6">
        <w:rPr>
          <w:rFonts w:cs="Times New Roman"/>
        </w:rPr>
        <w:t xml:space="preserve">reba biti promišljen i prilagođen mogućnostima i raspoloživim resursima. To je prilika da se poboljšanjima postojeće infrastrukture i tehnoloških rješenja, inovacijama, transferom naprednih tehnologija, značajnim strukturalnim promjenama u svim sektorima, potakne porast industrijske proizvodnje, investicijski ciklus, razvoj novih djelatnosti, gospodarstva te otvore nova radna mjesta održive perspektive.  </w:t>
      </w:r>
    </w:p>
    <w:p w14:paraId="3ABFAE3D" w14:textId="77777777" w:rsidR="00B251B2" w:rsidRPr="006414E6" w:rsidRDefault="00B251B2" w:rsidP="006414E6">
      <w:pPr>
        <w:rPr>
          <w:rFonts w:cs="Times New Roman"/>
        </w:rPr>
      </w:pPr>
      <w:proofErr w:type="spellStart"/>
      <w:r w:rsidRPr="006414E6">
        <w:rPr>
          <w:rFonts w:cs="Times New Roman"/>
        </w:rPr>
        <w:lastRenderedPageBreak/>
        <w:t>Niskougljična</w:t>
      </w:r>
      <w:proofErr w:type="spellEnd"/>
      <w:r w:rsidRPr="006414E6">
        <w:rPr>
          <w:rFonts w:cs="Times New Roman"/>
        </w:rPr>
        <w:t xml:space="preserve"> strategija postavlja sljedeće opće ciljeve:</w:t>
      </w:r>
    </w:p>
    <w:p w14:paraId="2C5D4E0B" w14:textId="77777777" w:rsidR="00B251B2" w:rsidRPr="006414E6" w:rsidRDefault="00B251B2" w:rsidP="006414E6">
      <w:pPr>
        <w:pStyle w:val="ListParagraph"/>
        <w:numPr>
          <w:ilvl w:val="0"/>
          <w:numId w:val="9"/>
        </w:numPr>
        <w:rPr>
          <w:rFonts w:cs="Times New Roman"/>
          <w:b/>
        </w:rPr>
      </w:pPr>
      <w:r w:rsidRPr="006414E6">
        <w:rPr>
          <w:rFonts w:cs="Times New Roman"/>
          <w:b/>
        </w:rPr>
        <w:t>Postizanje održivog razvoja temeljenog na znanju i konkurentnom gospodarstvu s niskom razinom ugljika i učinkovitim korištenjem resursa</w:t>
      </w:r>
    </w:p>
    <w:p w14:paraId="1287C86D" w14:textId="77777777" w:rsidR="00B251B2" w:rsidRPr="006414E6" w:rsidRDefault="00B251B2" w:rsidP="006414E6">
      <w:pPr>
        <w:pStyle w:val="ListParagraph"/>
        <w:numPr>
          <w:ilvl w:val="1"/>
          <w:numId w:val="10"/>
        </w:numPr>
        <w:rPr>
          <w:rFonts w:cs="Times New Roman"/>
        </w:rPr>
      </w:pPr>
      <w:r w:rsidRPr="006414E6">
        <w:rPr>
          <w:rFonts w:cs="Times New Roman"/>
        </w:rPr>
        <w:t>povećanje zapošljavanja u rastućim sektorima gospodarstva i ‘zelenoj’ ekonomiji</w:t>
      </w:r>
    </w:p>
    <w:p w14:paraId="7E20BB8F" w14:textId="77777777" w:rsidR="00B251B2" w:rsidRPr="006414E6" w:rsidRDefault="00B251B2" w:rsidP="003A2F37">
      <w:pPr>
        <w:pStyle w:val="ListParagraph"/>
        <w:numPr>
          <w:ilvl w:val="1"/>
          <w:numId w:val="10"/>
        </w:numPr>
        <w:rPr>
          <w:rFonts w:cs="Times New Roman"/>
        </w:rPr>
      </w:pPr>
      <w:r w:rsidRPr="006414E6">
        <w:rPr>
          <w:rFonts w:cs="Times New Roman"/>
        </w:rPr>
        <w:t>poticanje regionalnog i ruralnog razvoja</w:t>
      </w:r>
    </w:p>
    <w:p w14:paraId="48C86578" w14:textId="77777777" w:rsidR="00B251B2" w:rsidRPr="006414E6" w:rsidRDefault="00B251B2" w:rsidP="003A2F37">
      <w:pPr>
        <w:pStyle w:val="ListParagraph"/>
        <w:numPr>
          <w:ilvl w:val="1"/>
          <w:numId w:val="10"/>
        </w:numPr>
        <w:rPr>
          <w:rFonts w:cs="Times New Roman"/>
        </w:rPr>
      </w:pPr>
      <w:r w:rsidRPr="006414E6">
        <w:rPr>
          <w:rFonts w:cs="Times New Roman"/>
        </w:rPr>
        <w:t xml:space="preserve">poticanje inovacija i tehnološkog razvoja </w:t>
      </w:r>
    </w:p>
    <w:p w14:paraId="4AE984A2" w14:textId="5DC30551" w:rsidR="00B251B2" w:rsidRPr="006414E6" w:rsidRDefault="00B251B2" w:rsidP="003A2F37">
      <w:pPr>
        <w:pStyle w:val="ListParagraph"/>
        <w:numPr>
          <w:ilvl w:val="1"/>
          <w:numId w:val="10"/>
        </w:numPr>
        <w:rPr>
          <w:rFonts w:cs="Times New Roman"/>
        </w:rPr>
      </w:pPr>
      <w:r w:rsidRPr="006414E6">
        <w:rPr>
          <w:rFonts w:cs="Times New Roman"/>
        </w:rPr>
        <w:t xml:space="preserve">poticanje obrazovanja, cjeloživotnog </w:t>
      </w:r>
      <w:r w:rsidR="00291539" w:rsidRPr="006414E6">
        <w:rPr>
          <w:rFonts w:cs="Times New Roman"/>
        </w:rPr>
        <w:t>učenja</w:t>
      </w:r>
      <w:r w:rsidRPr="006414E6">
        <w:rPr>
          <w:rFonts w:cs="Times New Roman"/>
        </w:rPr>
        <w:t xml:space="preserve"> i specijalizacija za </w:t>
      </w:r>
      <w:proofErr w:type="spellStart"/>
      <w:r w:rsidRPr="006414E6">
        <w:rPr>
          <w:rFonts w:cs="Times New Roman"/>
        </w:rPr>
        <w:t>niskougljično</w:t>
      </w:r>
      <w:proofErr w:type="spellEnd"/>
      <w:r w:rsidRPr="006414E6">
        <w:rPr>
          <w:rFonts w:cs="Times New Roman"/>
        </w:rPr>
        <w:t xml:space="preserve"> gospodarstvo </w:t>
      </w:r>
    </w:p>
    <w:p w14:paraId="7B922519" w14:textId="77777777" w:rsidR="00B251B2" w:rsidRPr="006414E6" w:rsidRDefault="00B251B2" w:rsidP="003A2F37">
      <w:pPr>
        <w:pStyle w:val="ListParagraph"/>
        <w:numPr>
          <w:ilvl w:val="1"/>
          <w:numId w:val="10"/>
        </w:numPr>
        <w:rPr>
          <w:rFonts w:cs="Times New Roman"/>
        </w:rPr>
      </w:pPr>
      <w:r w:rsidRPr="006414E6">
        <w:rPr>
          <w:rFonts w:cs="Times New Roman"/>
        </w:rPr>
        <w:t>doprinos socijalnom uključivanju</w:t>
      </w:r>
    </w:p>
    <w:p w14:paraId="30A61FA7" w14:textId="77777777" w:rsidR="00B251B2" w:rsidRPr="006414E6" w:rsidRDefault="00B251B2" w:rsidP="003A2F37">
      <w:pPr>
        <w:pStyle w:val="ListParagraph"/>
        <w:numPr>
          <w:ilvl w:val="0"/>
          <w:numId w:val="9"/>
        </w:numPr>
        <w:rPr>
          <w:rFonts w:cs="Times New Roman"/>
          <w:b/>
        </w:rPr>
      </w:pPr>
      <w:r w:rsidRPr="006414E6">
        <w:rPr>
          <w:rFonts w:cs="Times New Roman"/>
          <w:b/>
        </w:rPr>
        <w:t>Povećanje sigurnosti opskrbe energijom, održivost energetske opskrbe, povećanje dostupnosti energije i smanjenje energetske ovisnosti</w:t>
      </w:r>
    </w:p>
    <w:p w14:paraId="70190EF9" w14:textId="77777777" w:rsidR="00B251B2" w:rsidRPr="006414E6" w:rsidRDefault="00B251B2" w:rsidP="003A2F37">
      <w:pPr>
        <w:pStyle w:val="ListParagraph"/>
        <w:numPr>
          <w:ilvl w:val="0"/>
          <w:numId w:val="9"/>
        </w:numPr>
        <w:rPr>
          <w:rFonts w:cs="Times New Roman"/>
          <w:b/>
        </w:rPr>
      </w:pPr>
      <w:r w:rsidRPr="006414E6">
        <w:rPr>
          <w:rFonts w:cs="Times New Roman"/>
          <w:b/>
        </w:rPr>
        <w:t>Solidarnost izvršavanjem obveza Republike Hrvatske prema međunarodnim sporazumima, u okviru politike E</w:t>
      </w:r>
      <w:r w:rsidR="004B4E50" w:rsidRPr="006414E6">
        <w:rPr>
          <w:rFonts w:cs="Times New Roman"/>
          <w:b/>
        </w:rPr>
        <w:t>U</w:t>
      </w:r>
      <w:r w:rsidRPr="006414E6">
        <w:rPr>
          <w:rFonts w:cs="Times New Roman"/>
          <w:b/>
        </w:rPr>
        <w:t>, kao dio naše povijesne odgovornosti i doprinos globalnim ciljevima</w:t>
      </w:r>
    </w:p>
    <w:p w14:paraId="0C606756" w14:textId="7E4392D7" w:rsidR="00B251B2" w:rsidRPr="006414E6" w:rsidRDefault="000C5C68" w:rsidP="003A2F37">
      <w:pPr>
        <w:pStyle w:val="ListParagraph"/>
        <w:numPr>
          <w:ilvl w:val="0"/>
          <w:numId w:val="9"/>
        </w:numPr>
        <w:rPr>
          <w:rFonts w:cs="Times New Roman"/>
        </w:rPr>
      </w:pPr>
      <w:r w:rsidRPr="006414E6">
        <w:rPr>
          <w:rFonts w:cs="Times New Roman"/>
          <w:b/>
        </w:rPr>
        <w:t xml:space="preserve">Smanjenje onečišćenja zraka i utjecaja na zdravlje te kvalitetu života građana. </w:t>
      </w:r>
    </w:p>
    <w:p w14:paraId="7EE0A594" w14:textId="77777777" w:rsidR="00B251B2" w:rsidRPr="006414E6" w:rsidRDefault="00B251B2" w:rsidP="00B251B2">
      <w:pPr>
        <w:rPr>
          <w:rFonts w:cs="Times New Roman"/>
        </w:rPr>
      </w:pPr>
      <w:r w:rsidRPr="006414E6">
        <w:rPr>
          <w:rFonts w:cs="Times New Roman"/>
        </w:rPr>
        <w:t xml:space="preserve">U pogledu međunarodnih obveza Republika Hrvatska podržava načelo zajedničke, ali različite odgovornosti. Gospodarske i druge nacionalne osobitosti trebaju se uzeti u obzir pri određivanju tranzicijskog razdoblja za prijelaz na </w:t>
      </w:r>
      <w:proofErr w:type="spellStart"/>
      <w:r w:rsidRPr="006414E6">
        <w:rPr>
          <w:rFonts w:cs="Times New Roman"/>
        </w:rPr>
        <w:t>niskougljično</w:t>
      </w:r>
      <w:proofErr w:type="spellEnd"/>
      <w:r w:rsidRPr="006414E6">
        <w:rPr>
          <w:rFonts w:cs="Times New Roman"/>
        </w:rPr>
        <w:t xml:space="preserve"> gospodarstvo. Republika Hrvatska treba kroz </w:t>
      </w:r>
      <w:proofErr w:type="spellStart"/>
      <w:r w:rsidRPr="006414E6">
        <w:rPr>
          <w:rFonts w:cs="Times New Roman"/>
        </w:rPr>
        <w:t>Niskougljičnu</w:t>
      </w:r>
      <w:proofErr w:type="spellEnd"/>
      <w:r w:rsidRPr="006414E6">
        <w:rPr>
          <w:rFonts w:cs="Times New Roman"/>
        </w:rPr>
        <w:t xml:space="preserve"> strategiju krenuti putem koji je za njezine građane najpovoljniji. </w:t>
      </w:r>
    </w:p>
    <w:p w14:paraId="419DB011" w14:textId="77777777" w:rsidR="004B4E50" w:rsidRPr="006414E6" w:rsidRDefault="004B4E50" w:rsidP="004B4E50">
      <w:pPr>
        <w:rPr>
          <w:rFonts w:cs="Times New Roman"/>
        </w:rPr>
      </w:pPr>
      <w:proofErr w:type="spellStart"/>
      <w:r w:rsidRPr="006414E6">
        <w:rPr>
          <w:rFonts w:cs="Times New Roman"/>
        </w:rPr>
        <w:t>Niskougljična</w:t>
      </w:r>
      <w:proofErr w:type="spellEnd"/>
      <w:r w:rsidRPr="006414E6">
        <w:rPr>
          <w:rFonts w:cs="Times New Roman"/>
        </w:rPr>
        <w:t xml:space="preserve"> strategija stvara sinergiju s konceptom razvoja novih zelenih poslova i ekonomije, konceptom kružnog gospodarstva u kojem se resursi koriste maksimalno,  nastanak otpada se svodi na najmanju moguću mjeru. </w:t>
      </w:r>
    </w:p>
    <w:p w14:paraId="78748A07" w14:textId="77777777" w:rsidR="004B4E50" w:rsidRPr="006414E6" w:rsidRDefault="004B4E50" w:rsidP="004B4E50">
      <w:pPr>
        <w:rPr>
          <w:rFonts w:cs="Times New Roman"/>
        </w:rPr>
      </w:pPr>
      <w:proofErr w:type="spellStart"/>
      <w:r w:rsidRPr="006414E6">
        <w:rPr>
          <w:rFonts w:cs="Times New Roman"/>
        </w:rPr>
        <w:t>Niskougljična</w:t>
      </w:r>
      <w:proofErr w:type="spellEnd"/>
      <w:r w:rsidRPr="006414E6">
        <w:rPr>
          <w:rFonts w:cs="Times New Roman"/>
        </w:rPr>
        <w:t xml:space="preserve"> strategija daje vizije pojedinih sektora do 2050. godine u kontekstu </w:t>
      </w:r>
      <w:proofErr w:type="spellStart"/>
      <w:r w:rsidRPr="006414E6">
        <w:rPr>
          <w:rFonts w:cs="Times New Roman"/>
        </w:rPr>
        <w:t>niskougljičnog</w:t>
      </w:r>
      <w:proofErr w:type="spellEnd"/>
      <w:r w:rsidRPr="006414E6">
        <w:rPr>
          <w:rFonts w:cs="Times New Roman"/>
        </w:rPr>
        <w:t xml:space="preserve"> razvoja, ali to je primjenjivo za čitavo društvo i </w:t>
      </w:r>
      <w:r w:rsidR="005E35A2" w:rsidRPr="006414E6">
        <w:rPr>
          <w:rFonts w:cs="Times New Roman"/>
        </w:rPr>
        <w:t>gospodarstvo</w:t>
      </w:r>
      <w:r w:rsidRPr="006414E6">
        <w:rPr>
          <w:rFonts w:cs="Times New Roman"/>
        </w:rPr>
        <w:t xml:space="preserve">. </w:t>
      </w:r>
    </w:p>
    <w:p w14:paraId="16EFD869" w14:textId="77777777" w:rsidR="00B251B2" w:rsidRPr="006414E6" w:rsidRDefault="00B251B2" w:rsidP="00913F95">
      <w:pPr>
        <w:rPr>
          <w:rFonts w:cs="Times New Roman"/>
        </w:rPr>
      </w:pPr>
      <w:proofErr w:type="spellStart"/>
      <w:r w:rsidRPr="006414E6">
        <w:rPr>
          <w:rFonts w:cs="Times New Roman"/>
          <w:u w:val="single"/>
        </w:rPr>
        <w:t>Niskougljična</w:t>
      </w:r>
      <w:proofErr w:type="spellEnd"/>
      <w:r w:rsidRPr="006414E6">
        <w:rPr>
          <w:rFonts w:cs="Times New Roman"/>
          <w:u w:val="single"/>
        </w:rPr>
        <w:t xml:space="preserve"> strategija </w:t>
      </w:r>
      <w:r w:rsidR="00913F95" w:rsidRPr="006414E6">
        <w:rPr>
          <w:rFonts w:cs="Times New Roman"/>
          <w:u w:val="single"/>
        </w:rPr>
        <w:t>postavlja sljedeća opća načela</w:t>
      </w:r>
      <w:r w:rsidR="00913F95" w:rsidRPr="006414E6">
        <w:rPr>
          <w:rFonts w:cs="Times New Roman"/>
        </w:rPr>
        <w:t xml:space="preserve">: </w:t>
      </w:r>
      <w:r w:rsidRPr="006414E6">
        <w:rPr>
          <w:rFonts w:cs="Times New Roman"/>
        </w:rPr>
        <w:t>održiv</w:t>
      </w:r>
      <w:r w:rsidR="003E3C66" w:rsidRPr="006414E6">
        <w:rPr>
          <w:rFonts w:cs="Times New Roman"/>
        </w:rPr>
        <w:t>i razvoj</w:t>
      </w:r>
      <w:r w:rsidR="00913F95" w:rsidRPr="006414E6">
        <w:rPr>
          <w:rFonts w:cs="Times New Roman"/>
        </w:rPr>
        <w:t xml:space="preserve">, </w:t>
      </w:r>
      <w:r w:rsidRPr="006414E6">
        <w:rPr>
          <w:rFonts w:cs="Times New Roman"/>
        </w:rPr>
        <w:t>onečišćivač plaća</w:t>
      </w:r>
      <w:r w:rsidR="00913F95" w:rsidRPr="006414E6">
        <w:rPr>
          <w:rFonts w:cs="Times New Roman"/>
        </w:rPr>
        <w:t xml:space="preserve">, </w:t>
      </w:r>
      <w:r w:rsidRPr="006414E6">
        <w:rPr>
          <w:rFonts w:cs="Times New Roman"/>
        </w:rPr>
        <w:t>primjena horizontalnog principa</w:t>
      </w:r>
      <w:r w:rsidR="00913F95" w:rsidRPr="006414E6">
        <w:rPr>
          <w:rFonts w:cs="Times New Roman"/>
        </w:rPr>
        <w:t xml:space="preserve">, fleksibilnost, </w:t>
      </w:r>
      <w:proofErr w:type="spellStart"/>
      <w:r w:rsidRPr="006414E6">
        <w:rPr>
          <w:rFonts w:cs="Times New Roman"/>
        </w:rPr>
        <w:t>participativnost</w:t>
      </w:r>
      <w:proofErr w:type="spellEnd"/>
      <w:r w:rsidRPr="006414E6">
        <w:rPr>
          <w:rFonts w:cs="Times New Roman"/>
        </w:rPr>
        <w:t xml:space="preserve"> (</w:t>
      </w:r>
      <w:proofErr w:type="spellStart"/>
      <w:r w:rsidRPr="006414E6">
        <w:rPr>
          <w:rFonts w:cs="Times New Roman"/>
        </w:rPr>
        <w:t>uključivost</w:t>
      </w:r>
      <w:proofErr w:type="spellEnd"/>
      <w:r w:rsidRPr="006414E6">
        <w:rPr>
          <w:rFonts w:cs="Times New Roman"/>
        </w:rPr>
        <w:t>)</w:t>
      </w:r>
      <w:r w:rsidR="00913F95" w:rsidRPr="006414E6">
        <w:rPr>
          <w:rFonts w:cs="Times New Roman"/>
        </w:rPr>
        <w:t xml:space="preserve">, inovativnost, solidarnost, </w:t>
      </w:r>
      <w:r w:rsidRPr="006414E6">
        <w:rPr>
          <w:rFonts w:cs="Times New Roman"/>
        </w:rPr>
        <w:t>sinergija djelovanja</w:t>
      </w:r>
      <w:r w:rsidR="00913F95" w:rsidRPr="006414E6">
        <w:rPr>
          <w:rFonts w:cs="Times New Roman"/>
        </w:rPr>
        <w:t xml:space="preserve">, </w:t>
      </w:r>
      <w:r w:rsidRPr="006414E6">
        <w:rPr>
          <w:rFonts w:cs="Times New Roman"/>
        </w:rPr>
        <w:t>cjelokupnost (holistički pristup)</w:t>
      </w:r>
      <w:r w:rsidR="00913F95" w:rsidRPr="006414E6">
        <w:rPr>
          <w:rFonts w:cs="Times New Roman"/>
        </w:rPr>
        <w:t xml:space="preserve"> i </w:t>
      </w:r>
      <w:r w:rsidRPr="006414E6">
        <w:rPr>
          <w:rFonts w:cs="Times New Roman"/>
        </w:rPr>
        <w:t xml:space="preserve">planska dugoročnost. </w:t>
      </w:r>
    </w:p>
    <w:p w14:paraId="6D678624" w14:textId="77777777" w:rsidR="003E3C66" w:rsidRPr="006414E6" w:rsidRDefault="003E3C66" w:rsidP="003E3C66">
      <w:pPr>
        <w:rPr>
          <w:rFonts w:cs="Times New Roman"/>
        </w:rPr>
      </w:pPr>
      <w:proofErr w:type="spellStart"/>
      <w:r w:rsidRPr="006414E6">
        <w:rPr>
          <w:rFonts w:cs="Times New Roman"/>
        </w:rPr>
        <w:t>Niskougljična</w:t>
      </w:r>
      <w:proofErr w:type="spellEnd"/>
      <w:r w:rsidRPr="006414E6">
        <w:rPr>
          <w:rFonts w:cs="Times New Roman"/>
        </w:rPr>
        <w:t xml:space="preserve"> strategij</w:t>
      </w:r>
      <w:r w:rsidR="005E35A2" w:rsidRPr="006414E6">
        <w:rPr>
          <w:rFonts w:cs="Times New Roman"/>
        </w:rPr>
        <w:t>a</w:t>
      </w:r>
      <w:r w:rsidRPr="006414E6">
        <w:rPr>
          <w:rFonts w:cs="Times New Roman"/>
        </w:rPr>
        <w:t xml:space="preserve"> prepoznaje da je održivi razvoj ravnoteža između gospodarskog rasta, zaštite okoliša i društvenog razvoja. Troškovi mjera smanjenja emisija stakleničkih plinova ne smiju ugroziti gospodarski razvoj. Provođenje mjera </w:t>
      </w:r>
      <w:proofErr w:type="spellStart"/>
      <w:r w:rsidRPr="006414E6">
        <w:rPr>
          <w:rFonts w:cs="Times New Roman"/>
        </w:rPr>
        <w:t>niskougljičnog</w:t>
      </w:r>
      <w:proofErr w:type="spellEnd"/>
      <w:r w:rsidRPr="006414E6">
        <w:rPr>
          <w:rFonts w:cs="Times New Roman"/>
        </w:rPr>
        <w:t xml:space="preserve"> razvoja trebaju financirati onečišćivači, pri čemu raspodjela opterećenja treba biti pravedna, a modeli prikupljanja sredstava jednostavni i transparentni. </w:t>
      </w:r>
    </w:p>
    <w:p w14:paraId="792E6C02" w14:textId="77777777" w:rsidR="003E3C66" w:rsidRPr="006414E6" w:rsidRDefault="003E3C66" w:rsidP="003E3C66">
      <w:pPr>
        <w:rPr>
          <w:rFonts w:cs="Times New Roman"/>
        </w:rPr>
      </w:pPr>
      <w:r w:rsidRPr="006414E6">
        <w:rPr>
          <w:rFonts w:cs="Times New Roman"/>
        </w:rPr>
        <w:t xml:space="preserve">Primjena horizontalnog principa podrazumijeva prostiranje kroz sve sektore i kapilarno uključivanje u njihove politike. Primjerice, mjere uštede energije trebaju se smatrati novim izvorom energije i jednako vrednovati kao izgradnja novih energetskih kapaciteta. Isto tako, mjere za povećanje odliva stakleničkih plinova u aktivnostima gospodarenja šumama i poljoprivredi treba poticati, odnosno one se trebaju smatrati mjerama smanjenja emisije. Fleksibilnost znači da </w:t>
      </w:r>
      <w:proofErr w:type="spellStart"/>
      <w:r w:rsidRPr="006414E6">
        <w:rPr>
          <w:rFonts w:cs="Times New Roman"/>
        </w:rPr>
        <w:t>niskougljični</w:t>
      </w:r>
      <w:proofErr w:type="spellEnd"/>
      <w:r w:rsidRPr="006414E6">
        <w:rPr>
          <w:rFonts w:cs="Times New Roman"/>
        </w:rPr>
        <w:t xml:space="preserve"> razvoj treba biti dovoljno otvoren da uvažava moguće vanjske geopolitičke okolnosti i druge poremećaje, ostavljajući pojedinim sektorima dovoljno mogućnosti da sami odlučuju o svojim ciljevima. </w:t>
      </w:r>
      <w:proofErr w:type="spellStart"/>
      <w:r w:rsidRPr="006414E6">
        <w:rPr>
          <w:rFonts w:cs="Times New Roman"/>
        </w:rPr>
        <w:t>Participativnost</w:t>
      </w:r>
      <w:proofErr w:type="spellEnd"/>
      <w:r w:rsidRPr="006414E6">
        <w:rPr>
          <w:rFonts w:cs="Times New Roman"/>
        </w:rPr>
        <w:t xml:space="preserve"> podrazumijeva uključivanje svih sektora koji doprinose smanjenju emisije stakleničkih plinova pa i onih koji doprinose emisiji indirektno. </w:t>
      </w:r>
    </w:p>
    <w:p w14:paraId="40E0F416" w14:textId="58033E3C" w:rsidR="00B251B2" w:rsidRPr="006414E6" w:rsidRDefault="00CA32AE" w:rsidP="00B251B2">
      <w:pPr>
        <w:rPr>
          <w:rFonts w:cs="Times New Roman"/>
        </w:rPr>
      </w:pPr>
      <w:r w:rsidRPr="006414E6">
        <w:rPr>
          <w:rFonts w:cs="Times New Roman"/>
        </w:rPr>
        <w:t xml:space="preserve">Inovativnost i pametna rješenja preduvjeti su za međunarodnu i globalnu konkurentnost. Republika Hrvatska treba biti solidarna međunarodno, a solidarnost treba poticati i između sektora. Veći učinci se postižu ako se uspijevaju stvoriti uvjeti za sinergijsko djelovanje te treba poticati aktivnosti i mjere takvog djelovanja. Načelo cjelovitosti pri planiranju </w:t>
      </w:r>
      <w:proofErr w:type="spellStart"/>
      <w:r w:rsidRPr="006414E6">
        <w:rPr>
          <w:rFonts w:cs="Times New Roman"/>
        </w:rPr>
        <w:t>niskougljičnog</w:t>
      </w:r>
      <w:proofErr w:type="spellEnd"/>
      <w:r w:rsidRPr="006414E6">
        <w:rPr>
          <w:rFonts w:cs="Times New Roman"/>
        </w:rPr>
        <w:t xml:space="preserve"> razvoja osobito je važno</w:t>
      </w:r>
      <w:r w:rsidR="00B251B2" w:rsidRPr="006414E6">
        <w:rPr>
          <w:rFonts w:cs="Times New Roman"/>
        </w:rPr>
        <w:t>.</w:t>
      </w:r>
    </w:p>
    <w:p w14:paraId="1100BFB8" w14:textId="49610D0E" w:rsidR="009A2FAA" w:rsidRPr="006414E6" w:rsidRDefault="00AB23ED" w:rsidP="00EE3488">
      <w:pPr>
        <w:pStyle w:val="Heading2"/>
      </w:pPr>
      <w:bookmarkStart w:id="122" w:name="_Toc20841285"/>
      <w:bookmarkStart w:id="123" w:name="_Toc20841391"/>
      <w:bookmarkStart w:id="124" w:name="_Toc39133255"/>
      <w:r w:rsidRPr="006414E6">
        <w:lastRenderedPageBreak/>
        <w:t>1</w:t>
      </w:r>
      <w:r w:rsidR="009A2FAA" w:rsidRPr="006414E6">
        <w:t>.3.</w:t>
      </w:r>
      <w:r w:rsidR="009A2FAA" w:rsidRPr="006414E6">
        <w:tab/>
      </w:r>
      <w:r w:rsidR="00291539" w:rsidRPr="006414E6">
        <w:t xml:space="preserve">KRONOLOGIJA IZRADE NISKOUGLJIČNE STRATEGIJE I </w:t>
      </w:r>
      <w:r w:rsidR="009A2FAA" w:rsidRPr="006414E6">
        <w:t>JAVNO SAVJETOVANJE</w:t>
      </w:r>
      <w:bookmarkEnd w:id="122"/>
      <w:bookmarkEnd w:id="123"/>
      <w:bookmarkEnd w:id="124"/>
    </w:p>
    <w:p w14:paraId="5C3E6EDF" w14:textId="77777777" w:rsidR="00C5388A" w:rsidRPr="006414E6" w:rsidRDefault="00C5388A" w:rsidP="00D90621">
      <w:pPr>
        <w:rPr>
          <w:rFonts w:cs="Times New Roman"/>
        </w:rPr>
      </w:pPr>
      <w:proofErr w:type="spellStart"/>
      <w:r w:rsidRPr="006414E6">
        <w:rPr>
          <w:rFonts w:cs="Times New Roman"/>
        </w:rPr>
        <w:t>Niskougljična</w:t>
      </w:r>
      <w:proofErr w:type="spellEnd"/>
      <w:r w:rsidRPr="006414E6">
        <w:rPr>
          <w:rFonts w:cs="Times New Roman"/>
        </w:rPr>
        <w:t xml:space="preserve"> strategija izrađena je kroz četiri koraka.</w:t>
      </w:r>
      <w:r w:rsidR="007F3CC9" w:rsidRPr="006414E6">
        <w:rPr>
          <w:rFonts w:cs="Times New Roman"/>
        </w:rPr>
        <w:t xml:space="preserve"> Svaki korak je uključivao konzultacije s</w:t>
      </w:r>
      <w:r w:rsidR="004804BB" w:rsidRPr="006414E6">
        <w:rPr>
          <w:rFonts w:cs="Times New Roman"/>
        </w:rPr>
        <w:t>a</w:t>
      </w:r>
      <w:r w:rsidR="007F3CC9" w:rsidRPr="006414E6">
        <w:rPr>
          <w:rFonts w:cs="Times New Roman"/>
        </w:rPr>
        <w:t xml:space="preserve"> stručnom i zainteresiranom javnosti. </w:t>
      </w:r>
    </w:p>
    <w:p w14:paraId="717C35C6" w14:textId="77777777" w:rsidR="00C5388A" w:rsidRPr="006414E6" w:rsidRDefault="00C5388A" w:rsidP="00D90621">
      <w:pPr>
        <w:rPr>
          <w:rFonts w:cs="Times New Roman"/>
          <w:u w:val="single"/>
        </w:rPr>
      </w:pPr>
      <w:r w:rsidRPr="006414E6">
        <w:rPr>
          <w:rFonts w:cs="Times New Roman"/>
          <w:u w:val="single"/>
        </w:rPr>
        <w:t>Pr</w:t>
      </w:r>
      <w:r w:rsidR="00913F95" w:rsidRPr="006414E6">
        <w:rPr>
          <w:rFonts w:cs="Times New Roman"/>
          <w:u w:val="single"/>
        </w:rPr>
        <w:t>vi korak (2012. – 2013. godina)</w:t>
      </w:r>
    </w:p>
    <w:p w14:paraId="4527F2D4" w14:textId="77777777" w:rsidR="00C5388A" w:rsidRPr="006414E6" w:rsidRDefault="00C5388A" w:rsidP="00D90621">
      <w:pPr>
        <w:rPr>
          <w:rFonts w:cs="Times New Roman"/>
        </w:rPr>
      </w:pPr>
      <w:r w:rsidRPr="006414E6">
        <w:rPr>
          <w:rFonts w:cs="Times New Roman"/>
        </w:rPr>
        <w:t>Prvi korak za</w:t>
      </w:r>
      <w:r w:rsidR="004804BB" w:rsidRPr="006414E6">
        <w:rPr>
          <w:rFonts w:cs="Times New Roman"/>
        </w:rPr>
        <w:t>počeo je 2012. godine kroz LEDS</w:t>
      </w:r>
      <w:r w:rsidRPr="006414E6">
        <w:rPr>
          <w:rFonts w:cs="Times New Roman"/>
        </w:rPr>
        <w:t xml:space="preserve"> projekt </w:t>
      </w:r>
      <w:r w:rsidR="005C6F36" w:rsidRPr="006414E6">
        <w:rPr>
          <w:rFonts w:cs="Times New Roman"/>
        </w:rPr>
        <w:t xml:space="preserve">Okvir za izradu Strategije </w:t>
      </w:r>
      <w:proofErr w:type="spellStart"/>
      <w:r w:rsidR="005C6F36" w:rsidRPr="006414E6">
        <w:rPr>
          <w:rFonts w:cs="Times New Roman"/>
        </w:rPr>
        <w:t>niskougljičnog</w:t>
      </w:r>
      <w:proofErr w:type="spellEnd"/>
      <w:r w:rsidR="005C6F36" w:rsidRPr="006414E6">
        <w:rPr>
          <w:rFonts w:cs="Times New Roman"/>
        </w:rPr>
        <w:t xml:space="preserve"> razvoja Hrvatske </w:t>
      </w:r>
      <w:r w:rsidRPr="006414E6">
        <w:rPr>
          <w:rFonts w:cs="Times New Roman"/>
        </w:rPr>
        <w:t xml:space="preserve">(eng. </w:t>
      </w:r>
      <w:proofErr w:type="spellStart"/>
      <w:r w:rsidRPr="00D90621">
        <w:rPr>
          <w:rFonts w:cs="Times New Roman"/>
        </w:rPr>
        <w:t>Low</w:t>
      </w:r>
      <w:proofErr w:type="spellEnd"/>
      <w:r w:rsidRPr="00D90621">
        <w:rPr>
          <w:rFonts w:cs="Times New Roman"/>
        </w:rPr>
        <w:t xml:space="preserve"> </w:t>
      </w:r>
      <w:proofErr w:type="spellStart"/>
      <w:r w:rsidRPr="00D90621">
        <w:rPr>
          <w:rFonts w:cs="Times New Roman"/>
        </w:rPr>
        <w:t>Emission</w:t>
      </w:r>
      <w:proofErr w:type="spellEnd"/>
      <w:r w:rsidRPr="00D90621">
        <w:rPr>
          <w:rFonts w:cs="Times New Roman"/>
        </w:rPr>
        <w:t xml:space="preserve"> Development </w:t>
      </w:r>
      <w:proofErr w:type="spellStart"/>
      <w:r w:rsidRPr="00D90621">
        <w:rPr>
          <w:rFonts w:cs="Times New Roman"/>
        </w:rPr>
        <w:t>Strategies</w:t>
      </w:r>
      <w:proofErr w:type="spellEnd"/>
      <w:r w:rsidRPr="006414E6">
        <w:rPr>
          <w:rFonts w:cs="Times New Roman"/>
        </w:rPr>
        <w:t xml:space="preserve">) tadašnjeg Ministarstva zaštite okoliša i prirode u partnerstvu s Programom Ujedinjenih naroda za razvoj (UNDP), čime je izrađen Okvir za izradu Strategije </w:t>
      </w:r>
      <w:proofErr w:type="spellStart"/>
      <w:r w:rsidRPr="006414E6">
        <w:rPr>
          <w:rFonts w:cs="Times New Roman"/>
        </w:rPr>
        <w:t>niskougljičnog</w:t>
      </w:r>
      <w:proofErr w:type="spellEnd"/>
      <w:r w:rsidRPr="006414E6">
        <w:rPr>
          <w:rFonts w:cs="Times New Roman"/>
        </w:rPr>
        <w:t xml:space="preserve"> razvoja. Fokus projekta bio je na širokim konzultacijama po sektorima, održavanjem niza sektorskih radionica: energetska postrojenja, zgradarstvo, promet, industrija, poljoprivreda i šumarstvo, otpad i turizam. Na radionicama su sudionici aktivno sudjelovali u analizi snaga, slabosti, prilika i prijetnji (SWOT</w:t>
      </w:r>
      <w:r w:rsidR="00C70D00" w:rsidRPr="006414E6">
        <w:rPr>
          <w:rFonts w:cs="Times New Roman"/>
        </w:rPr>
        <w:t xml:space="preserve"> analiza</w:t>
      </w:r>
      <w:r w:rsidRPr="006414E6">
        <w:rPr>
          <w:rFonts w:cs="Times New Roman"/>
        </w:rPr>
        <w:t>) te u utvrđivanju vizije</w:t>
      </w:r>
      <w:r w:rsidR="00C70D00" w:rsidRPr="006414E6">
        <w:rPr>
          <w:rFonts w:cs="Times New Roman"/>
        </w:rPr>
        <w:t xml:space="preserve"> </w:t>
      </w:r>
      <w:proofErr w:type="spellStart"/>
      <w:r w:rsidR="00C70D00" w:rsidRPr="006414E6">
        <w:rPr>
          <w:rFonts w:cs="Times New Roman"/>
        </w:rPr>
        <w:t>niskougljičnog</w:t>
      </w:r>
      <w:proofErr w:type="spellEnd"/>
      <w:r w:rsidR="00C70D00" w:rsidRPr="006414E6">
        <w:rPr>
          <w:rFonts w:cs="Times New Roman"/>
        </w:rPr>
        <w:t xml:space="preserve"> razvoja</w:t>
      </w:r>
      <w:r w:rsidRPr="006414E6">
        <w:rPr>
          <w:rFonts w:cs="Times New Roman"/>
        </w:rPr>
        <w:t xml:space="preserve">. Utvrđene su i prioritetne mjere i smjernice za izradu </w:t>
      </w:r>
      <w:proofErr w:type="spellStart"/>
      <w:r w:rsidRPr="006414E6">
        <w:rPr>
          <w:rFonts w:cs="Times New Roman"/>
        </w:rPr>
        <w:t>Niskougljične</w:t>
      </w:r>
      <w:proofErr w:type="spellEnd"/>
      <w:r w:rsidRPr="006414E6">
        <w:rPr>
          <w:rFonts w:cs="Times New Roman"/>
        </w:rPr>
        <w:t xml:space="preserve"> strategije. Okvir za izradu </w:t>
      </w:r>
      <w:proofErr w:type="spellStart"/>
      <w:r w:rsidRPr="006414E6">
        <w:rPr>
          <w:rFonts w:cs="Times New Roman"/>
        </w:rPr>
        <w:t>Niskougljične</w:t>
      </w:r>
      <w:proofErr w:type="spellEnd"/>
      <w:r w:rsidRPr="006414E6">
        <w:rPr>
          <w:rFonts w:cs="Times New Roman"/>
        </w:rPr>
        <w:t xml:space="preserve"> strategije je potom </w:t>
      </w:r>
      <w:r w:rsidR="00CF1B9C" w:rsidRPr="006414E6">
        <w:rPr>
          <w:rFonts w:cs="Times New Roman"/>
        </w:rPr>
        <w:t xml:space="preserve">usvojen </w:t>
      </w:r>
      <w:r w:rsidRPr="006414E6">
        <w:rPr>
          <w:rFonts w:cs="Times New Roman"/>
        </w:rPr>
        <w:t xml:space="preserve">u okviru Plana zaštite zraka, ozonskog sloja i ublažavanja klimatskih promjena u Republici Hrvatskoj za razdoblje od 2013. do 2017. godine. </w:t>
      </w:r>
    </w:p>
    <w:p w14:paraId="6F882621" w14:textId="77777777" w:rsidR="00CF1B9C" w:rsidRPr="006414E6" w:rsidRDefault="00CF1B9C" w:rsidP="00D90621">
      <w:pPr>
        <w:rPr>
          <w:rFonts w:cs="Times New Roman"/>
          <w:u w:val="single"/>
        </w:rPr>
      </w:pPr>
      <w:r w:rsidRPr="006414E6">
        <w:rPr>
          <w:rFonts w:cs="Times New Roman"/>
          <w:u w:val="single"/>
        </w:rPr>
        <w:t>Drugi korak (2014.</w:t>
      </w:r>
      <w:r w:rsidR="00B0482E" w:rsidRPr="006414E6">
        <w:rPr>
          <w:rFonts w:cs="Times New Roman"/>
          <w:u w:val="single"/>
        </w:rPr>
        <w:t xml:space="preserve"> – </w:t>
      </w:r>
      <w:r w:rsidR="00913F95" w:rsidRPr="006414E6">
        <w:rPr>
          <w:rFonts w:cs="Times New Roman"/>
          <w:u w:val="single"/>
        </w:rPr>
        <w:t>2015. godina)</w:t>
      </w:r>
    </w:p>
    <w:p w14:paraId="552BA690" w14:textId="77777777" w:rsidR="00CF1B9C" w:rsidRPr="006414E6" w:rsidRDefault="00CF1B9C" w:rsidP="00D90621">
      <w:pPr>
        <w:rPr>
          <w:rFonts w:cs="Times New Roman"/>
        </w:rPr>
      </w:pPr>
      <w:r w:rsidRPr="006414E6">
        <w:rPr>
          <w:rFonts w:cs="Times New Roman"/>
        </w:rPr>
        <w:t xml:space="preserve">U drugom koraku izrađene su stručne podloge za </w:t>
      </w:r>
      <w:proofErr w:type="spellStart"/>
      <w:r w:rsidRPr="006414E6">
        <w:rPr>
          <w:rFonts w:cs="Times New Roman"/>
        </w:rPr>
        <w:t>Niskougljičnu</w:t>
      </w:r>
      <w:proofErr w:type="spellEnd"/>
      <w:r w:rsidRPr="006414E6">
        <w:rPr>
          <w:rFonts w:cs="Times New Roman"/>
        </w:rPr>
        <w:t xml:space="preserve"> strategiju. Proces izrade tekao je po dvije linije, analitičkim poslom pripreme stručnih podloga i paralelnim konzultacijama s dionicima i zainteresiranom javnosti. </w:t>
      </w:r>
      <w:r w:rsidRPr="00D90621">
        <w:rPr>
          <w:rFonts w:cs="Times New Roman"/>
        </w:rPr>
        <w:t>Konzultacije s dionicima obuhvatile su i</w:t>
      </w:r>
      <w:r w:rsidRPr="006414E6">
        <w:rPr>
          <w:rFonts w:cs="Times New Roman"/>
        </w:rPr>
        <w:t xml:space="preserve"> sektorske radionice </w:t>
      </w:r>
      <w:r w:rsidRPr="00D90621">
        <w:rPr>
          <w:rFonts w:cs="Times New Roman"/>
        </w:rPr>
        <w:t xml:space="preserve">za energetska postrojenja i industriju, promet, zgradarstvo, poljoprivredu i šumarstvo te otpad. </w:t>
      </w:r>
      <w:r w:rsidRPr="006414E6">
        <w:rPr>
          <w:rFonts w:cs="Times New Roman"/>
        </w:rPr>
        <w:t xml:space="preserve">Na radionicama su sudionici prikazali unutarnje čimbenike (snage i slabosti) i vanjske čimbenike (prilike i prijetnje) koji karakteriziraju postojeće stanje u sektorima. </w:t>
      </w:r>
      <w:proofErr w:type="spellStart"/>
      <w:r w:rsidRPr="006414E6">
        <w:rPr>
          <w:rFonts w:cs="Times New Roman"/>
        </w:rPr>
        <w:t>Niskougljični</w:t>
      </w:r>
      <w:proofErr w:type="spellEnd"/>
      <w:r w:rsidRPr="006414E6">
        <w:rPr>
          <w:rFonts w:cs="Times New Roman"/>
        </w:rPr>
        <w:t xml:space="preserve"> razvoj razmatran je u okviru općeg gospodarskog i društvenog razvoja Republike Hrvatske i strukturnih reformi u pojedinim sek</w:t>
      </w:r>
      <w:r w:rsidR="00E44413" w:rsidRPr="006414E6">
        <w:rPr>
          <w:rFonts w:cs="Times New Roman"/>
        </w:rPr>
        <w:t>torima koje</w:t>
      </w:r>
      <w:r w:rsidRPr="006414E6">
        <w:rPr>
          <w:rFonts w:cs="Times New Roman"/>
        </w:rPr>
        <w:t xml:space="preserve"> direktno ili indirektno utječu na racionalnije i učinkovitije gospodarenje prirodnim resursima i smanjenje utjecaja na okoliš.</w:t>
      </w:r>
      <w:r w:rsidR="00E44413" w:rsidRPr="006414E6">
        <w:rPr>
          <w:rFonts w:cs="Times New Roman"/>
        </w:rPr>
        <w:t xml:space="preserve"> </w:t>
      </w:r>
      <w:r w:rsidR="00C70D00" w:rsidRPr="00D90621">
        <w:rPr>
          <w:rFonts w:cs="Times New Roman"/>
        </w:rPr>
        <w:t xml:space="preserve">Osim navedenih radionica, rezultati stručnih podloga </w:t>
      </w:r>
      <w:proofErr w:type="spellStart"/>
      <w:r w:rsidR="00C70D00" w:rsidRPr="00D90621">
        <w:rPr>
          <w:rFonts w:cs="Times New Roman"/>
        </w:rPr>
        <w:t>Niskougljične</w:t>
      </w:r>
      <w:proofErr w:type="spellEnd"/>
      <w:r w:rsidR="00C70D00" w:rsidRPr="00D90621">
        <w:rPr>
          <w:rFonts w:cs="Times New Roman"/>
        </w:rPr>
        <w:t xml:space="preserve"> strategije prezentirani su na konferencijama, forumima i stručnim skupovima.</w:t>
      </w:r>
    </w:p>
    <w:p w14:paraId="0993099D" w14:textId="77777777" w:rsidR="00CF1B9C" w:rsidRPr="006414E6" w:rsidRDefault="00CF1B9C" w:rsidP="00B0482E">
      <w:pPr>
        <w:rPr>
          <w:rFonts w:cs="Times New Roman"/>
        </w:rPr>
      </w:pPr>
      <w:r w:rsidRPr="006414E6">
        <w:rPr>
          <w:rFonts w:cs="Times New Roman"/>
        </w:rPr>
        <w:t xml:space="preserve">Izrađena je Zelena knjiga, u kojoj su dani detaljni tehnički opisi i podaci, opisani modeli, metode, mjere, scenariji, učinci </w:t>
      </w:r>
      <w:proofErr w:type="spellStart"/>
      <w:r w:rsidR="00C70D00" w:rsidRPr="006414E6">
        <w:rPr>
          <w:rFonts w:cs="Times New Roman"/>
        </w:rPr>
        <w:t>niskougljičnih</w:t>
      </w:r>
      <w:proofErr w:type="spellEnd"/>
      <w:r w:rsidR="00C70D00" w:rsidRPr="006414E6">
        <w:rPr>
          <w:rFonts w:cs="Times New Roman"/>
        </w:rPr>
        <w:t xml:space="preserve"> </w:t>
      </w:r>
      <w:r w:rsidRPr="006414E6">
        <w:rPr>
          <w:rFonts w:cs="Times New Roman"/>
        </w:rPr>
        <w:t>scenarija na gospodarstvo, društvo i okoliš, analiza osjetljivosti, smjernice, financiranje itd. Na temelju Zelene knjige izrađena je prva revizija Bijele knjige koja predstavlja sažetak rezultata, fokusirani tekst na odabrane mjere, scenarije i politike, s</w:t>
      </w:r>
      <w:r w:rsidR="00E44413" w:rsidRPr="006414E6">
        <w:rPr>
          <w:rFonts w:cs="Times New Roman"/>
        </w:rPr>
        <w:t>a</w:t>
      </w:r>
      <w:r w:rsidRPr="006414E6">
        <w:rPr>
          <w:rFonts w:cs="Times New Roman"/>
        </w:rPr>
        <w:t xml:space="preserve"> smjernicama provedbe, uključujući potrebne financijske mehanizme. Bijela knjiga predstavlja </w:t>
      </w:r>
      <w:r w:rsidR="00C70D00" w:rsidRPr="006414E6">
        <w:rPr>
          <w:rFonts w:cs="Times New Roman"/>
        </w:rPr>
        <w:t xml:space="preserve">prijedlog </w:t>
      </w:r>
      <w:proofErr w:type="spellStart"/>
      <w:r w:rsidRPr="006414E6">
        <w:rPr>
          <w:rFonts w:cs="Times New Roman"/>
        </w:rPr>
        <w:t>Niskougljične</w:t>
      </w:r>
      <w:proofErr w:type="spellEnd"/>
      <w:r w:rsidRPr="006414E6">
        <w:rPr>
          <w:rFonts w:cs="Times New Roman"/>
        </w:rPr>
        <w:t xml:space="preserve"> strategije.</w:t>
      </w:r>
    </w:p>
    <w:p w14:paraId="226C85B6" w14:textId="77777777" w:rsidR="00B0482E" w:rsidRPr="006414E6" w:rsidRDefault="00B0482E" w:rsidP="00B0482E">
      <w:pPr>
        <w:rPr>
          <w:rFonts w:cs="Times New Roman"/>
          <w:u w:val="single"/>
        </w:rPr>
      </w:pPr>
      <w:r w:rsidRPr="006414E6">
        <w:rPr>
          <w:rFonts w:cs="Times New Roman"/>
          <w:u w:val="single"/>
        </w:rPr>
        <w:t>Tre</w:t>
      </w:r>
      <w:r w:rsidR="00913F95" w:rsidRPr="006414E6">
        <w:rPr>
          <w:rFonts w:cs="Times New Roman"/>
          <w:u w:val="single"/>
        </w:rPr>
        <w:t>ći korak (2016. – 2017. godina)</w:t>
      </w:r>
    </w:p>
    <w:p w14:paraId="385253BC" w14:textId="77777777" w:rsidR="00B0482E" w:rsidRPr="006414E6" w:rsidRDefault="008B6FA7" w:rsidP="00B0482E">
      <w:pPr>
        <w:rPr>
          <w:rFonts w:cs="Times New Roman"/>
        </w:rPr>
      </w:pPr>
      <w:r w:rsidRPr="006414E6">
        <w:rPr>
          <w:rFonts w:cs="Times New Roman"/>
        </w:rPr>
        <w:t xml:space="preserve">U trećem koraku provedeni su novi proračuni i </w:t>
      </w:r>
      <w:proofErr w:type="spellStart"/>
      <w:r w:rsidRPr="006414E6">
        <w:rPr>
          <w:rFonts w:cs="Times New Roman"/>
        </w:rPr>
        <w:t>novelacija</w:t>
      </w:r>
      <w:proofErr w:type="spellEnd"/>
      <w:r w:rsidRPr="006414E6">
        <w:rPr>
          <w:rFonts w:cs="Times New Roman"/>
        </w:rPr>
        <w:t xml:space="preserve"> </w:t>
      </w:r>
      <w:proofErr w:type="spellStart"/>
      <w:r w:rsidRPr="006414E6">
        <w:rPr>
          <w:rFonts w:cs="Times New Roman"/>
        </w:rPr>
        <w:t>niskougljičnih</w:t>
      </w:r>
      <w:proofErr w:type="spellEnd"/>
      <w:r w:rsidRPr="006414E6">
        <w:rPr>
          <w:rFonts w:cs="Times New Roman"/>
        </w:rPr>
        <w:t xml:space="preserve"> scenarija te je izrađena druga revizija Bijele knjige. Tri su glavna razloga zašto je bilo razložno provesti ponovljeni proračun.</w:t>
      </w:r>
      <w:r w:rsidR="00B0482E" w:rsidRPr="006414E6">
        <w:rPr>
          <w:rFonts w:cs="Times New Roman"/>
        </w:rPr>
        <w:t xml:space="preserve"> </w:t>
      </w:r>
    </w:p>
    <w:p w14:paraId="7C79CCE0" w14:textId="77777777" w:rsidR="00B0482E" w:rsidRPr="006414E6" w:rsidRDefault="00B0482E" w:rsidP="00B0482E">
      <w:pPr>
        <w:rPr>
          <w:rFonts w:cs="Times New Roman"/>
        </w:rPr>
      </w:pPr>
      <w:r w:rsidRPr="006414E6">
        <w:rPr>
          <w:rFonts w:cs="Times New Roman"/>
        </w:rPr>
        <w:t xml:space="preserve">Prvi razlog je što je tijekom 2016. godine došlo do promjena u povijesnom nizu podataka energetike, pa je s tim u vezi bilo potrebno ponoviti proračun emisija stakleničkih plinova za razdoblje od 1990. godine. </w:t>
      </w:r>
      <w:r w:rsidR="004C47E3" w:rsidRPr="006414E6">
        <w:rPr>
          <w:rFonts w:cs="Times New Roman"/>
        </w:rPr>
        <w:t>Drugi razlog je promjena ključnih čimbenika: cijena fosilnog goriva (posebice plina), prognoza u cijenama CO</w:t>
      </w:r>
      <w:r w:rsidR="004C47E3" w:rsidRPr="006414E6">
        <w:rPr>
          <w:rFonts w:cs="Times New Roman"/>
          <w:vertAlign w:val="subscript"/>
        </w:rPr>
        <w:t>2</w:t>
      </w:r>
      <w:r w:rsidR="004C47E3" w:rsidRPr="006414E6">
        <w:rPr>
          <w:rFonts w:cs="Times New Roman"/>
        </w:rPr>
        <w:t xml:space="preserve">, značajnijeg pada cijena tehnologija obnovljivih izvora energije (posebice sunčanih </w:t>
      </w:r>
      <w:r w:rsidR="00336060" w:rsidRPr="006414E6">
        <w:rPr>
          <w:rFonts w:cs="Times New Roman"/>
        </w:rPr>
        <w:t xml:space="preserve">elektrana). Treći razlog je </w:t>
      </w:r>
      <w:r w:rsidR="004C47E3" w:rsidRPr="006414E6">
        <w:rPr>
          <w:rFonts w:cs="Times New Roman"/>
        </w:rPr>
        <w:t>promjena Vlade Republike Hrvatske krajem 2016. godine, čime su postavljene nove razvojne smjernice za razdoblje od 2017. do 2020. godine, pa se s tim u vezi javila potreba preispitivanja pojedinih ciljeva, politika i mjera.</w:t>
      </w:r>
      <w:r w:rsidRPr="006414E6">
        <w:rPr>
          <w:rFonts w:cs="Times New Roman"/>
        </w:rPr>
        <w:t xml:space="preserve"> </w:t>
      </w:r>
    </w:p>
    <w:p w14:paraId="3F2CFFF6" w14:textId="77777777" w:rsidR="00B712D5" w:rsidRPr="006414E6" w:rsidRDefault="00B712D5" w:rsidP="00B0482E">
      <w:pPr>
        <w:rPr>
          <w:rFonts w:cs="Times New Roman"/>
        </w:rPr>
      </w:pPr>
      <w:r w:rsidRPr="006414E6">
        <w:rPr>
          <w:rFonts w:cs="Times New Roman"/>
        </w:rPr>
        <w:t xml:space="preserve">Tijekom izrade druge revizije Bijele knjige provedeni su konzultativni sastanci s relevantnim ministarstvima. Započeo je postupak strateške procjene utjecaja na okoliš te je tijekom 2017. godine </w:t>
      </w:r>
      <w:r w:rsidRPr="006414E6">
        <w:rPr>
          <w:rFonts w:cs="Times New Roman"/>
        </w:rPr>
        <w:lastRenderedPageBreak/>
        <w:t xml:space="preserve">provedeno javno savjetovanje o prijedlogu Strategije </w:t>
      </w:r>
      <w:proofErr w:type="spellStart"/>
      <w:r w:rsidRPr="006414E6">
        <w:rPr>
          <w:rFonts w:cs="Times New Roman"/>
        </w:rPr>
        <w:t>niskougljičnog</w:t>
      </w:r>
      <w:proofErr w:type="spellEnd"/>
      <w:r w:rsidRPr="006414E6">
        <w:rPr>
          <w:rFonts w:cs="Times New Roman"/>
        </w:rPr>
        <w:t xml:space="preserve"> razvoja Republike Hrvatske do 2030. godine s pogledom na 2050. godinu i Strateškoj studiji utjecaja na okoliš Strategije </w:t>
      </w:r>
      <w:proofErr w:type="spellStart"/>
      <w:r w:rsidR="00523CF7" w:rsidRPr="006414E6">
        <w:rPr>
          <w:rFonts w:cs="Times New Roman"/>
        </w:rPr>
        <w:t>n</w:t>
      </w:r>
      <w:r w:rsidRPr="006414E6">
        <w:rPr>
          <w:rFonts w:cs="Times New Roman"/>
        </w:rPr>
        <w:t>iskougljičnog</w:t>
      </w:r>
      <w:proofErr w:type="spellEnd"/>
      <w:r w:rsidRPr="006414E6">
        <w:rPr>
          <w:rFonts w:cs="Times New Roman"/>
        </w:rPr>
        <w:t xml:space="preserve"> razvoja Republike Hrvatske do 2030. </w:t>
      </w:r>
      <w:r w:rsidR="00523CF7" w:rsidRPr="006414E6">
        <w:rPr>
          <w:rFonts w:cs="Times New Roman"/>
        </w:rPr>
        <w:t xml:space="preserve">godine </w:t>
      </w:r>
      <w:r w:rsidRPr="006414E6">
        <w:rPr>
          <w:rFonts w:cs="Times New Roman"/>
        </w:rPr>
        <w:t xml:space="preserve">s pogledom na 2050. godinu.  </w:t>
      </w:r>
    </w:p>
    <w:p w14:paraId="6DE037B6" w14:textId="77777777" w:rsidR="00336060" w:rsidRPr="006414E6" w:rsidRDefault="00336060" w:rsidP="00336060">
      <w:pPr>
        <w:rPr>
          <w:rFonts w:cs="Times New Roman"/>
        </w:rPr>
      </w:pPr>
      <w:r w:rsidRPr="006414E6">
        <w:rPr>
          <w:rFonts w:cs="Times New Roman"/>
        </w:rPr>
        <w:t xml:space="preserve">Krajem 2017. godine Vlada Republike Hrvatske donijela je odluku o izradi Strategije energetskog razvoja Republike Hrvatske do 2030. s pogledom na 2050. godinu (u nastavku Energetska strategija) te je donošenje </w:t>
      </w:r>
      <w:proofErr w:type="spellStart"/>
      <w:r w:rsidRPr="006414E6">
        <w:rPr>
          <w:rFonts w:cs="Times New Roman"/>
        </w:rPr>
        <w:t>Niskougljične</w:t>
      </w:r>
      <w:proofErr w:type="spellEnd"/>
      <w:r w:rsidRPr="006414E6">
        <w:rPr>
          <w:rFonts w:cs="Times New Roman"/>
        </w:rPr>
        <w:t xml:space="preserve"> strategije odgođeno. </w:t>
      </w:r>
    </w:p>
    <w:p w14:paraId="491B2017" w14:textId="77777777" w:rsidR="00B0482E" w:rsidRPr="006414E6" w:rsidRDefault="00B0482E" w:rsidP="00907A34">
      <w:pPr>
        <w:rPr>
          <w:rFonts w:cs="Times New Roman"/>
          <w:u w:val="single"/>
        </w:rPr>
      </w:pPr>
      <w:r w:rsidRPr="006414E6">
        <w:rPr>
          <w:rFonts w:cs="Times New Roman"/>
          <w:u w:val="single"/>
        </w:rPr>
        <w:t xml:space="preserve">Četvrti korak (2019. </w:t>
      </w:r>
      <w:r w:rsidR="00B712D5" w:rsidRPr="006414E6">
        <w:rPr>
          <w:rFonts w:cs="Times New Roman"/>
          <w:u w:val="single"/>
        </w:rPr>
        <w:t xml:space="preserve">– 2020. </w:t>
      </w:r>
      <w:r w:rsidR="00913F95" w:rsidRPr="006414E6">
        <w:rPr>
          <w:rFonts w:cs="Times New Roman"/>
          <w:u w:val="single"/>
        </w:rPr>
        <w:t>godina)</w:t>
      </w:r>
    </w:p>
    <w:p w14:paraId="2A14163D" w14:textId="77777777" w:rsidR="0060703C" w:rsidRPr="006414E6" w:rsidRDefault="00F07E15" w:rsidP="00F07E15">
      <w:pPr>
        <w:rPr>
          <w:rFonts w:cs="Times New Roman"/>
        </w:rPr>
      </w:pPr>
      <w:r w:rsidRPr="006414E6">
        <w:rPr>
          <w:rFonts w:cs="Times New Roman"/>
        </w:rPr>
        <w:t xml:space="preserve">Energetska strategija utvrđuje smanjenje emisija u sektorima energetike: postrojenja za proizvodnju i transformaciju energije, industrija i građevinarstvo, cestovni i </w:t>
      </w:r>
      <w:proofErr w:type="spellStart"/>
      <w:r w:rsidRPr="006414E6">
        <w:rPr>
          <w:rFonts w:cs="Times New Roman"/>
        </w:rPr>
        <w:t>vancestovni</w:t>
      </w:r>
      <w:proofErr w:type="spellEnd"/>
      <w:r w:rsidRPr="006414E6">
        <w:rPr>
          <w:rFonts w:cs="Times New Roman"/>
        </w:rPr>
        <w:t xml:space="preserve"> promet, neindustrijska ložišta te </w:t>
      </w:r>
      <w:proofErr w:type="spellStart"/>
      <w:r w:rsidRPr="006414E6">
        <w:rPr>
          <w:rFonts w:cs="Times New Roman"/>
        </w:rPr>
        <w:t>fugitivna</w:t>
      </w:r>
      <w:proofErr w:type="spellEnd"/>
      <w:r w:rsidRPr="006414E6">
        <w:rPr>
          <w:rFonts w:cs="Times New Roman"/>
        </w:rPr>
        <w:t xml:space="preserve"> emisija iz fosilnih goriva.</w:t>
      </w:r>
      <w:r w:rsidR="00336060" w:rsidRPr="006414E6">
        <w:rPr>
          <w:rFonts w:cs="Times New Roman"/>
        </w:rPr>
        <w:t xml:space="preserve"> </w:t>
      </w:r>
      <w:r w:rsidR="0060703C" w:rsidRPr="006414E6">
        <w:rPr>
          <w:rFonts w:cs="Times New Roman"/>
        </w:rPr>
        <w:t>Izrađena je Strateška studija utjecaja na okoliš Energetske strategije</w:t>
      </w:r>
      <w:r w:rsidR="008658B6" w:rsidRPr="006414E6">
        <w:rPr>
          <w:rFonts w:cs="Times New Roman"/>
        </w:rPr>
        <w:t xml:space="preserve"> te je </w:t>
      </w:r>
      <w:r w:rsidR="0060703C" w:rsidRPr="006414E6">
        <w:rPr>
          <w:rFonts w:cs="Times New Roman"/>
        </w:rPr>
        <w:t>sredinom 201</w:t>
      </w:r>
      <w:r w:rsidR="008658B6" w:rsidRPr="006414E6">
        <w:rPr>
          <w:rFonts w:cs="Times New Roman"/>
        </w:rPr>
        <w:t>9</w:t>
      </w:r>
      <w:r w:rsidR="0060703C" w:rsidRPr="006414E6">
        <w:rPr>
          <w:rFonts w:cs="Times New Roman"/>
        </w:rPr>
        <w:t>. godine proveden</w:t>
      </w:r>
      <w:r w:rsidR="008658B6" w:rsidRPr="006414E6">
        <w:rPr>
          <w:rFonts w:cs="Times New Roman"/>
        </w:rPr>
        <w:t>a javna rasprava o oba dokumenta.</w:t>
      </w:r>
    </w:p>
    <w:p w14:paraId="7E093A6F" w14:textId="77777777" w:rsidR="00363A60" w:rsidRPr="006414E6" w:rsidRDefault="00363A60" w:rsidP="00907A34">
      <w:pPr>
        <w:rPr>
          <w:rFonts w:cs="Times New Roman"/>
        </w:rPr>
      </w:pPr>
      <w:r w:rsidRPr="006414E6">
        <w:rPr>
          <w:rFonts w:cs="Times New Roman"/>
        </w:rPr>
        <w:t xml:space="preserve">Paralelno s izradom Energetske strategije započela je i izrada Integriranog </w:t>
      </w:r>
      <w:r w:rsidR="00913F95" w:rsidRPr="006414E6">
        <w:rPr>
          <w:rFonts w:cs="Times New Roman"/>
        </w:rPr>
        <w:t>nacionalnog</w:t>
      </w:r>
      <w:r w:rsidR="001B1CC1" w:rsidRPr="006414E6">
        <w:rPr>
          <w:rFonts w:cs="Times New Roman"/>
        </w:rPr>
        <w:t xml:space="preserve"> </w:t>
      </w:r>
      <w:r w:rsidRPr="006414E6">
        <w:rPr>
          <w:rFonts w:cs="Times New Roman"/>
        </w:rPr>
        <w:t>energetskog i klimatskog plana za razdoblje od 2021. do 2030. godine</w:t>
      </w:r>
      <w:r w:rsidR="00E4595E" w:rsidRPr="006414E6">
        <w:rPr>
          <w:rFonts w:cs="Times New Roman"/>
        </w:rPr>
        <w:t>.</w:t>
      </w:r>
      <w:r w:rsidR="002B3FC0" w:rsidRPr="006414E6">
        <w:rPr>
          <w:rFonts w:cs="Times New Roman"/>
        </w:rPr>
        <w:t xml:space="preserve"> Ovaj </w:t>
      </w:r>
      <w:proofErr w:type="spellStart"/>
      <w:r w:rsidRPr="006414E6">
        <w:rPr>
          <w:rFonts w:cs="Times New Roman"/>
        </w:rPr>
        <w:t>Inegrirani</w:t>
      </w:r>
      <w:proofErr w:type="spellEnd"/>
      <w:r w:rsidRPr="006414E6">
        <w:rPr>
          <w:rFonts w:cs="Times New Roman"/>
        </w:rPr>
        <w:t xml:space="preserve"> plan daje pregled ciljeva Republike Hrvatske za svaku od pet ključnih dimenzija Energetske unije (</w:t>
      </w:r>
      <w:proofErr w:type="spellStart"/>
      <w:r w:rsidRPr="006414E6">
        <w:rPr>
          <w:rFonts w:cs="Times New Roman"/>
        </w:rPr>
        <w:t>dekarbonizacija</w:t>
      </w:r>
      <w:proofErr w:type="spellEnd"/>
      <w:r w:rsidRPr="006414E6">
        <w:rPr>
          <w:rFonts w:cs="Times New Roman"/>
        </w:rPr>
        <w:t>, energetska učinkovitost, energetska sigurnost, unutarnje energetsko tržište te istraživanje, inovacije i konkurentnost) i odgovarajuće politike i mjere za ostvarivanje tih ciljeva.</w:t>
      </w:r>
    </w:p>
    <w:p w14:paraId="67BEFCD1" w14:textId="77777777" w:rsidR="00363A60" w:rsidRPr="006414E6" w:rsidRDefault="00363A60" w:rsidP="00907A34">
      <w:pPr>
        <w:rPr>
          <w:rFonts w:cs="Times New Roman"/>
        </w:rPr>
      </w:pPr>
      <w:proofErr w:type="spellStart"/>
      <w:r w:rsidRPr="006414E6">
        <w:rPr>
          <w:rFonts w:cs="Times New Roman"/>
        </w:rPr>
        <w:t>Novelacija</w:t>
      </w:r>
      <w:proofErr w:type="spellEnd"/>
      <w:r w:rsidRPr="006414E6">
        <w:rPr>
          <w:rFonts w:cs="Times New Roman"/>
        </w:rPr>
        <w:t xml:space="preserve"> </w:t>
      </w:r>
      <w:proofErr w:type="spellStart"/>
      <w:r w:rsidRPr="006414E6">
        <w:rPr>
          <w:rFonts w:cs="Times New Roman"/>
        </w:rPr>
        <w:t>Niskougljične</w:t>
      </w:r>
      <w:proofErr w:type="spellEnd"/>
      <w:r w:rsidRPr="006414E6">
        <w:rPr>
          <w:rFonts w:cs="Times New Roman"/>
        </w:rPr>
        <w:t xml:space="preserve"> strategije provedena je usklađivanjem energetskih sektora s Energetskom strategijom te ažuriranjem referentnog i </w:t>
      </w:r>
      <w:proofErr w:type="spellStart"/>
      <w:r w:rsidRPr="006414E6">
        <w:rPr>
          <w:rFonts w:cs="Times New Roman"/>
        </w:rPr>
        <w:t>niskougljičnih</w:t>
      </w:r>
      <w:proofErr w:type="spellEnd"/>
      <w:r w:rsidRPr="006414E6">
        <w:rPr>
          <w:rFonts w:cs="Times New Roman"/>
        </w:rPr>
        <w:t xml:space="preserve"> scenarija ne-energetskih sektora. </w:t>
      </w:r>
    </w:p>
    <w:p w14:paraId="059F9D73" w14:textId="77777777" w:rsidR="00620FAF" w:rsidRPr="006414E6" w:rsidRDefault="00620FAF" w:rsidP="00A76CB5">
      <w:pPr>
        <w:rPr>
          <w:rFonts w:cs="Times New Roman"/>
        </w:rPr>
      </w:pPr>
      <w:r w:rsidRPr="006414E6">
        <w:rPr>
          <w:rFonts w:cs="Times New Roman"/>
        </w:rPr>
        <w:t xml:space="preserve">Paralelno s izradom </w:t>
      </w:r>
      <w:proofErr w:type="spellStart"/>
      <w:r w:rsidRPr="006414E6">
        <w:rPr>
          <w:rFonts w:cs="Times New Roman"/>
        </w:rPr>
        <w:t>novelirane</w:t>
      </w:r>
      <w:proofErr w:type="spellEnd"/>
      <w:r w:rsidRPr="006414E6">
        <w:rPr>
          <w:rFonts w:cs="Times New Roman"/>
        </w:rPr>
        <w:t xml:space="preserve"> Bijele knjige </w:t>
      </w:r>
      <w:proofErr w:type="spellStart"/>
      <w:r w:rsidRPr="006414E6">
        <w:rPr>
          <w:rFonts w:cs="Times New Roman"/>
        </w:rPr>
        <w:t>Niskougljične</w:t>
      </w:r>
      <w:proofErr w:type="spellEnd"/>
      <w:r w:rsidRPr="006414E6">
        <w:rPr>
          <w:rFonts w:cs="Times New Roman"/>
        </w:rPr>
        <w:t xml:space="preserve"> strategije Republike Hrvatske izrađena je Strateška studija utjecaja na okoliš Strategije </w:t>
      </w:r>
      <w:proofErr w:type="spellStart"/>
      <w:r w:rsidRPr="006414E6">
        <w:rPr>
          <w:rFonts w:cs="Times New Roman"/>
        </w:rPr>
        <w:t>niskougljič</w:t>
      </w:r>
      <w:r w:rsidR="001B1CC1" w:rsidRPr="006414E6">
        <w:rPr>
          <w:rFonts w:cs="Times New Roman"/>
        </w:rPr>
        <w:t>nog</w:t>
      </w:r>
      <w:proofErr w:type="spellEnd"/>
      <w:r w:rsidR="001B1CC1" w:rsidRPr="006414E6">
        <w:rPr>
          <w:rFonts w:cs="Times New Roman"/>
        </w:rPr>
        <w:t xml:space="preserve"> razvoja Republike Hrvatske </w:t>
      </w:r>
      <w:r w:rsidRPr="006414E6">
        <w:rPr>
          <w:rFonts w:cs="Times New Roman"/>
        </w:rPr>
        <w:t>do 2030.</w:t>
      </w:r>
      <w:r w:rsidR="001B1CC1" w:rsidRPr="006414E6">
        <w:rPr>
          <w:rFonts w:cs="Times New Roman"/>
        </w:rPr>
        <w:t xml:space="preserve"> s pogledom na 2050. godinu te s</w:t>
      </w:r>
      <w:r w:rsidRPr="006414E6">
        <w:rPr>
          <w:rFonts w:cs="Times New Roman"/>
        </w:rPr>
        <w:t xml:space="preserve">e </w:t>
      </w:r>
      <w:r w:rsidR="001B1CC1" w:rsidRPr="006414E6">
        <w:rPr>
          <w:rFonts w:cs="Times New Roman"/>
        </w:rPr>
        <w:t>u II. kvartalu</w:t>
      </w:r>
      <w:r w:rsidR="00363A60" w:rsidRPr="006414E6">
        <w:rPr>
          <w:rFonts w:cs="Times New Roman"/>
        </w:rPr>
        <w:t xml:space="preserve"> 2020. </w:t>
      </w:r>
      <w:r w:rsidRPr="006414E6">
        <w:rPr>
          <w:rFonts w:cs="Times New Roman"/>
        </w:rPr>
        <w:t>godine p</w:t>
      </w:r>
      <w:r w:rsidR="001B1CC1" w:rsidRPr="006414E6">
        <w:rPr>
          <w:rFonts w:cs="Times New Roman"/>
        </w:rPr>
        <w:t>lanira</w:t>
      </w:r>
      <w:r w:rsidRPr="006414E6">
        <w:rPr>
          <w:rFonts w:cs="Times New Roman"/>
        </w:rPr>
        <w:t xml:space="preserve"> javno savjetovanje o oba dokumenta.</w:t>
      </w:r>
    </w:p>
    <w:p w14:paraId="6625E0B5" w14:textId="443808C1" w:rsidR="00991075" w:rsidRPr="006414E6" w:rsidRDefault="00991075" w:rsidP="00EE3488">
      <w:pPr>
        <w:pStyle w:val="Heading3"/>
      </w:pPr>
      <w:bookmarkStart w:id="125" w:name="_Toc39133256"/>
      <w:r w:rsidRPr="006414E6">
        <w:t>1.3.1. Vizije za 2050. godinu i prepoznate potrebe po sektorima</w:t>
      </w:r>
      <w:bookmarkEnd w:id="125"/>
      <w:r w:rsidRPr="006414E6">
        <w:t xml:space="preserve">  </w:t>
      </w:r>
    </w:p>
    <w:p w14:paraId="67D7465B" w14:textId="7FB467AE" w:rsidR="00991075" w:rsidRPr="006414E6" w:rsidRDefault="00991075" w:rsidP="00991075">
      <w:pPr>
        <w:rPr>
          <w:rFonts w:cs="Times New Roman"/>
        </w:rPr>
      </w:pPr>
      <w:proofErr w:type="spellStart"/>
      <w:r w:rsidRPr="006414E6">
        <w:rPr>
          <w:rFonts w:cs="Times New Roman"/>
        </w:rPr>
        <w:t>Niskougljične</w:t>
      </w:r>
      <w:proofErr w:type="spellEnd"/>
      <w:r w:rsidRPr="006414E6">
        <w:rPr>
          <w:rFonts w:cs="Times New Roman"/>
        </w:rPr>
        <w:t xml:space="preserve"> sektorske vizije određuju smjer i cilj razvoja pojedinih sektora do 2050. godine. Vizije </w:t>
      </w:r>
      <w:proofErr w:type="spellStart"/>
      <w:r w:rsidRPr="006414E6">
        <w:rPr>
          <w:rFonts w:cs="Times New Roman"/>
        </w:rPr>
        <w:t>niskougljičnog</w:t>
      </w:r>
      <w:proofErr w:type="spellEnd"/>
      <w:r w:rsidRPr="006414E6">
        <w:rPr>
          <w:rFonts w:cs="Times New Roman"/>
        </w:rPr>
        <w:t xml:space="preserve"> razvoja određene su kroz proces konzultacija sa stručnom i zainteresiranom javnosti i one su navedene u tablici 1-1. Kroz proces konzultacija prepoznate su i </w:t>
      </w:r>
      <w:r w:rsidRPr="006414E6">
        <w:rPr>
          <w:rFonts w:cs="Times New Roman"/>
          <w:bCs/>
        </w:rPr>
        <w:t xml:space="preserve">glavne potrebe pojedinih sektora za </w:t>
      </w:r>
      <w:proofErr w:type="spellStart"/>
      <w:r w:rsidRPr="006414E6">
        <w:rPr>
          <w:rFonts w:cs="Times New Roman"/>
          <w:bCs/>
        </w:rPr>
        <w:t>niskougljični</w:t>
      </w:r>
      <w:proofErr w:type="spellEnd"/>
      <w:r w:rsidRPr="006414E6">
        <w:rPr>
          <w:rFonts w:cs="Times New Roman"/>
          <w:bCs/>
        </w:rPr>
        <w:t xml:space="preserve"> razvoj i </w:t>
      </w:r>
      <w:r w:rsidRPr="006414E6">
        <w:rPr>
          <w:rFonts w:cs="Times New Roman"/>
        </w:rPr>
        <w:t>one su navedene u tablici 1-2.</w:t>
      </w:r>
    </w:p>
    <w:p w14:paraId="137CE4A2" w14:textId="613F9113" w:rsidR="00991075" w:rsidRPr="006414E6" w:rsidRDefault="00991075" w:rsidP="00991075">
      <w:pPr>
        <w:pStyle w:val="Tablicanaslov"/>
        <w:spacing w:after="120"/>
        <w:ind w:left="1416" w:hanging="1416"/>
        <w:rPr>
          <w:rFonts w:cs="Times New Roman"/>
          <w:i/>
          <w:sz w:val="24"/>
          <w:szCs w:val="24"/>
        </w:rPr>
      </w:pPr>
      <w:r w:rsidRPr="006414E6">
        <w:rPr>
          <w:rFonts w:cs="Times New Roman"/>
          <w:i/>
          <w:sz w:val="24"/>
          <w:szCs w:val="24"/>
        </w:rPr>
        <w:t xml:space="preserve">Tablica 1-1: </w:t>
      </w:r>
      <w:r w:rsidRPr="006414E6">
        <w:rPr>
          <w:rFonts w:cs="Times New Roman"/>
          <w:i/>
          <w:sz w:val="24"/>
          <w:szCs w:val="24"/>
        </w:rPr>
        <w:tab/>
        <w:t xml:space="preserve">Vizije </w:t>
      </w:r>
      <w:proofErr w:type="spellStart"/>
      <w:r w:rsidRPr="006414E6">
        <w:rPr>
          <w:rFonts w:cs="Times New Roman"/>
          <w:i/>
          <w:sz w:val="24"/>
          <w:szCs w:val="24"/>
        </w:rPr>
        <w:t>niskougljičnog</w:t>
      </w:r>
      <w:proofErr w:type="spellEnd"/>
      <w:r w:rsidRPr="006414E6">
        <w:rPr>
          <w:rFonts w:cs="Times New Roman"/>
          <w:i/>
          <w:sz w:val="24"/>
          <w:szCs w:val="24"/>
        </w:rPr>
        <w:t xml:space="preserve"> razvoja pojedinih sektora do 2050. godine (rezultat konzultacija sa dionicima i javnosti)</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1"/>
        <w:gridCol w:w="6979"/>
      </w:tblGrid>
      <w:tr w:rsidR="00991075" w:rsidRPr="006414E6" w14:paraId="28B3864B" w14:textId="77777777" w:rsidTr="00FF6CC5">
        <w:trPr>
          <w:trHeight w:val="397"/>
          <w:tblHeader/>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5BE1E2" w14:textId="77777777" w:rsidR="00991075" w:rsidRPr="006414E6" w:rsidRDefault="00991075" w:rsidP="00FF6CC5">
            <w:pPr>
              <w:spacing w:line="240" w:lineRule="auto"/>
              <w:jc w:val="left"/>
              <w:rPr>
                <w:rFonts w:cs="Times New Roman"/>
                <w:b/>
              </w:rPr>
            </w:pPr>
            <w:r w:rsidRPr="006414E6">
              <w:rPr>
                <w:rFonts w:cs="Times New Roman"/>
                <w:b/>
              </w:rPr>
              <w:t>SEKTOR</w:t>
            </w:r>
          </w:p>
        </w:tc>
        <w:tc>
          <w:tcPr>
            <w:tcW w:w="6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F57C70" w14:textId="77777777" w:rsidR="00991075" w:rsidRPr="006414E6" w:rsidRDefault="00991075" w:rsidP="00FF6CC5">
            <w:pPr>
              <w:spacing w:line="240" w:lineRule="auto"/>
              <w:jc w:val="center"/>
              <w:rPr>
                <w:rFonts w:cs="Times New Roman"/>
                <w:b/>
              </w:rPr>
            </w:pPr>
            <w:r w:rsidRPr="006414E6">
              <w:rPr>
                <w:rFonts w:cs="Times New Roman"/>
                <w:b/>
              </w:rPr>
              <w:t>VIZIJA</w:t>
            </w:r>
          </w:p>
        </w:tc>
      </w:tr>
      <w:tr w:rsidR="00991075" w:rsidRPr="006414E6" w14:paraId="0822331A"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33A82B" w14:textId="77777777" w:rsidR="00991075" w:rsidRPr="006414E6" w:rsidRDefault="00991075" w:rsidP="00FF6CC5">
            <w:pPr>
              <w:spacing w:line="240" w:lineRule="auto"/>
              <w:jc w:val="left"/>
              <w:rPr>
                <w:rFonts w:cs="Times New Roman"/>
                <w:b/>
              </w:rPr>
            </w:pPr>
            <w:r w:rsidRPr="006414E6">
              <w:rPr>
                <w:rFonts w:cs="Times New Roman"/>
                <w:b/>
              </w:rPr>
              <w:t>Energetska postrojenja, industrija i zgradarstvo</w:t>
            </w:r>
          </w:p>
        </w:tc>
        <w:tc>
          <w:tcPr>
            <w:tcW w:w="6979" w:type="dxa"/>
            <w:tcBorders>
              <w:top w:val="single" w:sz="4" w:space="0" w:color="auto"/>
              <w:left w:val="single" w:sz="4" w:space="0" w:color="auto"/>
              <w:bottom w:val="single" w:sz="4" w:space="0" w:color="auto"/>
              <w:right w:val="single" w:sz="4" w:space="0" w:color="auto"/>
            </w:tcBorders>
          </w:tcPr>
          <w:p w14:paraId="7AC72095" w14:textId="77777777" w:rsidR="00991075" w:rsidRPr="006414E6" w:rsidRDefault="00991075" w:rsidP="00FF6CC5">
            <w:pPr>
              <w:spacing w:after="60" w:line="240" w:lineRule="auto"/>
              <w:rPr>
                <w:rFonts w:cs="Times New Roman"/>
                <w:iCs/>
              </w:rPr>
            </w:pPr>
            <w:r w:rsidRPr="006414E6">
              <w:rPr>
                <w:rFonts w:cs="Times New Roman"/>
                <w:iCs/>
              </w:rPr>
              <w:t xml:space="preserve">U </w:t>
            </w:r>
            <w:proofErr w:type="spellStart"/>
            <w:r w:rsidRPr="006414E6">
              <w:rPr>
                <w:rFonts w:cs="Times New Roman"/>
                <w:iCs/>
              </w:rPr>
              <w:t>niskougljičnom</w:t>
            </w:r>
            <w:proofErr w:type="spellEnd"/>
            <w:r w:rsidRPr="006414E6">
              <w:rPr>
                <w:rFonts w:cs="Times New Roman"/>
                <w:iCs/>
              </w:rPr>
              <w:t xml:space="preserve"> društvu živjet ćemo i raditi u nisko energetskim zgradama male emisije, s pametnim sustavima grijanja i hlađenja, tj. u zgradama gotovo nulte energije ili zgradama koje imaju vrlo visoku energetsku učinkovitost.  </w:t>
            </w:r>
          </w:p>
          <w:p w14:paraId="4439DF5A" w14:textId="77777777" w:rsidR="00991075" w:rsidRPr="006414E6" w:rsidRDefault="00991075" w:rsidP="00FF6CC5">
            <w:pPr>
              <w:spacing w:after="60" w:line="240" w:lineRule="auto"/>
              <w:rPr>
                <w:rFonts w:cs="Times New Roman"/>
              </w:rPr>
            </w:pPr>
            <w:r w:rsidRPr="006414E6">
              <w:rPr>
                <w:rFonts w:cs="Times New Roman"/>
              </w:rPr>
              <w:t>Primjena energetske učinkovitosti, učinkovito korištenje resursa, primjena obnovljivih izvora energije, inovativnih i novih tehnoloških rješenja, uz očuvanje sigurnosti opskrbe energijom.</w:t>
            </w:r>
          </w:p>
          <w:p w14:paraId="7B3A56D5" w14:textId="77777777" w:rsidR="00991075" w:rsidRPr="006414E6" w:rsidRDefault="00991075" w:rsidP="00FF6CC5">
            <w:pPr>
              <w:spacing w:after="60" w:line="240" w:lineRule="auto"/>
              <w:rPr>
                <w:rFonts w:cs="Times New Roman"/>
              </w:rPr>
            </w:pPr>
            <w:r w:rsidRPr="006414E6">
              <w:rPr>
                <w:rFonts w:cs="Times New Roman"/>
              </w:rPr>
              <w:t xml:space="preserve">Decentralizacija proizvodnje električne energije, potrošači energije će postati i proizvođači energije, korištenje naprednih mreža, pametnih sustava i spremišta energije omogućit će fleksibilnu potrošnju i snažnu integraciju obnovljivih izvora energije.  </w:t>
            </w:r>
          </w:p>
        </w:tc>
      </w:tr>
      <w:tr w:rsidR="00991075" w:rsidRPr="006414E6" w14:paraId="2F73013A"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0F1A87" w14:textId="77777777" w:rsidR="00991075" w:rsidRPr="006414E6" w:rsidRDefault="00991075" w:rsidP="00FF6CC5">
            <w:pPr>
              <w:spacing w:line="240" w:lineRule="auto"/>
              <w:jc w:val="left"/>
              <w:rPr>
                <w:rFonts w:cs="Times New Roman"/>
                <w:b/>
              </w:rPr>
            </w:pPr>
            <w:r w:rsidRPr="006414E6">
              <w:rPr>
                <w:rFonts w:cs="Times New Roman"/>
                <w:b/>
              </w:rPr>
              <w:lastRenderedPageBreak/>
              <w:t>Promet</w:t>
            </w:r>
          </w:p>
          <w:p w14:paraId="15797BB8" w14:textId="77777777" w:rsidR="00991075" w:rsidRPr="006414E6" w:rsidRDefault="00991075" w:rsidP="00FF6CC5">
            <w:pPr>
              <w:spacing w:line="240" w:lineRule="auto"/>
              <w:jc w:val="left"/>
              <w:rPr>
                <w:rFonts w:cs="Times New Roman"/>
                <w:b/>
              </w:rPr>
            </w:pPr>
          </w:p>
        </w:tc>
        <w:tc>
          <w:tcPr>
            <w:tcW w:w="6979" w:type="dxa"/>
            <w:tcBorders>
              <w:top w:val="single" w:sz="4" w:space="0" w:color="auto"/>
              <w:left w:val="single" w:sz="4" w:space="0" w:color="auto"/>
              <w:bottom w:val="single" w:sz="4" w:space="0" w:color="auto"/>
              <w:right w:val="single" w:sz="4" w:space="0" w:color="auto"/>
            </w:tcBorders>
            <w:hideMark/>
          </w:tcPr>
          <w:p w14:paraId="708C110A" w14:textId="30578DB3" w:rsidR="00991075" w:rsidRPr="006414E6" w:rsidRDefault="00991075" w:rsidP="00FF6CC5">
            <w:pPr>
              <w:spacing w:after="60" w:line="240" w:lineRule="auto"/>
              <w:rPr>
                <w:rFonts w:cs="Times New Roman"/>
              </w:rPr>
            </w:pPr>
            <w:r w:rsidRPr="006414E6">
              <w:rPr>
                <w:rFonts w:cs="Times New Roman"/>
                <w:iCs/>
              </w:rPr>
              <w:t>Vozit ćemo</w:t>
            </w:r>
            <w:r w:rsidR="008A35E9" w:rsidRPr="006414E6">
              <w:rPr>
                <w:rFonts w:cs="Times New Roman"/>
                <w:iCs/>
              </w:rPr>
              <w:t xml:space="preserve"> </w:t>
            </w:r>
            <w:r w:rsidR="00220FFA" w:rsidRPr="006414E6">
              <w:rPr>
                <w:rFonts w:cs="Times New Roman"/>
                <w:iCs/>
              </w:rPr>
              <w:t>električna i hibridna vozila</w:t>
            </w:r>
            <w:r w:rsidR="00145C28" w:rsidRPr="006414E6">
              <w:rPr>
                <w:rFonts w:cs="Times New Roman"/>
                <w:iCs/>
              </w:rPr>
              <w:t>, koristiti</w:t>
            </w:r>
            <w:r w:rsidR="00220FFA" w:rsidRPr="006414E6">
              <w:rPr>
                <w:rFonts w:cs="Times New Roman"/>
                <w:iCs/>
              </w:rPr>
              <w:t xml:space="preserve"> alternativna </w:t>
            </w:r>
            <w:proofErr w:type="spellStart"/>
            <w:r w:rsidR="00B62F4C" w:rsidRPr="006414E6">
              <w:rPr>
                <w:rFonts w:cs="Times New Roman"/>
                <w:iCs/>
              </w:rPr>
              <w:t>niskougljična</w:t>
            </w:r>
            <w:proofErr w:type="spellEnd"/>
            <w:r w:rsidR="00B62F4C" w:rsidRPr="006414E6">
              <w:rPr>
                <w:rFonts w:cs="Times New Roman"/>
                <w:iCs/>
              </w:rPr>
              <w:t xml:space="preserve"> goriva i </w:t>
            </w:r>
            <w:r w:rsidR="00145C28" w:rsidRPr="006414E6">
              <w:rPr>
                <w:rFonts w:cs="Times New Roman"/>
                <w:iCs/>
              </w:rPr>
              <w:t xml:space="preserve">goriva </w:t>
            </w:r>
            <w:r w:rsidR="00220FFA" w:rsidRPr="006414E6">
              <w:rPr>
                <w:rFonts w:cs="Times New Roman"/>
                <w:iCs/>
              </w:rPr>
              <w:t xml:space="preserve">neutralna </w:t>
            </w:r>
            <w:r w:rsidR="004D646F" w:rsidRPr="006414E6">
              <w:rPr>
                <w:rFonts w:cs="Times New Roman"/>
                <w:iCs/>
              </w:rPr>
              <w:t>z</w:t>
            </w:r>
            <w:r w:rsidR="00220FFA" w:rsidRPr="006414E6">
              <w:rPr>
                <w:rFonts w:cs="Times New Roman"/>
                <w:iCs/>
              </w:rPr>
              <w:t xml:space="preserve">a klimu, </w:t>
            </w:r>
            <w:r w:rsidRPr="006414E6">
              <w:rPr>
                <w:rFonts w:cs="Times New Roman"/>
                <w:iCs/>
              </w:rPr>
              <w:t xml:space="preserve">u </w:t>
            </w:r>
            <w:proofErr w:type="spellStart"/>
            <w:r w:rsidRPr="006414E6">
              <w:rPr>
                <w:rFonts w:cs="Times New Roman"/>
                <w:iCs/>
              </w:rPr>
              <w:t>čistijim</w:t>
            </w:r>
            <w:proofErr w:type="spellEnd"/>
            <w:r w:rsidRPr="006414E6">
              <w:rPr>
                <w:rFonts w:cs="Times New Roman"/>
                <w:iCs/>
              </w:rPr>
              <w:t xml:space="preserve"> gradovima s manje onečišćenja zraka i s boljim javnim prijevozom.</w:t>
            </w:r>
          </w:p>
          <w:p w14:paraId="4876AC9C" w14:textId="77777777" w:rsidR="00991075" w:rsidRPr="006414E6" w:rsidRDefault="00991075" w:rsidP="00FF6CC5">
            <w:pPr>
              <w:spacing w:after="60" w:line="240" w:lineRule="auto"/>
              <w:rPr>
                <w:rFonts w:cs="Times New Roman"/>
              </w:rPr>
            </w:pPr>
            <w:r w:rsidRPr="006414E6">
              <w:rPr>
                <w:rFonts w:cs="Times New Roman"/>
              </w:rPr>
              <w:t xml:space="preserve">Kroz razvoj industrijskih grana u segmentu održivih tehnologija (električna vozila, punionice, željeznička infrastruktura) vozit ćemo se više u električnim, hibridnim vozilima, kao i vozilima s većim udjelom biogoriva što će značiti prijelaz na </w:t>
            </w:r>
            <w:proofErr w:type="spellStart"/>
            <w:r w:rsidRPr="006414E6">
              <w:rPr>
                <w:rFonts w:cs="Times New Roman"/>
              </w:rPr>
              <w:t>niskougljičnu</w:t>
            </w:r>
            <w:proofErr w:type="spellEnd"/>
            <w:r w:rsidRPr="006414E6">
              <w:rPr>
                <w:rFonts w:cs="Times New Roman"/>
              </w:rPr>
              <w:t xml:space="preserve"> mobilnost. Sve će više biti autonomnih vozila s pametnim punjenjem električnih baterija.</w:t>
            </w:r>
          </w:p>
          <w:p w14:paraId="0BC8BFCE" w14:textId="77777777" w:rsidR="00991075" w:rsidRPr="006414E6" w:rsidRDefault="00991075" w:rsidP="00FF6CC5">
            <w:pPr>
              <w:spacing w:after="60" w:line="240" w:lineRule="auto"/>
              <w:rPr>
                <w:rFonts w:cs="Times New Roman"/>
              </w:rPr>
            </w:pPr>
            <w:r w:rsidRPr="006414E6">
              <w:rPr>
                <w:rFonts w:cs="Times New Roman"/>
              </w:rPr>
              <w:t xml:space="preserve">Održivi prometni sustavi u većim naseljima, prioritetno </w:t>
            </w:r>
            <w:proofErr w:type="spellStart"/>
            <w:r w:rsidRPr="006414E6">
              <w:rPr>
                <w:rFonts w:cs="Times New Roman"/>
              </w:rPr>
              <w:t>niskougljičan</w:t>
            </w:r>
            <w:proofErr w:type="spellEnd"/>
            <w:r w:rsidRPr="006414E6">
              <w:rPr>
                <w:rFonts w:cs="Times New Roman"/>
              </w:rPr>
              <w:t xml:space="preserve"> javni gradski prijevoz, uže središte bez prometa, razvijen biciklistički promet, kvalitetnija goriva i nove tehnologije znatno će smanjiti utrošak energije i emisije stakleničkih plinova.</w:t>
            </w:r>
          </w:p>
        </w:tc>
      </w:tr>
      <w:tr w:rsidR="00991075" w:rsidRPr="006414E6" w14:paraId="5ED54597"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02DB2B" w14:textId="77777777" w:rsidR="00991075" w:rsidRPr="006414E6" w:rsidRDefault="00991075" w:rsidP="00FF6CC5">
            <w:pPr>
              <w:spacing w:line="240" w:lineRule="auto"/>
              <w:jc w:val="left"/>
              <w:rPr>
                <w:rFonts w:cs="Times New Roman"/>
                <w:b/>
              </w:rPr>
            </w:pPr>
            <w:r w:rsidRPr="006414E6">
              <w:rPr>
                <w:rFonts w:cs="Times New Roman"/>
                <w:b/>
              </w:rPr>
              <w:t xml:space="preserve">Poljoprivreda </w:t>
            </w:r>
          </w:p>
        </w:tc>
        <w:tc>
          <w:tcPr>
            <w:tcW w:w="6979" w:type="dxa"/>
            <w:tcBorders>
              <w:top w:val="single" w:sz="4" w:space="0" w:color="auto"/>
              <w:left w:val="single" w:sz="4" w:space="0" w:color="auto"/>
              <w:bottom w:val="single" w:sz="4" w:space="0" w:color="auto"/>
              <w:right w:val="single" w:sz="4" w:space="0" w:color="auto"/>
            </w:tcBorders>
          </w:tcPr>
          <w:p w14:paraId="0A9EFD4E" w14:textId="77777777" w:rsidR="00991075" w:rsidRPr="006414E6" w:rsidRDefault="00991075" w:rsidP="00FF6CC5">
            <w:pPr>
              <w:spacing w:after="60" w:line="240" w:lineRule="auto"/>
              <w:rPr>
                <w:rFonts w:cs="Times New Roman"/>
              </w:rPr>
            </w:pPr>
            <w:r w:rsidRPr="006414E6">
              <w:rPr>
                <w:rFonts w:cs="Times New Roman"/>
              </w:rPr>
              <w:t xml:space="preserve">Poljoprivredom će se baviti mladi i obrazovani poljoprivrednici, u obnovljenim selima, na okrupnjenim gospodarstvima, s visokim prinosima raznolikih kultura otpornih na klimatske promjene. </w:t>
            </w:r>
          </w:p>
          <w:p w14:paraId="10685668" w14:textId="77777777" w:rsidR="00991075" w:rsidRPr="006414E6" w:rsidRDefault="00991075" w:rsidP="00FF6CC5">
            <w:pPr>
              <w:spacing w:after="60" w:line="240" w:lineRule="auto"/>
              <w:rPr>
                <w:rFonts w:cs="Times New Roman"/>
              </w:rPr>
            </w:pPr>
            <w:r w:rsidRPr="006414E6">
              <w:rPr>
                <w:rFonts w:cs="Times New Roman"/>
              </w:rPr>
              <w:t xml:space="preserve">Gospodarstva će biti ekonomski održiva i konkurentna, s uzgojem koji je orijentiran eko-proizvodnji i zelenom tržištu, korištenjem </w:t>
            </w:r>
            <w:proofErr w:type="spellStart"/>
            <w:r w:rsidRPr="006414E6">
              <w:rPr>
                <w:rFonts w:cs="Times New Roman"/>
              </w:rPr>
              <w:t>agro</w:t>
            </w:r>
            <w:proofErr w:type="spellEnd"/>
            <w:r w:rsidRPr="006414E6">
              <w:rPr>
                <w:rFonts w:cs="Times New Roman"/>
              </w:rPr>
              <w:t xml:space="preserve">-okolišnih i </w:t>
            </w:r>
            <w:proofErr w:type="spellStart"/>
            <w:r w:rsidRPr="006414E6">
              <w:rPr>
                <w:rFonts w:cs="Times New Roman"/>
              </w:rPr>
              <w:t>agro</w:t>
            </w:r>
            <w:proofErr w:type="spellEnd"/>
            <w:r w:rsidRPr="006414E6">
              <w:rPr>
                <w:rFonts w:cs="Times New Roman"/>
              </w:rPr>
              <w:t>-šumarskih sustava.</w:t>
            </w:r>
          </w:p>
          <w:p w14:paraId="0DC788AF" w14:textId="77777777" w:rsidR="00991075" w:rsidRPr="006414E6" w:rsidRDefault="00991075" w:rsidP="00FF6CC5">
            <w:pPr>
              <w:spacing w:after="60" w:line="240" w:lineRule="auto"/>
              <w:rPr>
                <w:rFonts w:cs="Times New Roman"/>
              </w:rPr>
            </w:pPr>
            <w:r w:rsidRPr="006414E6">
              <w:rPr>
                <w:rFonts w:cs="Times New Roman"/>
              </w:rPr>
              <w:t>Ruralna područja i gospodarstva će biti energetski gotovo neutralna i resursno učinkovita.</w:t>
            </w:r>
          </w:p>
          <w:p w14:paraId="3AD35E31" w14:textId="77777777" w:rsidR="00991075" w:rsidRPr="006414E6" w:rsidRDefault="00991075" w:rsidP="00FF6CC5">
            <w:pPr>
              <w:spacing w:after="60" w:line="240" w:lineRule="auto"/>
              <w:rPr>
                <w:rFonts w:cs="Times New Roman"/>
              </w:rPr>
            </w:pPr>
            <w:r w:rsidRPr="006414E6">
              <w:rPr>
                <w:rFonts w:cs="Times New Roman"/>
              </w:rPr>
              <w:t xml:space="preserve">Proizvodit će se biomasa za goriva bez ugrožavanja proizvodnje hrane, pri čemu će proaktivno doprinositi smanjenu emisije stakleničkih plinova s neznatnim utjecajima na okoliš. </w:t>
            </w:r>
          </w:p>
          <w:p w14:paraId="59D1559E" w14:textId="77777777" w:rsidR="00991075" w:rsidRPr="006414E6" w:rsidRDefault="00991075" w:rsidP="00FF6CC5">
            <w:pPr>
              <w:spacing w:after="60" w:line="240" w:lineRule="auto"/>
              <w:rPr>
                <w:rFonts w:cs="Times New Roman"/>
              </w:rPr>
            </w:pPr>
            <w:r w:rsidRPr="006414E6">
              <w:rPr>
                <w:rFonts w:cs="Times New Roman"/>
              </w:rPr>
              <w:t>Poljoprivreda s punom primjenom dobre poljoprivredne prakse.</w:t>
            </w:r>
          </w:p>
          <w:p w14:paraId="4ECE63BE" w14:textId="77777777" w:rsidR="00991075" w:rsidRPr="006414E6" w:rsidRDefault="00991075" w:rsidP="00FF6CC5">
            <w:pPr>
              <w:spacing w:after="60" w:line="240" w:lineRule="auto"/>
              <w:rPr>
                <w:rFonts w:cs="Times New Roman"/>
              </w:rPr>
            </w:pPr>
            <w:r w:rsidRPr="006414E6">
              <w:rPr>
                <w:rFonts w:cs="Times New Roman"/>
              </w:rPr>
              <w:t>Gospodarenje poljoprivrednim površinama i gospodarenje pašnjacima provodi se na načine koji osiguravaju nisku emisiju ugljikova dioksida.</w:t>
            </w:r>
          </w:p>
        </w:tc>
      </w:tr>
      <w:tr w:rsidR="00991075" w:rsidRPr="006414E6" w14:paraId="0CA685F1"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DB9C54" w14:textId="2535DB7F" w:rsidR="00991075" w:rsidRPr="006414E6" w:rsidRDefault="00FF6CC5" w:rsidP="00FF6CC5">
            <w:pPr>
              <w:spacing w:line="240" w:lineRule="auto"/>
              <w:jc w:val="left"/>
              <w:rPr>
                <w:rFonts w:cs="Times New Roman"/>
                <w:b/>
              </w:rPr>
            </w:pPr>
            <w:r w:rsidRPr="006414E6">
              <w:rPr>
                <w:rFonts w:cs="Times New Roman"/>
                <w:b/>
              </w:rPr>
              <w:t>Korištenje zemljišta, prenamjene u korištenju zemljišta i šumarstvo (LULUCF)</w:t>
            </w:r>
          </w:p>
        </w:tc>
        <w:tc>
          <w:tcPr>
            <w:tcW w:w="6979" w:type="dxa"/>
            <w:tcBorders>
              <w:top w:val="single" w:sz="4" w:space="0" w:color="auto"/>
              <w:left w:val="single" w:sz="4" w:space="0" w:color="auto"/>
              <w:bottom w:val="single" w:sz="4" w:space="0" w:color="auto"/>
              <w:right w:val="single" w:sz="4" w:space="0" w:color="auto"/>
            </w:tcBorders>
          </w:tcPr>
          <w:p w14:paraId="5AE448FC" w14:textId="7D2EFE2C" w:rsidR="00B00F23" w:rsidRPr="006414E6" w:rsidRDefault="00B00F23" w:rsidP="00FF6CC5">
            <w:pPr>
              <w:spacing w:after="60" w:line="240" w:lineRule="auto"/>
              <w:rPr>
                <w:rFonts w:cs="Times New Roman"/>
              </w:rPr>
            </w:pPr>
            <w:r w:rsidRPr="006414E6">
              <w:rPr>
                <w:rFonts w:cs="Times New Roman"/>
              </w:rPr>
              <w:t>Korištenje zemljišta,  prenamjene korištenja zemljišta i šumarstvo treba biti takvo da trajno predstavlja odliv za CO</w:t>
            </w:r>
            <w:r w:rsidRPr="006414E6">
              <w:rPr>
                <w:rFonts w:cs="Times New Roman"/>
                <w:vertAlign w:val="subscript"/>
              </w:rPr>
              <w:t xml:space="preserve">2 </w:t>
            </w:r>
          </w:p>
          <w:p w14:paraId="220920A1" w14:textId="3588C46D" w:rsidR="00991075" w:rsidRPr="006414E6" w:rsidRDefault="00991075" w:rsidP="00FF6CC5">
            <w:pPr>
              <w:spacing w:after="60" w:line="240" w:lineRule="auto"/>
              <w:rPr>
                <w:rFonts w:cs="Times New Roman"/>
              </w:rPr>
            </w:pPr>
            <w:r w:rsidRPr="006414E6">
              <w:rPr>
                <w:rFonts w:cs="Times New Roman"/>
              </w:rPr>
              <w:t xml:space="preserve">Šumarstvo će nastaviti s tradicijom </w:t>
            </w:r>
            <w:proofErr w:type="spellStart"/>
            <w:r w:rsidRPr="006414E6">
              <w:rPr>
                <w:rFonts w:cs="Times New Roman"/>
              </w:rPr>
              <w:t>potrajnog</w:t>
            </w:r>
            <w:proofErr w:type="spellEnd"/>
            <w:r w:rsidRPr="006414E6">
              <w:rPr>
                <w:rFonts w:cs="Times New Roman"/>
              </w:rPr>
              <w:t xml:space="preserve"> gospodarenja šumom. </w:t>
            </w:r>
          </w:p>
          <w:p w14:paraId="5335795C" w14:textId="77777777" w:rsidR="00991075" w:rsidRPr="006414E6" w:rsidRDefault="00991075" w:rsidP="00FF6CC5">
            <w:pPr>
              <w:autoSpaceDE w:val="0"/>
              <w:autoSpaceDN w:val="0"/>
              <w:adjustRightInd w:val="0"/>
              <w:rPr>
                <w:rFonts w:cs="Times New Roman"/>
                <w:sz w:val="23"/>
                <w:szCs w:val="23"/>
              </w:rPr>
            </w:pPr>
            <w:r w:rsidRPr="006414E6">
              <w:rPr>
                <w:rFonts w:cs="Times New Roman"/>
                <w:sz w:val="23"/>
                <w:szCs w:val="23"/>
              </w:rPr>
              <w:t xml:space="preserve">Na pojedinim površinama šuma povećati će se prirast putem </w:t>
            </w:r>
            <w:proofErr w:type="spellStart"/>
            <w:r w:rsidRPr="006414E6">
              <w:rPr>
                <w:rFonts w:cs="Times New Roman"/>
                <w:sz w:val="23"/>
                <w:szCs w:val="23"/>
              </w:rPr>
              <w:t>šumskouzgojnih</w:t>
            </w:r>
            <w:proofErr w:type="spellEnd"/>
            <w:r w:rsidRPr="006414E6">
              <w:rPr>
                <w:rFonts w:cs="Times New Roman"/>
                <w:sz w:val="23"/>
                <w:szCs w:val="23"/>
              </w:rPr>
              <w:t xml:space="preserve"> radova (konverzijama) u šumama niskog uzgojnog oblika u viši uzgojni oblik, čime se povećava kapacitet odliva ugljika u šumskoj biomasi. Na pojedinom neobraslom šumskom zemljištu</w:t>
            </w:r>
          </w:p>
          <w:p w14:paraId="457D9317" w14:textId="77777777" w:rsidR="00991075" w:rsidRPr="006414E6" w:rsidRDefault="00991075" w:rsidP="00FF6CC5">
            <w:pPr>
              <w:spacing w:after="60" w:line="240" w:lineRule="auto"/>
              <w:rPr>
                <w:rFonts w:cs="Times New Roman"/>
              </w:rPr>
            </w:pPr>
            <w:r w:rsidRPr="006414E6">
              <w:rPr>
                <w:rFonts w:cs="Times New Roman"/>
                <w:sz w:val="23"/>
                <w:szCs w:val="23"/>
              </w:rPr>
              <w:t>podizati će se nove šumske sastojine. Ostaci drvne biomase iz šuma i drvne proizvodnje iskoristiti će se na ekološki i ekonomski održiv način</w:t>
            </w:r>
          </w:p>
          <w:p w14:paraId="7D80BCEF" w14:textId="77777777" w:rsidR="00991075" w:rsidRPr="006414E6" w:rsidRDefault="00991075" w:rsidP="00FF6CC5">
            <w:pPr>
              <w:spacing w:after="60" w:line="240" w:lineRule="auto"/>
              <w:rPr>
                <w:rFonts w:cs="Times New Roman"/>
              </w:rPr>
            </w:pPr>
            <w:r w:rsidRPr="006414E6">
              <w:rPr>
                <w:rFonts w:cs="Times New Roman"/>
              </w:rPr>
              <w:t xml:space="preserve">Zalihe ugljika u šumskoj biomasi (drvnoj biomasi, tlu, </w:t>
            </w:r>
            <w:proofErr w:type="spellStart"/>
            <w:r w:rsidRPr="006414E6">
              <w:rPr>
                <w:rFonts w:cs="Times New Roman"/>
              </w:rPr>
              <w:t>listincu</w:t>
            </w:r>
            <w:proofErr w:type="spellEnd"/>
            <w:r w:rsidRPr="006414E6">
              <w:rPr>
                <w:rFonts w:cs="Times New Roman"/>
              </w:rPr>
              <w:t xml:space="preserve"> i mrtvom drvu) povećavat će se kako bi sektor korištenja zemljišta i šumarstvo bio trajni ponor za stakleničke plinove. </w:t>
            </w:r>
          </w:p>
          <w:p w14:paraId="103CEEEC" w14:textId="34B4A377" w:rsidR="00991075" w:rsidRPr="006414E6" w:rsidRDefault="00FF6CC5" w:rsidP="001A4CE7">
            <w:pPr>
              <w:spacing w:after="60" w:line="240" w:lineRule="auto"/>
              <w:rPr>
                <w:rFonts w:cs="Times New Roman"/>
              </w:rPr>
            </w:pPr>
            <w:r w:rsidRPr="006414E6">
              <w:rPr>
                <w:rFonts w:cs="Times New Roman"/>
              </w:rPr>
              <w:t xml:space="preserve">Drvni proizvodi su spremište ugljika, s emisijom koja se odlaže na dulje vrijeme, ovisno o vrsti proizvoda. </w:t>
            </w:r>
            <w:r w:rsidR="00991075" w:rsidRPr="006414E6">
              <w:rPr>
                <w:rFonts w:cs="Times New Roman"/>
              </w:rPr>
              <w:t xml:space="preserve">Poticat će se korištenje drvnih proizvoda u tradicionalnim i novim proizvodima. Šumarstvo će raspolagati visokim stupnjem informacija o stanju šuma, inventaru, ugroženosti i projekcijama trendova. </w:t>
            </w:r>
          </w:p>
        </w:tc>
      </w:tr>
      <w:tr w:rsidR="00991075" w:rsidRPr="006414E6" w14:paraId="2CBC58BD"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6D167C" w14:textId="77777777" w:rsidR="00991075" w:rsidRPr="006414E6" w:rsidRDefault="00991075" w:rsidP="00FF6CC5">
            <w:pPr>
              <w:spacing w:line="240" w:lineRule="auto"/>
              <w:jc w:val="left"/>
              <w:rPr>
                <w:rFonts w:cs="Times New Roman"/>
                <w:b/>
              </w:rPr>
            </w:pPr>
            <w:r w:rsidRPr="006414E6">
              <w:rPr>
                <w:rFonts w:cs="Times New Roman"/>
                <w:b/>
              </w:rPr>
              <w:lastRenderedPageBreak/>
              <w:t>Gospodarenje otpadom</w:t>
            </w:r>
          </w:p>
        </w:tc>
        <w:tc>
          <w:tcPr>
            <w:tcW w:w="6979" w:type="dxa"/>
            <w:tcBorders>
              <w:top w:val="single" w:sz="4" w:space="0" w:color="auto"/>
              <w:left w:val="single" w:sz="4" w:space="0" w:color="auto"/>
              <w:bottom w:val="single" w:sz="4" w:space="0" w:color="auto"/>
              <w:right w:val="single" w:sz="4" w:space="0" w:color="auto"/>
            </w:tcBorders>
            <w:hideMark/>
          </w:tcPr>
          <w:p w14:paraId="53048C21" w14:textId="77777777" w:rsidR="00991075" w:rsidRPr="006414E6" w:rsidRDefault="00991075" w:rsidP="00FF6CC5">
            <w:pPr>
              <w:spacing w:after="60" w:line="240" w:lineRule="auto"/>
              <w:rPr>
                <w:rFonts w:cs="Times New Roman"/>
              </w:rPr>
            </w:pPr>
            <w:r w:rsidRPr="006414E6">
              <w:rPr>
                <w:rFonts w:cs="Times New Roman"/>
              </w:rPr>
              <w:t xml:space="preserve">Sprječavanjem nastajanja otpada, odvojenim prikupljanjem, recikliranjem i oporabom otpada, količina otpada za odlaganje svest će se na minimum. </w:t>
            </w:r>
          </w:p>
          <w:p w14:paraId="7080BC35" w14:textId="77777777" w:rsidR="00991075" w:rsidRPr="006414E6" w:rsidRDefault="00991075" w:rsidP="00FF6CC5">
            <w:pPr>
              <w:spacing w:after="60" w:line="240" w:lineRule="auto"/>
              <w:rPr>
                <w:rFonts w:cs="Times New Roman"/>
              </w:rPr>
            </w:pPr>
            <w:r w:rsidRPr="006414E6">
              <w:rPr>
                <w:rFonts w:cs="Times New Roman"/>
              </w:rPr>
              <w:t xml:space="preserve">Sva odlagališta bit će sanirana, centri za gospodarenje otpadom i nova odlagališta bit će uređena na način da je njihov utjecaj na okoliš sveden na najmanju moguću mjeru. </w:t>
            </w:r>
          </w:p>
          <w:p w14:paraId="15C11E84" w14:textId="77777777" w:rsidR="00991075" w:rsidRPr="006414E6" w:rsidRDefault="00991075" w:rsidP="00FF6CC5">
            <w:pPr>
              <w:spacing w:after="60" w:line="240" w:lineRule="auto"/>
              <w:rPr>
                <w:rFonts w:cs="Times New Roman"/>
              </w:rPr>
            </w:pPr>
            <w:r w:rsidRPr="006414E6">
              <w:rPr>
                <w:rFonts w:cs="Times New Roman"/>
              </w:rPr>
              <w:t xml:space="preserve">Potpuna uspostava sustava gospodarenja otpadom doprinijet će resursnoj učinkovitosti s manjim negativnim utjecajem na ljude i okoliš. Kružnim gospodarstvom će se vrijednost proizvoda, materijala i resursa što je dulje moguće zadržavati u gospodarstvu. Poticat će se korištenje proizvodnih procesa koji troše manje materijala i energenata, koriste resurse bez otpada i uključuju potpuno recikliranje na kraju životnog vijeka proizvoda. Projektiranje, gradnja i obnova zgrada provodit će se prema načelima kružnog gospodarenja prostorom i zgradama uz usklađeno korištenje resursa s potrebama i funkcionalnošću zgrada. Održivo gospodarenje resursima i produžavanje životnog vijeka materijala i proizvoda glavna je odrednica s prelaska s postojećeg linearnog na održivo i konkurentno kružno gospodarstvo s niskim emisijama ugljika.  </w:t>
            </w:r>
          </w:p>
        </w:tc>
      </w:tr>
    </w:tbl>
    <w:p w14:paraId="590EBB3A" w14:textId="7EC57968" w:rsidR="00991075" w:rsidRPr="006414E6" w:rsidRDefault="00991075" w:rsidP="00D90621">
      <w:pPr>
        <w:pStyle w:val="Tablicanaslov"/>
        <w:spacing w:after="120"/>
        <w:ind w:left="1416" w:hanging="1416"/>
        <w:rPr>
          <w:rFonts w:cs="Times New Roman"/>
          <w:i/>
          <w:sz w:val="24"/>
          <w:szCs w:val="24"/>
        </w:rPr>
      </w:pPr>
      <w:r w:rsidRPr="006414E6">
        <w:rPr>
          <w:rFonts w:cs="Times New Roman"/>
          <w:i/>
          <w:sz w:val="24"/>
          <w:szCs w:val="24"/>
        </w:rPr>
        <w:t xml:space="preserve">Tablica 1-2: </w:t>
      </w:r>
      <w:r w:rsidRPr="006414E6">
        <w:rPr>
          <w:rFonts w:cs="Times New Roman"/>
          <w:i/>
          <w:sz w:val="24"/>
          <w:szCs w:val="24"/>
        </w:rPr>
        <w:tab/>
        <w:t xml:space="preserve">Potrebe pojedinih sektora za </w:t>
      </w:r>
      <w:proofErr w:type="spellStart"/>
      <w:r w:rsidRPr="006414E6">
        <w:rPr>
          <w:rFonts w:cs="Times New Roman"/>
          <w:i/>
          <w:sz w:val="24"/>
          <w:szCs w:val="24"/>
        </w:rPr>
        <w:t>niskougljični</w:t>
      </w:r>
      <w:proofErr w:type="spellEnd"/>
      <w:r w:rsidRPr="006414E6">
        <w:rPr>
          <w:rFonts w:cs="Times New Roman"/>
          <w:i/>
          <w:sz w:val="24"/>
          <w:szCs w:val="24"/>
        </w:rPr>
        <w:t xml:space="preserve"> razvoj (rezultat konzultacija sa dionicima i javnosti)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1"/>
        <w:gridCol w:w="6979"/>
      </w:tblGrid>
      <w:tr w:rsidR="00991075" w:rsidRPr="005616B4" w14:paraId="1A20DA13" w14:textId="77777777" w:rsidTr="00FF6CC5">
        <w:trPr>
          <w:trHeight w:val="397"/>
          <w:tblHeader/>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3184B3" w14:textId="77777777" w:rsidR="00991075" w:rsidRPr="006414E6" w:rsidRDefault="00991075" w:rsidP="005616B4">
            <w:pPr>
              <w:spacing w:line="240" w:lineRule="auto"/>
              <w:jc w:val="center"/>
              <w:rPr>
                <w:rFonts w:cs="Times New Roman"/>
                <w:b/>
              </w:rPr>
            </w:pPr>
            <w:r w:rsidRPr="006414E6">
              <w:rPr>
                <w:rFonts w:cs="Times New Roman"/>
                <w:b/>
              </w:rPr>
              <w:t>SEKTOR</w:t>
            </w:r>
          </w:p>
        </w:tc>
        <w:tc>
          <w:tcPr>
            <w:tcW w:w="6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BC9EB1" w14:textId="77777777" w:rsidR="00991075" w:rsidRPr="006414E6" w:rsidRDefault="00991075" w:rsidP="005616B4">
            <w:pPr>
              <w:spacing w:line="240" w:lineRule="auto"/>
              <w:jc w:val="center"/>
              <w:rPr>
                <w:rFonts w:cs="Times New Roman"/>
                <w:b/>
              </w:rPr>
            </w:pPr>
            <w:r w:rsidRPr="006414E6">
              <w:rPr>
                <w:rFonts w:cs="Times New Roman"/>
                <w:b/>
              </w:rPr>
              <w:t>POTREBA</w:t>
            </w:r>
          </w:p>
        </w:tc>
      </w:tr>
      <w:tr w:rsidR="00991075" w:rsidRPr="006414E6" w14:paraId="53022E33"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5AC26C" w14:textId="77777777" w:rsidR="00991075" w:rsidRPr="006414E6" w:rsidRDefault="00991075" w:rsidP="005616B4">
            <w:pPr>
              <w:spacing w:line="240" w:lineRule="auto"/>
              <w:jc w:val="left"/>
              <w:rPr>
                <w:rFonts w:cs="Times New Roman"/>
                <w:b/>
              </w:rPr>
            </w:pPr>
            <w:r w:rsidRPr="006414E6">
              <w:rPr>
                <w:rFonts w:cs="Times New Roman"/>
                <w:b/>
              </w:rPr>
              <w:t>Energetska postrojenja, industrija i zgradarstvo</w:t>
            </w:r>
          </w:p>
        </w:tc>
        <w:tc>
          <w:tcPr>
            <w:tcW w:w="6979" w:type="dxa"/>
            <w:tcBorders>
              <w:top w:val="single" w:sz="4" w:space="0" w:color="auto"/>
              <w:left w:val="single" w:sz="4" w:space="0" w:color="auto"/>
              <w:bottom w:val="single" w:sz="4" w:space="0" w:color="auto"/>
              <w:right w:val="single" w:sz="4" w:space="0" w:color="auto"/>
            </w:tcBorders>
          </w:tcPr>
          <w:p w14:paraId="29E199EE" w14:textId="77777777" w:rsidR="00991075" w:rsidRPr="006414E6" w:rsidRDefault="00991075" w:rsidP="00FF6CC5">
            <w:pPr>
              <w:pStyle w:val="ListParagraph"/>
              <w:keepNext/>
              <w:numPr>
                <w:ilvl w:val="0"/>
                <w:numId w:val="11"/>
              </w:numPr>
              <w:spacing w:line="240" w:lineRule="auto"/>
              <w:ind w:left="397" w:hanging="227"/>
              <w:jc w:val="left"/>
              <w:rPr>
                <w:rFonts w:cs="Times New Roman"/>
                <w:lang w:eastAsia="hr-HR"/>
              </w:rPr>
            </w:pPr>
            <w:r w:rsidRPr="006414E6">
              <w:rPr>
                <w:rFonts w:cs="Times New Roman"/>
                <w:lang w:eastAsia="hr-HR"/>
              </w:rPr>
              <w:t xml:space="preserve">energetska neovisnost i održivost </w:t>
            </w:r>
          </w:p>
          <w:p w14:paraId="4EDAFA21" w14:textId="77777777" w:rsidR="00991075" w:rsidRPr="006414E6" w:rsidRDefault="00991075" w:rsidP="00FF6CC5">
            <w:pPr>
              <w:pStyle w:val="ListParagraph"/>
              <w:keepNext/>
              <w:numPr>
                <w:ilvl w:val="0"/>
                <w:numId w:val="11"/>
              </w:numPr>
              <w:spacing w:line="240" w:lineRule="auto"/>
              <w:ind w:left="397" w:hanging="227"/>
              <w:jc w:val="left"/>
              <w:rPr>
                <w:rFonts w:cs="Times New Roman"/>
                <w:lang w:eastAsia="hr-HR"/>
              </w:rPr>
            </w:pPr>
            <w:r w:rsidRPr="006414E6">
              <w:rPr>
                <w:rFonts w:cs="Times New Roman"/>
                <w:lang w:eastAsia="hr-HR"/>
              </w:rPr>
              <w:t>razvoj industrije energetske opreme i postrojenja</w:t>
            </w:r>
          </w:p>
          <w:p w14:paraId="41BAA672" w14:textId="77777777" w:rsidR="00991075" w:rsidRPr="006414E6" w:rsidRDefault="00991075" w:rsidP="00FF6CC5">
            <w:pPr>
              <w:pStyle w:val="ListParagraph"/>
              <w:keepNext/>
              <w:numPr>
                <w:ilvl w:val="0"/>
                <w:numId w:val="11"/>
              </w:numPr>
              <w:spacing w:line="240" w:lineRule="auto"/>
              <w:ind w:left="397" w:hanging="227"/>
              <w:jc w:val="left"/>
              <w:rPr>
                <w:rFonts w:cs="Times New Roman"/>
                <w:lang w:eastAsia="hr-HR"/>
              </w:rPr>
            </w:pPr>
            <w:r w:rsidRPr="006414E6">
              <w:rPr>
                <w:rFonts w:cs="Times New Roman"/>
                <w:lang w:eastAsia="hr-HR"/>
              </w:rPr>
              <w:t>razvoj industrije vozila i opreme za infrastrukturu</w:t>
            </w:r>
          </w:p>
          <w:p w14:paraId="309030D1" w14:textId="77777777" w:rsidR="00991075" w:rsidRPr="006414E6" w:rsidRDefault="00991075" w:rsidP="00FF6CC5">
            <w:pPr>
              <w:pStyle w:val="ListParagraph"/>
              <w:keepNext/>
              <w:numPr>
                <w:ilvl w:val="0"/>
                <w:numId w:val="11"/>
              </w:numPr>
              <w:spacing w:line="240" w:lineRule="auto"/>
              <w:ind w:left="397" w:hanging="227"/>
              <w:jc w:val="left"/>
              <w:rPr>
                <w:rFonts w:cs="Times New Roman"/>
                <w:lang w:eastAsia="hr-HR"/>
              </w:rPr>
            </w:pPr>
            <w:r w:rsidRPr="006414E6">
              <w:rPr>
                <w:rFonts w:cs="Times New Roman"/>
                <w:lang w:eastAsia="hr-HR"/>
              </w:rPr>
              <w:t>primjena novih tehnologija (upravljanje potrošnjom, tehnologije za hvatanje i skladištenje ugljikova dioksida, novi obnovljivi izvori)</w:t>
            </w:r>
          </w:p>
          <w:p w14:paraId="26AD8DC1" w14:textId="77777777" w:rsidR="00991075" w:rsidRPr="006414E6" w:rsidRDefault="00991075" w:rsidP="00FF6CC5">
            <w:pPr>
              <w:pStyle w:val="ListParagraph"/>
              <w:keepNext/>
              <w:numPr>
                <w:ilvl w:val="0"/>
                <w:numId w:val="11"/>
              </w:numPr>
              <w:spacing w:line="240" w:lineRule="auto"/>
              <w:ind w:left="397" w:hanging="227"/>
              <w:jc w:val="left"/>
              <w:rPr>
                <w:rFonts w:cs="Times New Roman"/>
                <w:lang w:eastAsia="hr-HR"/>
              </w:rPr>
            </w:pPr>
            <w:r w:rsidRPr="006414E6">
              <w:rPr>
                <w:rFonts w:cs="Times New Roman"/>
                <w:lang w:eastAsia="hr-HR"/>
              </w:rPr>
              <w:t>napredne mreže za otkup energije proizvedene iz obnovljivih izvora</w:t>
            </w:r>
          </w:p>
          <w:p w14:paraId="6B23F80E" w14:textId="77777777" w:rsidR="00991075" w:rsidRPr="006414E6" w:rsidRDefault="00991075" w:rsidP="00FF6CC5">
            <w:pPr>
              <w:pStyle w:val="ListParagraph"/>
              <w:keepNext/>
              <w:numPr>
                <w:ilvl w:val="0"/>
                <w:numId w:val="11"/>
              </w:numPr>
              <w:spacing w:line="240" w:lineRule="auto"/>
              <w:ind w:left="397" w:hanging="227"/>
              <w:jc w:val="left"/>
              <w:rPr>
                <w:rFonts w:cs="Times New Roman"/>
                <w:lang w:eastAsia="hr-HR"/>
              </w:rPr>
            </w:pPr>
            <w:r w:rsidRPr="006414E6">
              <w:rPr>
                <w:rFonts w:cs="Times New Roman"/>
                <w:lang w:eastAsia="hr-HR"/>
              </w:rPr>
              <w:t>jasna strategija razvoja i akcijski planovi</w:t>
            </w:r>
          </w:p>
          <w:p w14:paraId="5DF03435" w14:textId="77777777" w:rsidR="00991075" w:rsidRPr="006414E6" w:rsidRDefault="00991075" w:rsidP="00FF6CC5">
            <w:pPr>
              <w:pStyle w:val="ListParagraph"/>
              <w:keepNext/>
              <w:numPr>
                <w:ilvl w:val="0"/>
                <w:numId w:val="11"/>
              </w:numPr>
              <w:spacing w:line="240" w:lineRule="auto"/>
              <w:ind w:left="397" w:hanging="227"/>
              <w:jc w:val="left"/>
              <w:rPr>
                <w:rFonts w:cs="Times New Roman"/>
                <w:lang w:eastAsia="hr-HR"/>
              </w:rPr>
            </w:pPr>
            <w:r w:rsidRPr="006414E6">
              <w:rPr>
                <w:rFonts w:cs="Times New Roman"/>
                <w:lang w:eastAsia="hr-HR"/>
              </w:rPr>
              <w:t>modernizacija rafinerija</w:t>
            </w:r>
          </w:p>
          <w:p w14:paraId="630FD0A9" w14:textId="77777777" w:rsidR="00991075" w:rsidRPr="006414E6" w:rsidRDefault="00991075" w:rsidP="00FF6CC5">
            <w:pPr>
              <w:pStyle w:val="ListParagraph"/>
              <w:keepNext/>
              <w:numPr>
                <w:ilvl w:val="0"/>
                <w:numId w:val="11"/>
              </w:numPr>
              <w:spacing w:line="240" w:lineRule="auto"/>
              <w:ind w:left="397" w:hanging="227"/>
              <w:jc w:val="left"/>
              <w:rPr>
                <w:rFonts w:cs="Times New Roman"/>
                <w:lang w:eastAsia="hr-HR"/>
              </w:rPr>
            </w:pPr>
            <w:r w:rsidRPr="006414E6">
              <w:rPr>
                <w:rFonts w:cs="Times New Roman"/>
                <w:lang w:eastAsia="hr-HR"/>
              </w:rPr>
              <w:t>ulaganje u nove djelatnosti</w:t>
            </w:r>
          </w:p>
          <w:p w14:paraId="70C4C373" w14:textId="77777777" w:rsidR="00991075" w:rsidRPr="006414E6" w:rsidRDefault="00991075" w:rsidP="00FF6CC5">
            <w:pPr>
              <w:pStyle w:val="ListParagraph"/>
              <w:keepNext/>
              <w:numPr>
                <w:ilvl w:val="0"/>
                <w:numId w:val="11"/>
              </w:numPr>
              <w:spacing w:line="240" w:lineRule="auto"/>
              <w:ind w:left="397" w:hanging="227"/>
              <w:jc w:val="left"/>
              <w:rPr>
                <w:rFonts w:cs="Times New Roman"/>
                <w:lang w:eastAsia="hr-HR"/>
              </w:rPr>
            </w:pPr>
            <w:r w:rsidRPr="006414E6">
              <w:rPr>
                <w:rFonts w:cs="Times New Roman"/>
                <w:lang w:eastAsia="hr-HR"/>
              </w:rPr>
              <w:t>ulaganje u istraživanje i razvoj domaćih nalazišta nafte i plina</w:t>
            </w:r>
          </w:p>
          <w:p w14:paraId="478B0DBC" w14:textId="77777777" w:rsidR="00991075" w:rsidRPr="006414E6" w:rsidRDefault="00991075" w:rsidP="00FF6CC5">
            <w:pPr>
              <w:pStyle w:val="ListParagraph"/>
              <w:keepNext/>
              <w:numPr>
                <w:ilvl w:val="0"/>
                <w:numId w:val="11"/>
              </w:numPr>
              <w:spacing w:line="240" w:lineRule="auto"/>
              <w:ind w:left="397" w:hanging="227"/>
              <w:jc w:val="left"/>
              <w:rPr>
                <w:rFonts w:cs="Times New Roman"/>
                <w:lang w:eastAsia="hr-HR"/>
              </w:rPr>
            </w:pPr>
            <w:r w:rsidRPr="006414E6">
              <w:rPr>
                <w:rFonts w:cs="Times New Roman"/>
                <w:lang w:eastAsia="hr-HR"/>
              </w:rPr>
              <w:t>energetska obnova postojećeg nacionalnog fonda zgrada</w:t>
            </w:r>
          </w:p>
          <w:p w14:paraId="3C9AC1FC" w14:textId="77777777" w:rsidR="00991075" w:rsidRPr="006414E6" w:rsidRDefault="00991075" w:rsidP="00FF6CC5">
            <w:pPr>
              <w:pStyle w:val="ListParagraph"/>
              <w:keepNext/>
              <w:numPr>
                <w:ilvl w:val="0"/>
                <w:numId w:val="11"/>
              </w:numPr>
              <w:spacing w:line="240" w:lineRule="auto"/>
              <w:ind w:left="397" w:hanging="227"/>
              <w:jc w:val="left"/>
              <w:rPr>
                <w:rFonts w:cs="Times New Roman"/>
                <w:lang w:eastAsia="hr-HR"/>
              </w:rPr>
            </w:pPr>
            <w:r w:rsidRPr="006414E6">
              <w:rPr>
                <w:rFonts w:cs="Times New Roman"/>
                <w:lang w:eastAsia="hr-HR"/>
              </w:rPr>
              <w:t xml:space="preserve">gradnja gotovo nula energetskih zgrada </w:t>
            </w:r>
          </w:p>
          <w:p w14:paraId="1810AE7A" w14:textId="77777777" w:rsidR="00991075" w:rsidRPr="006414E6" w:rsidRDefault="00991075" w:rsidP="00FF6CC5">
            <w:pPr>
              <w:pStyle w:val="ListParagraph"/>
              <w:keepNext/>
              <w:numPr>
                <w:ilvl w:val="0"/>
                <w:numId w:val="11"/>
              </w:numPr>
              <w:spacing w:after="60" w:line="240" w:lineRule="auto"/>
              <w:ind w:left="397" w:hanging="227"/>
              <w:jc w:val="left"/>
              <w:rPr>
                <w:rFonts w:cs="Times New Roman"/>
                <w:lang w:eastAsia="hr-HR"/>
              </w:rPr>
            </w:pPr>
            <w:r w:rsidRPr="006414E6">
              <w:rPr>
                <w:rFonts w:cs="Times New Roman"/>
                <w:lang w:eastAsia="hr-HR"/>
              </w:rPr>
              <w:t>podignuta društvena svijest o proizvodnji energije u zgradama</w:t>
            </w:r>
          </w:p>
        </w:tc>
      </w:tr>
      <w:tr w:rsidR="00991075" w:rsidRPr="006414E6" w14:paraId="6EF11F6C"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B336FE" w14:textId="77777777" w:rsidR="00991075" w:rsidRPr="006414E6" w:rsidRDefault="00991075" w:rsidP="00FF6CC5">
            <w:pPr>
              <w:spacing w:line="240" w:lineRule="auto"/>
              <w:jc w:val="left"/>
              <w:rPr>
                <w:rFonts w:cs="Times New Roman"/>
                <w:b/>
              </w:rPr>
            </w:pPr>
            <w:r w:rsidRPr="006414E6">
              <w:rPr>
                <w:rFonts w:cs="Times New Roman"/>
                <w:b/>
              </w:rPr>
              <w:t>Promet</w:t>
            </w:r>
          </w:p>
          <w:p w14:paraId="1751674C" w14:textId="77777777" w:rsidR="00991075" w:rsidRPr="006414E6" w:rsidRDefault="00991075" w:rsidP="00FF6CC5">
            <w:pPr>
              <w:spacing w:line="240" w:lineRule="auto"/>
              <w:jc w:val="left"/>
              <w:rPr>
                <w:rFonts w:cs="Times New Roman"/>
                <w:b/>
              </w:rPr>
            </w:pPr>
          </w:p>
        </w:tc>
        <w:tc>
          <w:tcPr>
            <w:tcW w:w="6979" w:type="dxa"/>
            <w:tcBorders>
              <w:top w:val="single" w:sz="4" w:space="0" w:color="auto"/>
              <w:left w:val="single" w:sz="4" w:space="0" w:color="auto"/>
              <w:bottom w:val="single" w:sz="4" w:space="0" w:color="auto"/>
              <w:right w:val="single" w:sz="4" w:space="0" w:color="auto"/>
            </w:tcBorders>
          </w:tcPr>
          <w:p w14:paraId="28F48ADA" w14:textId="77777777" w:rsidR="00991075" w:rsidRPr="006414E6" w:rsidRDefault="00991075" w:rsidP="00FF6CC5">
            <w:pPr>
              <w:pStyle w:val="ListParagraph"/>
              <w:numPr>
                <w:ilvl w:val="0"/>
                <w:numId w:val="11"/>
              </w:numPr>
              <w:spacing w:line="240" w:lineRule="auto"/>
              <w:ind w:left="397" w:hanging="227"/>
              <w:jc w:val="left"/>
              <w:rPr>
                <w:rFonts w:cs="Times New Roman"/>
                <w:lang w:eastAsia="hr-HR"/>
              </w:rPr>
            </w:pPr>
            <w:proofErr w:type="spellStart"/>
            <w:r w:rsidRPr="006414E6">
              <w:rPr>
                <w:rFonts w:cs="Times New Roman"/>
                <w:lang w:eastAsia="hr-HR"/>
              </w:rPr>
              <w:t>niskougljični</w:t>
            </w:r>
            <w:proofErr w:type="spellEnd"/>
            <w:r w:rsidRPr="006414E6">
              <w:rPr>
                <w:rFonts w:cs="Times New Roman"/>
                <w:lang w:eastAsia="hr-HR"/>
              </w:rPr>
              <w:t xml:space="preserve"> promet </w:t>
            </w:r>
          </w:p>
          <w:p w14:paraId="487FA888" w14:textId="77777777" w:rsidR="00991075" w:rsidRPr="006414E6" w:rsidRDefault="00991075" w:rsidP="00FF6CC5">
            <w:pPr>
              <w:pStyle w:val="ListParagraph"/>
              <w:numPr>
                <w:ilvl w:val="0"/>
                <w:numId w:val="11"/>
              </w:numPr>
              <w:spacing w:line="240" w:lineRule="auto"/>
              <w:ind w:left="397" w:hanging="227"/>
              <w:jc w:val="left"/>
              <w:rPr>
                <w:rFonts w:cs="Times New Roman"/>
                <w:lang w:eastAsia="hr-HR"/>
              </w:rPr>
            </w:pPr>
            <w:r w:rsidRPr="006414E6">
              <w:rPr>
                <w:rFonts w:cs="Times New Roman"/>
                <w:lang w:eastAsia="hr-HR"/>
              </w:rPr>
              <w:t>visoka razina javne svijesti o javnom prijevozu te čišćim oblicima prijevoza</w:t>
            </w:r>
          </w:p>
          <w:p w14:paraId="6471535A" w14:textId="77777777" w:rsidR="00991075" w:rsidRPr="006414E6" w:rsidRDefault="00991075" w:rsidP="00FF6CC5">
            <w:pPr>
              <w:pStyle w:val="ListParagraph"/>
              <w:numPr>
                <w:ilvl w:val="0"/>
                <w:numId w:val="11"/>
              </w:numPr>
              <w:spacing w:line="240" w:lineRule="auto"/>
              <w:ind w:left="397" w:hanging="227"/>
              <w:jc w:val="left"/>
              <w:rPr>
                <w:rFonts w:cs="Times New Roman"/>
                <w:lang w:eastAsia="hr-HR"/>
              </w:rPr>
            </w:pPr>
            <w:r w:rsidRPr="006414E6">
              <w:rPr>
                <w:rFonts w:cs="Times New Roman"/>
                <w:lang w:eastAsia="hr-HR"/>
              </w:rPr>
              <w:t xml:space="preserve">razvijen željeznički i riječni promet </w:t>
            </w:r>
          </w:p>
          <w:p w14:paraId="6A979DC0" w14:textId="77777777" w:rsidR="00991075" w:rsidRPr="006414E6" w:rsidRDefault="00991075" w:rsidP="00FF6CC5">
            <w:pPr>
              <w:pStyle w:val="ListParagraph"/>
              <w:numPr>
                <w:ilvl w:val="0"/>
                <w:numId w:val="11"/>
              </w:numPr>
              <w:spacing w:line="240" w:lineRule="auto"/>
              <w:ind w:left="397" w:hanging="227"/>
              <w:jc w:val="left"/>
              <w:rPr>
                <w:rFonts w:cs="Times New Roman"/>
                <w:lang w:eastAsia="hr-HR"/>
              </w:rPr>
            </w:pPr>
            <w:r w:rsidRPr="006414E6">
              <w:rPr>
                <w:rFonts w:cs="Times New Roman"/>
                <w:lang w:eastAsia="hr-HR"/>
              </w:rPr>
              <w:t xml:space="preserve">poticaji za vozila na osnovi manje potrošnje fosilnih goriva </w:t>
            </w:r>
          </w:p>
          <w:p w14:paraId="558BCAD5" w14:textId="77777777" w:rsidR="00991075" w:rsidRPr="006414E6" w:rsidRDefault="00991075" w:rsidP="00FF6CC5">
            <w:pPr>
              <w:pStyle w:val="ListParagraph"/>
              <w:numPr>
                <w:ilvl w:val="0"/>
                <w:numId w:val="11"/>
              </w:numPr>
              <w:spacing w:after="60" w:line="240" w:lineRule="auto"/>
              <w:ind w:left="397" w:hanging="227"/>
              <w:jc w:val="left"/>
              <w:rPr>
                <w:rFonts w:cs="Times New Roman"/>
              </w:rPr>
            </w:pPr>
            <w:proofErr w:type="spellStart"/>
            <w:r w:rsidRPr="006414E6">
              <w:rPr>
                <w:rFonts w:cs="Times New Roman"/>
                <w:lang w:eastAsia="hr-HR"/>
              </w:rPr>
              <w:t>niskougljičan</w:t>
            </w:r>
            <w:proofErr w:type="spellEnd"/>
            <w:r w:rsidRPr="006414E6">
              <w:rPr>
                <w:rFonts w:cs="Times New Roman"/>
                <w:lang w:eastAsia="hr-HR"/>
              </w:rPr>
              <w:t xml:space="preserve"> javni prijevoz</w:t>
            </w:r>
          </w:p>
        </w:tc>
      </w:tr>
      <w:tr w:rsidR="00991075" w:rsidRPr="006414E6" w14:paraId="1F69C32B"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4F6E77" w14:textId="77777777" w:rsidR="00991075" w:rsidRPr="006414E6" w:rsidRDefault="00991075" w:rsidP="00FF6CC5">
            <w:pPr>
              <w:spacing w:line="240" w:lineRule="auto"/>
              <w:jc w:val="left"/>
              <w:rPr>
                <w:rFonts w:cs="Times New Roman"/>
                <w:b/>
              </w:rPr>
            </w:pPr>
            <w:r w:rsidRPr="006414E6">
              <w:rPr>
                <w:rFonts w:cs="Times New Roman"/>
                <w:b/>
              </w:rPr>
              <w:t xml:space="preserve">Poljoprivreda </w:t>
            </w:r>
          </w:p>
        </w:tc>
        <w:tc>
          <w:tcPr>
            <w:tcW w:w="6979" w:type="dxa"/>
            <w:tcBorders>
              <w:top w:val="single" w:sz="4" w:space="0" w:color="auto"/>
              <w:left w:val="single" w:sz="4" w:space="0" w:color="auto"/>
              <w:bottom w:val="single" w:sz="4" w:space="0" w:color="auto"/>
              <w:right w:val="single" w:sz="4" w:space="0" w:color="auto"/>
            </w:tcBorders>
          </w:tcPr>
          <w:p w14:paraId="094DAB5E" w14:textId="77777777" w:rsidR="00991075" w:rsidRPr="006414E6" w:rsidRDefault="00991075" w:rsidP="00FF6CC5">
            <w:pPr>
              <w:pStyle w:val="ListParagraph"/>
              <w:numPr>
                <w:ilvl w:val="0"/>
                <w:numId w:val="11"/>
              </w:numPr>
              <w:spacing w:line="240" w:lineRule="auto"/>
              <w:ind w:left="397" w:hanging="227"/>
              <w:jc w:val="left"/>
              <w:rPr>
                <w:rFonts w:cs="Times New Roman"/>
                <w:lang w:eastAsia="hr-HR"/>
              </w:rPr>
            </w:pPr>
            <w:r w:rsidRPr="006414E6">
              <w:rPr>
                <w:rFonts w:cs="Times New Roman"/>
                <w:lang w:eastAsia="hr-HR"/>
              </w:rPr>
              <w:t>održivo gospodarenje poljoprivrednim područjima</w:t>
            </w:r>
          </w:p>
          <w:p w14:paraId="03B3EA5A" w14:textId="77777777" w:rsidR="00991075" w:rsidRPr="006414E6" w:rsidRDefault="00991075" w:rsidP="00FF6CC5">
            <w:pPr>
              <w:pStyle w:val="ListParagraph"/>
              <w:numPr>
                <w:ilvl w:val="0"/>
                <w:numId w:val="11"/>
              </w:numPr>
              <w:spacing w:line="240" w:lineRule="auto"/>
              <w:ind w:left="397" w:hanging="227"/>
              <w:jc w:val="left"/>
              <w:rPr>
                <w:rFonts w:cs="Times New Roman"/>
                <w:lang w:eastAsia="hr-HR"/>
              </w:rPr>
            </w:pPr>
            <w:r w:rsidRPr="006414E6">
              <w:rPr>
                <w:rFonts w:cs="Times New Roman"/>
                <w:lang w:eastAsia="hr-HR"/>
              </w:rPr>
              <w:t xml:space="preserve">održiva i ekološka proizvodnja </w:t>
            </w:r>
          </w:p>
          <w:p w14:paraId="283230D3" w14:textId="77777777" w:rsidR="00991075" w:rsidRPr="006414E6" w:rsidRDefault="00991075" w:rsidP="00FF6CC5">
            <w:pPr>
              <w:pStyle w:val="ListParagraph"/>
              <w:numPr>
                <w:ilvl w:val="0"/>
                <w:numId w:val="11"/>
              </w:numPr>
              <w:spacing w:line="240" w:lineRule="auto"/>
              <w:ind w:left="397" w:hanging="227"/>
              <w:jc w:val="left"/>
              <w:rPr>
                <w:rFonts w:cs="Times New Roman"/>
                <w:lang w:eastAsia="hr-HR"/>
              </w:rPr>
            </w:pPr>
            <w:r w:rsidRPr="006414E6">
              <w:rPr>
                <w:rFonts w:cs="Times New Roman"/>
                <w:lang w:eastAsia="hr-HR"/>
              </w:rPr>
              <w:t xml:space="preserve">upotreba mineralnog gnojiva na najprimjereniji </w:t>
            </w:r>
            <w:proofErr w:type="spellStart"/>
            <w:r w:rsidRPr="006414E6">
              <w:rPr>
                <w:rFonts w:cs="Times New Roman"/>
                <w:lang w:eastAsia="hr-HR"/>
              </w:rPr>
              <w:t>načinadekvatno</w:t>
            </w:r>
            <w:proofErr w:type="spellEnd"/>
            <w:r w:rsidRPr="006414E6">
              <w:rPr>
                <w:rFonts w:cs="Times New Roman"/>
                <w:lang w:eastAsia="hr-HR"/>
              </w:rPr>
              <w:t xml:space="preserve"> zbrinjavanje organskog gnojiva i korištenje bioplina, unaprijeđen sustav gospodarenja stajskim gnojivom, </w:t>
            </w:r>
          </w:p>
          <w:p w14:paraId="7E28FB63" w14:textId="77777777" w:rsidR="00991075" w:rsidRPr="006414E6" w:rsidRDefault="00991075" w:rsidP="00FF6CC5">
            <w:pPr>
              <w:pStyle w:val="ListParagraph"/>
              <w:numPr>
                <w:ilvl w:val="0"/>
                <w:numId w:val="11"/>
              </w:numPr>
              <w:spacing w:line="240" w:lineRule="auto"/>
              <w:ind w:left="397" w:hanging="227"/>
              <w:jc w:val="left"/>
              <w:rPr>
                <w:rFonts w:cs="Times New Roman"/>
                <w:lang w:eastAsia="hr-HR"/>
              </w:rPr>
            </w:pPr>
            <w:r w:rsidRPr="006414E6">
              <w:rPr>
                <w:rFonts w:cs="Times New Roman"/>
                <w:lang w:eastAsia="hr-HR"/>
              </w:rPr>
              <w:t>pošumljavanje brzorastućim vrstama drveća</w:t>
            </w:r>
          </w:p>
          <w:p w14:paraId="0540F2D0" w14:textId="77777777" w:rsidR="00991075" w:rsidRPr="006414E6" w:rsidRDefault="00991075" w:rsidP="00FF6CC5">
            <w:pPr>
              <w:pStyle w:val="ListParagraph"/>
              <w:numPr>
                <w:ilvl w:val="0"/>
                <w:numId w:val="11"/>
              </w:numPr>
              <w:spacing w:line="240" w:lineRule="auto"/>
              <w:ind w:left="397" w:hanging="227"/>
              <w:jc w:val="left"/>
              <w:rPr>
                <w:rFonts w:cs="Times New Roman"/>
                <w:lang w:eastAsia="hr-HR"/>
              </w:rPr>
            </w:pPr>
            <w:r w:rsidRPr="006414E6">
              <w:rPr>
                <w:rFonts w:cs="Times New Roman"/>
                <w:lang w:eastAsia="hr-HR"/>
              </w:rPr>
              <w:lastRenderedPageBreak/>
              <w:t>integralni pristup razvoju poljoprivrede</w:t>
            </w:r>
          </w:p>
          <w:p w14:paraId="27AFD421" w14:textId="77777777" w:rsidR="00991075" w:rsidRPr="006414E6" w:rsidRDefault="00991075" w:rsidP="00FF6CC5">
            <w:pPr>
              <w:pStyle w:val="ListParagraph"/>
              <w:numPr>
                <w:ilvl w:val="0"/>
                <w:numId w:val="11"/>
              </w:numPr>
              <w:spacing w:after="60" w:line="240" w:lineRule="auto"/>
              <w:ind w:left="397" w:hanging="227"/>
              <w:jc w:val="left"/>
              <w:rPr>
                <w:rFonts w:cs="Times New Roman"/>
              </w:rPr>
            </w:pPr>
            <w:proofErr w:type="spellStart"/>
            <w:r w:rsidRPr="006414E6">
              <w:rPr>
                <w:rFonts w:cs="Times New Roman"/>
                <w:lang w:eastAsia="hr-HR"/>
              </w:rPr>
              <w:t>samoodrživost</w:t>
            </w:r>
            <w:proofErr w:type="spellEnd"/>
            <w:r w:rsidRPr="006414E6">
              <w:rPr>
                <w:rFonts w:cs="Times New Roman"/>
                <w:lang w:eastAsia="hr-HR"/>
              </w:rPr>
              <w:t xml:space="preserve"> u proizvodnji hrane</w:t>
            </w:r>
          </w:p>
        </w:tc>
      </w:tr>
      <w:tr w:rsidR="00991075" w:rsidRPr="006414E6" w14:paraId="7186E114"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70FF8B" w14:textId="63B94733" w:rsidR="00991075" w:rsidRPr="006414E6" w:rsidRDefault="00FF6CC5" w:rsidP="00FF6CC5">
            <w:pPr>
              <w:spacing w:line="240" w:lineRule="auto"/>
              <w:jc w:val="left"/>
              <w:rPr>
                <w:rFonts w:cs="Times New Roman"/>
                <w:b/>
              </w:rPr>
            </w:pPr>
            <w:r w:rsidRPr="006414E6">
              <w:rPr>
                <w:rFonts w:cs="Times New Roman"/>
                <w:b/>
              </w:rPr>
              <w:lastRenderedPageBreak/>
              <w:t>Korištenje zemljišta, prenamjene u korištenju zemljišta i šumarstvo</w:t>
            </w:r>
          </w:p>
        </w:tc>
        <w:tc>
          <w:tcPr>
            <w:tcW w:w="6979" w:type="dxa"/>
            <w:tcBorders>
              <w:top w:val="single" w:sz="4" w:space="0" w:color="auto"/>
              <w:left w:val="single" w:sz="4" w:space="0" w:color="auto"/>
              <w:bottom w:val="single" w:sz="4" w:space="0" w:color="auto"/>
              <w:right w:val="single" w:sz="4" w:space="0" w:color="auto"/>
            </w:tcBorders>
          </w:tcPr>
          <w:p w14:paraId="078238A8" w14:textId="1DF75BC8" w:rsidR="00FF6CC5" w:rsidRPr="006414E6" w:rsidRDefault="00B00F23" w:rsidP="008C2A8A">
            <w:pPr>
              <w:pStyle w:val="ListParagraph"/>
              <w:numPr>
                <w:ilvl w:val="0"/>
                <w:numId w:val="11"/>
              </w:numPr>
              <w:ind w:left="397" w:hanging="227"/>
              <w:jc w:val="left"/>
              <w:rPr>
                <w:rFonts w:cs="Times New Roman"/>
                <w:lang w:eastAsia="hr-HR"/>
              </w:rPr>
            </w:pPr>
            <w:r w:rsidRPr="006414E6">
              <w:rPr>
                <w:rFonts w:cs="Times New Roman"/>
                <w:lang w:eastAsia="hr-HR"/>
              </w:rPr>
              <w:t>u</w:t>
            </w:r>
            <w:r w:rsidR="00FF6CC5" w:rsidRPr="006414E6">
              <w:rPr>
                <w:rFonts w:cs="Times New Roman"/>
                <w:lang w:eastAsia="hr-HR"/>
              </w:rPr>
              <w:t xml:space="preserve"> prenamjenama zemljišta vodit će se računa da svaka prenamjena zemljišta ima odraza na promjene u emisijama/odlivima stakleničkih plinova </w:t>
            </w:r>
          </w:p>
          <w:p w14:paraId="5E4CDF2A" w14:textId="01467850" w:rsidR="00FF6CC5" w:rsidRPr="006414E6" w:rsidRDefault="00FF6CC5" w:rsidP="00FF6CC5">
            <w:pPr>
              <w:pStyle w:val="ListParagraph"/>
              <w:numPr>
                <w:ilvl w:val="0"/>
                <w:numId w:val="11"/>
              </w:numPr>
              <w:spacing w:line="240" w:lineRule="auto"/>
              <w:ind w:left="397" w:hanging="227"/>
              <w:jc w:val="left"/>
              <w:rPr>
                <w:rFonts w:cs="Times New Roman"/>
                <w:lang w:eastAsia="hr-HR"/>
              </w:rPr>
            </w:pPr>
            <w:r w:rsidRPr="006414E6">
              <w:rPr>
                <w:rFonts w:cs="Times New Roman"/>
                <w:lang w:eastAsia="hr-HR"/>
              </w:rPr>
              <w:t xml:space="preserve">mjere koje  potiču povećanje količine ugljika u tlu, </w:t>
            </w:r>
          </w:p>
          <w:p w14:paraId="050856CF" w14:textId="5EF45424" w:rsidR="00991075" w:rsidRPr="006414E6" w:rsidRDefault="00991075" w:rsidP="00FF6CC5">
            <w:pPr>
              <w:pStyle w:val="ListParagraph"/>
              <w:numPr>
                <w:ilvl w:val="0"/>
                <w:numId w:val="11"/>
              </w:numPr>
              <w:spacing w:line="240" w:lineRule="auto"/>
              <w:ind w:left="397" w:hanging="227"/>
              <w:jc w:val="left"/>
              <w:rPr>
                <w:rFonts w:cs="Times New Roman"/>
                <w:lang w:eastAsia="hr-HR"/>
              </w:rPr>
            </w:pPr>
            <w:r w:rsidRPr="006414E6">
              <w:rPr>
                <w:rFonts w:cs="Times New Roman"/>
                <w:lang w:eastAsia="hr-HR"/>
              </w:rPr>
              <w:t>održivo gospodarenje šumama</w:t>
            </w:r>
          </w:p>
          <w:p w14:paraId="2BF6F87A" w14:textId="77777777" w:rsidR="00991075" w:rsidRPr="006414E6" w:rsidRDefault="00991075" w:rsidP="00FF6CC5">
            <w:pPr>
              <w:pStyle w:val="ListParagraph"/>
              <w:numPr>
                <w:ilvl w:val="0"/>
                <w:numId w:val="11"/>
              </w:numPr>
              <w:spacing w:line="240" w:lineRule="auto"/>
              <w:ind w:left="397" w:hanging="227"/>
              <w:jc w:val="left"/>
              <w:rPr>
                <w:rFonts w:cs="Times New Roman"/>
                <w:lang w:eastAsia="hr-HR"/>
              </w:rPr>
            </w:pPr>
            <w:r w:rsidRPr="006414E6">
              <w:rPr>
                <w:rFonts w:cs="Times New Roman"/>
                <w:lang w:eastAsia="hr-HR"/>
              </w:rPr>
              <w:t>povećanje vrijednosti šuma, održati ili poboljšati postojeći fond šumskog zemljišta</w:t>
            </w:r>
          </w:p>
          <w:p w14:paraId="3CA7196B" w14:textId="55ED6E15" w:rsidR="00991075" w:rsidRPr="006414E6" w:rsidRDefault="00CC2D7B" w:rsidP="00FF6CC5">
            <w:pPr>
              <w:pStyle w:val="ListParagraph"/>
              <w:numPr>
                <w:ilvl w:val="0"/>
                <w:numId w:val="11"/>
              </w:numPr>
              <w:spacing w:after="60" w:line="240" w:lineRule="auto"/>
              <w:ind w:left="397" w:hanging="227"/>
              <w:jc w:val="left"/>
              <w:rPr>
                <w:rFonts w:cs="Times New Roman"/>
              </w:rPr>
            </w:pPr>
            <w:r w:rsidRPr="006414E6">
              <w:rPr>
                <w:rFonts w:cs="Times New Roman"/>
              </w:rPr>
              <w:t xml:space="preserve">provedba pošumljavanja neobraslog proizvodnog šumskog zemljišta prema </w:t>
            </w:r>
            <w:r w:rsidR="00FF6CC5" w:rsidRPr="006414E6">
              <w:rPr>
                <w:rFonts w:cs="Times New Roman"/>
              </w:rPr>
              <w:t>šumsko</w:t>
            </w:r>
            <w:r w:rsidR="008A35E9" w:rsidRPr="006414E6">
              <w:rPr>
                <w:rFonts w:cs="Times New Roman"/>
              </w:rPr>
              <w:t>gospodarskim planovima</w:t>
            </w:r>
            <w:r w:rsidR="00FF6CC5" w:rsidRPr="006414E6">
              <w:rPr>
                <w:rFonts w:cs="Times New Roman"/>
              </w:rPr>
              <w:t xml:space="preserve"> </w:t>
            </w:r>
          </w:p>
        </w:tc>
      </w:tr>
      <w:tr w:rsidR="00991075" w:rsidRPr="006414E6" w14:paraId="72586A5F" w14:textId="77777777" w:rsidTr="00FF6CC5">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75B9D8" w14:textId="77777777" w:rsidR="00991075" w:rsidRPr="006414E6" w:rsidRDefault="00991075" w:rsidP="00FF6CC5">
            <w:pPr>
              <w:spacing w:line="240" w:lineRule="auto"/>
              <w:jc w:val="left"/>
              <w:rPr>
                <w:rFonts w:cs="Times New Roman"/>
                <w:b/>
              </w:rPr>
            </w:pPr>
            <w:r w:rsidRPr="006414E6">
              <w:rPr>
                <w:rFonts w:cs="Times New Roman"/>
                <w:b/>
              </w:rPr>
              <w:t>Gospodarenje otpadom</w:t>
            </w:r>
          </w:p>
        </w:tc>
        <w:tc>
          <w:tcPr>
            <w:tcW w:w="6979" w:type="dxa"/>
            <w:tcBorders>
              <w:top w:val="single" w:sz="4" w:space="0" w:color="auto"/>
              <w:left w:val="single" w:sz="4" w:space="0" w:color="auto"/>
              <w:bottom w:val="single" w:sz="4" w:space="0" w:color="auto"/>
              <w:right w:val="single" w:sz="4" w:space="0" w:color="auto"/>
            </w:tcBorders>
          </w:tcPr>
          <w:p w14:paraId="65677DCA" w14:textId="77777777" w:rsidR="00991075" w:rsidRPr="006414E6" w:rsidRDefault="00991075" w:rsidP="00FF6CC5">
            <w:pPr>
              <w:pStyle w:val="ListParagraph"/>
              <w:numPr>
                <w:ilvl w:val="0"/>
                <w:numId w:val="11"/>
              </w:numPr>
              <w:spacing w:line="240" w:lineRule="auto"/>
              <w:ind w:left="397" w:hanging="227"/>
              <w:jc w:val="left"/>
              <w:rPr>
                <w:rFonts w:cs="Times New Roman"/>
                <w:lang w:eastAsia="hr-HR"/>
              </w:rPr>
            </w:pPr>
            <w:r w:rsidRPr="006414E6">
              <w:rPr>
                <w:rFonts w:cs="Times New Roman"/>
                <w:lang w:eastAsia="hr-HR"/>
              </w:rPr>
              <w:t>smanjenje (izbjegavanje) nastajanja otpada</w:t>
            </w:r>
          </w:p>
          <w:p w14:paraId="4E51A4EB" w14:textId="77777777" w:rsidR="00991075" w:rsidRPr="006414E6" w:rsidRDefault="00991075" w:rsidP="00FF6CC5">
            <w:pPr>
              <w:pStyle w:val="ListParagraph"/>
              <w:numPr>
                <w:ilvl w:val="0"/>
                <w:numId w:val="11"/>
              </w:numPr>
              <w:spacing w:line="240" w:lineRule="auto"/>
              <w:ind w:left="397" w:hanging="227"/>
              <w:jc w:val="left"/>
              <w:rPr>
                <w:rFonts w:cs="Times New Roman"/>
                <w:lang w:eastAsia="hr-HR"/>
              </w:rPr>
            </w:pPr>
            <w:r w:rsidRPr="006414E6">
              <w:rPr>
                <w:rFonts w:cs="Times New Roman"/>
                <w:lang w:eastAsia="hr-HR"/>
              </w:rPr>
              <w:t>uspostavljen sustav gospodarenja otpadom</w:t>
            </w:r>
          </w:p>
          <w:p w14:paraId="2D30B2D9" w14:textId="77777777" w:rsidR="00991075" w:rsidRPr="006414E6" w:rsidRDefault="00991075" w:rsidP="00FF6CC5">
            <w:pPr>
              <w:pStyle w:val="ListParagraph"/>
              <w:numPr>
                <w:ilvl w:val="0"/>
                <w:numId w:val="11"/>
              </w:numPr>
              <w:spacing w:line="240" w:lineRule="auto"/>
              <w:ind w:left="397" w:hanging="227"/>
              <w:jc w:val="left"/>
              <w:rPr>
                <w:rFonts w:cs="Times New Roman"/>
                <w:lang w:eastAsia="hr-HR"/>
              </w:rPr>
            </w:pPr>
            <w:r w:rsidRPr="006414E6">
              <w:rPr>
                <w:rFonts w:cs="Times New Roman"/>
                <w:lang w:eastAsia="hr-HR"/>
              </w:rPr>
              <w:t>sanirana odlagališta otpada</w:t>
            </w:r>
          </w:p>
          <w:p w14:paraId="404A02C1" w14:textId="77777777" w:rsidR="00991075" w:rsidRPr="006414E6" w:rsidRDefault="00991075" w:rsidP="00FF6CC5">
            <w:pPr>
              <w:pStyle w:val="ListParagraph"/>
              <w:numPr>
                <w:ilvl w:val="0"/>
                <w:numId w:val="11"/>
              </w:numPr>
              <w:spacing w:after="60" w:line="240" w:lineRule="auto"/>
              <w:ind w:left="397" w:hanging="227"/>
              <w:jc w:val="left"/>
              <w:rPr>
                <w:rFonts w:cs="Times New Roman"/>
              </w:rPr>
            </w:pPr>
            <w:r w:rsidRPr="006414E6">
              <w:rPr>
                <w:rFonts w:cs="Times New Roman"/>
                <w:lang w:eastAsia="hr-HR"/>
              </w:rPr>
              <w:t>potpuna oporaba otpada</w:t>
            </w:r>
          </w:p>
        </w:tc>
      </w:tr>
    </w:tbl>
    <w:p w14:paraId="4D1B6B39" w14:textId="50F8960F" w:rsidR="007F3CC9" w:rsidRPr="006414E6" w:rsidRDefault="00AB23ED" w:rsidP="00EE3488">
      <w:pPr>
        <w:pStyle w:val="Heading2"/>
      </w:pPr>
      <w:bookmarkStart w:id="126" w:name="_Toc20841286"/>
      <w:bookmarkStart w:id="127" w:name="_Toc20841392"/>
      <w:bookmarkStart w:id="128" w:name="_Toc39133257"/>
      <w:r w:rsidRPr="006414E6">
        <w:t>1</w:t>
      </w:r>
      <w:r w:rsidR="007F3CC9" w:rsidRPr="006414E6">
        <w:t>.</w:t>
      </w:r>
      <w:r w:rsidRPr="006414E6">
        <w:t>4</w:t>
      </w:r>
      <w:r w:rsidR="007F3CC9" w:rsidRPr="006414E6">
        <w:t>.</w:t>
      </w:r>
      <w:r w:rsidR="007F3CC9" w:rsidRPr="006414E6">
        <w:tab/>
        <w:t>METODOLOŠKI PRISTUP</w:t>
      </w:r>
      <w:bookmarkEnd w:id="126"/>
      <w:bookmarkEnd w:id="127"/>
      <w:bookmarkEnd w:id="128"/>
    </w:p>
    <w:p w14:paraId="3A6AD8DF" w14:textId="77777777" w:rsidR="00C74297" w:rsidRPr="006414E6" w:rsidRDefault="00C74297" w:rsidP="00913F95">
      <w:pPr>
        <w:spacing w:line="240" w:lineRule="auto"/>
        <w:rPr>
          <w:rFonts w:eastAsia="Calibri" w:cs="Times New Roman"/>
        </w:rPr>
      </w:pPr>
      <w:r w:rsidRPr="006414E6">
        <w:rPr>
          <w:rFonts w:eastAsia="Calibri" w:cs="Times New Roman"/>
        </w:rPr>
        <w:t xml:space="preserve">U izradi </w:t>
      </w:r>
      <w:proofErr w:type="spellStart"/>
      <w:r w:rsidRPr="006414E6">
        <w:rPr>
          <w:rFonts w:eastAsia="Calibri" w:cs="Times New Roman"/>
        </w:rPr>
        <w:t>Niskougljične</w:t>
      </w:r>
      <w:proofErr w:type="spellEnd"/>
      <w:r w:rsidRPr="006414E6">
        <w:rPr>
          <w:rFonts w:eastAsia="Calibri" w:cs="Times New Roman"/>
        </w:rPr>
        <w:t xml:space="preserve"> strategije analiziran je niz scenarija, primijenjeni su mnogobrojni modeli za simulacije i optimiranje, a razvijen je i integralni model za nacionalne projekcije stakleničkih plinova </w:t>
      </w:r>
      <w:proofErr w:type="spellStart"/>
      <w:r w:rsidRPr="006414E6">
        <w:rPr>
          <w:rFonts w:eastAsia="Calibri" w:cs="Times New Roman"/>
        </w:rPr>
        <w:t>NUSPCRO</w:t>
      </w:r>
      <w:proofErr w:type="spellEnd"/>
      <w:r w:rsidRPr="006414E6">
        <w:rPr>
          <w:rFonts w:eastAsia="Calibri" w:cs="Times New Roman"/>
        </w:rPr>
        <w:t xml:space="preserve"> (</w:t>
      </w:r>
      <w:proofErr w:type="spellStart"/>
      <w:r w:rsidRPr="006414E6">
        <w:rPr>
          <w:rFonts w:eastAsia="Calibri" w:cs="Times New Roman"/>
        </w:rPr>
        <w:t>Niskougljično</w:t>
      </w:r>
      <w:proofErr w:type="spellEnd"/>
      <w:r w:rsidRPr="006414E6">
        <w:rPr>
          <w:rFonts w:eastAsia="Calibri" w:cs="Times New Roman"/>
        </w:rPr>
        <w:t xml:space="preserve"> strateško planiranje Republike Hrvatske). Dodatna vrijednost je što NUSPCRO omogućava i planiranje scenarija za ostale onečišćujuće tvari, tako se usklađivanje ciljeva po obvezama UNFCCC-a i Konvencije o dalekosežnom  prekograničnom onečišćenju zraka (LRTAP) može provoditi istovremeno. </w:t>
      </w:r>
    </w:p>
    <w:p w14:paraId="3EC93BE1" w14:textId="77777777" w:rsidR="001B1CC1" w:rsidRPr="006414E6" w:rsidRDefault="00C74297" w:rsidP="00F07E15">
      <w:pPr>
        <w:rPr>
          <w:rFonts w:eastAsia="Calibri" w:cs="Times New Roman"/>
        </w:rPr>
      </w:pPr>
      <w:r w:rsidRPr="006414E6">
        <w:rPr>
          <w:rFonts w:eastAsia="Calibri" w:cs="Times New Roman"/>
        </w:rPr>
        <w:t xml:space="preserve">Emisije </w:t>
      </w:r>
      <w:r w:rsidR="006370E5" w:rsidRPr="006414E6">
        <w:rPr>
          <w:rFonts w:eastAsia="Calibri" w:cs="Times New Roman"/>
        </w:rPr>
        <w:t xml:space="preserve">i odlivi </w:t>
      </w:r>
      <w:r w:rsidRPr="006414E6">
        <w:rPr>
          <w:rFonts w:eastAsia="Calibri" w:cs="Times New Roman"/>
        </w:rPr>
        <w:t xml:space="preserve">stakleničkih plinova i projekcije iskazane u ovom dokumentu u skladu </w:t>
      </w:r>
      <w:r w:rsidR="006370E5" w:rsidRPr="006414E6">
        <w:rPr>
          <w:rFonts w:eastAsia="Calibri" w:cs="Times New Roman"/>
        </w:rPr>
        <w:t xml:space="preserve">su </w:t>
      </w:r>
      <w:r w:rsidRPr="006414E6">
        <w:rPr>
          <w:rFonts w:eastAsia="Calibri" w:cs="Times New Roman"/>
        </w:rPr>
        <w:t>s metodologijom iz vodiča Međuvladinog panela za klimatske promjene iz 2006. godine (IPCC 2006) i odgovarajućih faktora stakleničkog potencijala za izračun ekvivalenata emisija CO</w:t>
      </w:r>
      <w:r w:rsidRPr="006414E6">
        <w:rPr>
          <w:rFonts w:eastAsia="Calibri" w:cs="Times New Roman"/>
          <w:vertAlign w:val="subscript"/>
        </w:rPr>
        <w:t>2</w:t>
      </w:r>
      <w:r w:rsidRPr="006414E6">
        <w:rPr>
          <w:rFonts w:eastAsia="Calibri" w:cs="Times New Roman"/>
        </w:rPr>
        <w:t>. U skladu s ovom metodologijom promatra se samo emisija do koje je došlo na teritoriju države te emisija iz goriva koje je ukrcano na teritoriju države kad se radi o prometu. Staklenički potencijal (promatrano u 100 godina) s kojim se izračunava ekvivalentna količina CO</w:t>
      </w:r>
      <w:r w:rsidRPr="006414E6">
        <w:rPr>
          <w:rFonts w:eastAsia="Calibri" w:cs="Times New Roman"/>
          <w:vertAlign w:val="subscript"/>
        </w:rPr>
        <w:t>2</w:t>
      </w:r>
      <w:r w:rsidRPr="006414E6">
        <w:rPr>
          <w:rFonts w:eastAsia="Calibri" w:cs="Times New Roman"/>
        </w:rPr>
        <w:t xml:space="preserve"> za glavne stakleničke plinove je slijedeći: uglji</w:t>
      </w:r>
      <w:r w:rsidR="00C32EC1" w:rsidRPr="006414E6">
        <w:rPr>
          <w:rFonts w:eastAsia="Calibri" w:cs="Times New Roman"/>
        </w:rPr>
        <w:t>kov</w:t>
      </w:r>
      <w:r w:rsidRPr="006414E6">
        <w:rPr>
          <w:rFonts w:eastAsia="Calibri" w:cs="Times New Roman"/>
        </w:rPr>
        <w:t xml:space="preserve"> dioksid CO</w:t>
      </w:r>
      <w:r w:rsidRPr="006414E6">
        <w:rPr>
          <w:rFonts w:eastAsia="Calibri" w:cs="Times New Roman"/>
          <w:vertAlign w:val="subscript"/>
        </w:rPr>
        <w:t>2</w:t>
      </w:r>
      <w:r w:rsidRPr="006414E6">
        <w:rPr>
          <w:rFonts w:eastAsia="Calibri" w:cs="Times New Roman"/>
        </w:rPr>
        <w:t xml:space="preserve"> = 1, </w:t>
      </w:r>
      <w:proofErr w:type="spellStart"/>
      <w:r w:rsidRPr="006414E6">
        <w:rPr>
          <w:rFonts w:eastAsia="Calibri" w:cs="Times New Roman"/>
        </w:rPr>
        <w:t>didušikov</w:t>
      </w:r>
      <w:proofErr w:type="spellEnd"/>
      <w:r w:rsidRPr="006414E6">
        <w:rPr>
          <w:rFonts w:eastAsia="Calibri" w:cs="Times New Roman"/>
        </w:rPr>
        <w:t xml:space="preserve"> oksid N</w:t>
      </w:r>
      <w:r w:rsidRPr="006414E6">
        <w:rPr>
          <w:rFonts w:eastAsia="Calibri" w:cs="Times New Roman"/>
          <w:vertAlign w:val="subscript"/>
        </w:rPr>
        <w:t>2</w:t>
      </w:r>
      <w:r w:rsidRPr="006414E6">
        <w:rPr>
          <w:rFonts w:eastAsia="Calibri" w:cs="Times New Roman"/>
        </w:rPr>
        <w:t>O = 298 i metan CH</w:t>
      </w:r>
      <w:r w:rsidRPr="006414E6">
        <w:rPr>
          <w:rFonts w:eastAsia="Calibri" w:cs="Times New Roman"/>
          <w:vertAlign w:val="subscript"/>
        </w:rPr>
        <w:t>4</w:t>
      </w:r>
      <w:r w:rsidRPr="006414E6">
        <w:rPr>
          <w:rFonts w:eastAsia="Calibri" w:cs="Times New Roman"/>
        </w:rPr>
        <w:t>=25.</w:t>
      </w:r>
    </w:p>
    <w:p w14:paraId="743C876E" w14:textId="77777777" w:rsidR="00D94C95" w:rsidRPr="006414E6" w:rsidRDefault="001241B9" w:rsidP="00EE3488">
      <w:pPr>
        <w:pStyle w:val="Heading1"/>
      </w:pPr>
      <w:bookmarkStart w:id="129" w:name="_Toc20841291"/>
      <w:bookmarkStart w:id="130" w:name="_Toc20841397"/>
      <w:bookmarkStart w:id="131" w:name="_Toc39133258"/>
      <w:r w:rsidRPr="006414E6">
        <w:t>2</w:t>
      </w:r>
      <w:r w:rsidR="000E5653" w:rsidRPr="006414E6">
        <w:t>.</w:t>
      </w:r>
      <w:r w:rsidR="00717FC0" w:rsidRPr="006414E6">
        <w:tab/>
      </w:r>
      <w:r w:rsidR="00D94C95" w:rsidRPr="006414E6">
        <w:t>SITUACIJA U REPUBLICI HRVATSKOJ</w:t>
      </w:r>
      <w:bookmarkEnd w:id="129"/>
      <w:bookmarkEnd w:id="130"/>
      <w:bookmarkEnd w:id="131"/>
    </w:p>
    <w:p w14:paraId="7F0C42E7" w14:textId="77777777" w:rsidR="00255F30" w:rsidRPr="006414E6" w:rsidRDefault="001241B9" w:rsidP="00EE3488">
      <w:pPr>
        <w:pStyle w:val="Heading2"/>
      </w:pPr>
      <w:bookmarkStart w:id="132" w:name="_Toc484158961"/>
      <w:bookmarkStart w:id="133" w:name="_Toc436823689"/>
      <w:bookmarkStart w:id="134" w:name="_Toc20841292"/>
      <w:bookmarkStart w:id="135" w:name="_Toc20841398"/>
      <w:bookmarkStart w:id="136" w:name="_Toc39133259"/>
      <w:r w:rsidRPr="006414E6">
        <w:t>2</w:t>
      </w:r>
      <w:r w:rsidR="00255F30" w:rsidRPr="006414E6">
        <w:t>.1.</w:t>
      </w:r>
      <w:r w:rsidR="00255F30" w:rsidRPr="006414E6">
        <w:tab/>
        <w:t>GOSPODARSKI POKAZATELJI</w:t>
      </w:r>
      <w:bookmarkEnd w:id="132"/>
      <w:bookmarkEnd w:id="133"/>
      <w:bookmarkEnd w:id="134"/>
      <w:bookmarkEnd w:id="135"/>
      <w:bookmarkEnd w:id="136"/>
      <w:r w:rsidR="00255F30" w:rsidRPr="006414E6">
        <w:t xml:space="preserve"> </w:t>
      </w:r>
    </w:p>
    <w:p w14:paraId="155FEF4A" w14:textId="77777777" w:rsidR="00255F30" w:rsidRPr="006414E6" w:rsidRDefault="00255F30" w:rsidP="005616B4">
      <w:pPr>
        <w:rPr>
          <w:rFonts w:cs="Times New Roman"/>
        </w:rPr>
      </w:pPr>
      <w:r w:rsidRPr="005616B4">
        <w:rPr>
          <w:rFonts w:cs="Times New Roman"/>
        </w:rPr>
        <w:t xml:space="preserve">Nakon što je od 2000. do 2008. godine hrvatsko gospodarstvo raslo po prosječnoj godišnjoj stopi od 4,3% koja je </w:t>
      </w:r>
      <w:r w:rsidRPr="006414E6">
        <w:rPr>
          <w:rFonts w:cs="Times New Roman"/>
        </w:rPr>
        <w:t>bila usporediva s rastom novih članica EU, 2009. godine započela je produljena recesija – depresija. Realni BDP se 2014. godine nalazio na 12,4% nižoj razini u odnosu na 2008. godinu. Fizički obujam industrijske proizvodnje smanjen je za 17% od 2008. do 2014. godine, a aktivnost u graditeljstvu zabilježila je još veći pad.</w:t>
      </w:r>
    </w:p>
    <w:p w14:paraId="68133D7F" w14:textId="77777777" w:rsidR="00812110" w:rsidRPr="006414E6" w:rsidRDefault="007453AE" w:rsidP="00812110">
      <w:pPr>
        <w:rPr>
          <w:rFonts w:cs="Times New Roman"/>
        </w:rPr>
      </w:pPr>
      <w:r w:rsidRPr="006414E6">
        <w:rPr>
          <w:rFonts w:cs="Times New Roman"/>
        </w:rPr>
        <w:t>Gospodarski oporavak započeo je 2015. godine. Stopa rasta BDP-a u 2015. godini iznosila je 2,4%, u 2016. godini 3,5%, u 2017. godini 2,9%</w:t>
      </w:r>
      <w:r w:rsidR="00812110" w:rsidRPr="006414E6">
        <w:rPr>
          <w:rFonts w:cs="Times New Roman"/>
        </w:rPr>
        <w:t xml:space="preserve">, a u 2018. godini 2,7%. Tekući pokazatelji gospodarske aktivnosti i očekivani nastavak rasta investicijske aktivnosti javnog, ali i privatnog sektora te potrošnje kućanstava upućuju na to da bi stopa rasta realnog BDP-a u 2019. mogla iznositi </w:t>
      </w:r>
      <w:r w:rsidR="00150411" w:rsidRPr="006414E6">
        <w:rPr>
          <w:rFonts w:cs="Times New Roman"/>
        </w:rPr>
        <w:t xml:space="preserve">oko </w:t>
      </w:r>
      <w:r w:rsidR="00812110" w:rsidRPr="006414E6">
        <w:rPr>
          <w:rFonts w:cs="Times New Roman"/>
        </w:rPr>
        <w:t>2,</w:t>
      </w:r>
      <w:r w:rsidR="00150411" w:rsidRPr="006414E6">
        <w:rPr>
          <w:rFonts w:cs="Times New Roman"/>
        </w:rPr>
        <w:t>8</w:t>
      </w:r>
      <w:r w:rsidR="00812110" w:rsidRPr="006414E6">
        <w:rPr>
          <w:rFonts w:cs="Times New Roman"/>
        </w:rPr>
        <w:t>%.</w:t>
      </w:r>
    </w:p>
    <w:p w14:paraId="223F28BE" w14:textId="77777777" w:rsidR="00255F30" w:rsidRPr="006414E6" w:rsidRDefault="00255F30" w:rsidP="00255F30">
      <w:pPr>
        <w:rPr>
          <w:rFonts w:cs="Times New Roman"/>
          <w:szCs w:val="24"/>
          <w:lang w:eastAsia="ja-JP"/>
        </w:rPr>
      </w:pPr>
      <w:r w:rsidRPr="006414E6">
        <w:rPr>
          <w:rFonts w:cs="Times New Roman"/>
        </w:rPr>
        <w:t xml:space="preserve">Hrvatsko gospodarstvo nalazi se u procesu strukturne transformacije iz ekonomije zavisne o domaćoj potražnji i građevinskim ulaganjima, u međunarodno konkurentno, izvozno orijentirano gospodarstvo, </w:t>
      </w:r>
      <w:r w:rsidRPr="006414E6">
        <w:rPr>
          <w:rFonts w:cs="Times New Roman"/>
        </w:rPr>
        <w:lastRenderedPageBreak/>
        <w:t xml:space="preserve">u čemu turizam, IT i ostale usluge imaju važnu ulogu. Ubrzanju rasta znatno doprinosi i bolje korištenje sredstava </w:t>
      </w:r>
      <w:r w:rsidR="00891E86" w:rsidRPr="006414E6">
        <w:rPr>
          <w:rFonts w:cs="Times New Roman"/>
        </w:rPr>
        <w:t>europskih strukturnih i investicijskih fondova. K</w:t>
      </w:r>
      <w:r w:rsidR="00150585" w:rsidRPr="006414E6">
        <w:rPr>
          <w:rFonts w:cs="Times New Roman"/>
        </w:rPr>
        <w:t xml:space="preserve">rajem 2018. godine </w:t>
      </w:r>
      <w:r w:rsidR="00891E86" w:rsidRPr="006414E6">
        <w:rPr>
          <w:rFonts w:cs="Times New Roman"/>
        </w:rPr>
        <w:t xml:space="preserve">ukupno je </w:t>
      </w:r>
      <w:r w:rsidR="00150585" w:rsidRPr="006414E6">
        <w:rPr>
          <w:rFonts w:cs="Times New Roman"/>
        </w:rPr>
        <w:t xml:space="preserve">isplaćeno 1,76 </w:t>
      </w:r>
      <w:proofErr w:type="spellStart"/>
      <w:r w:rsidR="00150585" w:rsidRPr="006414E6">
        <w:rPr>
          <w:rFonts w:cs="Times New Roman"/>
        </w:rPr>
        <w:t>mlrd</w:t>
      </w:r>
      <w:proofErr w:type="spellEnd"/>
      <w:r w:rsidR="00150585" w:rsidRPr="006414E6">
        <w:rPr>
          <w:rFonts w:cs="Times New Roman"/>
        </w:rPr>
        <w:t>. eura odnosno 16% od ukupne alokacije za sedmogodišnje razdoblje (2014. – 2020.)</w:t>
      </w:r>
      <w:r w:rsidR="00891E86" w:rsidRPr="006414E6">
        <w:rPr>
          <w:rFonts w:cs="Times New Roman"/>
        </w:rPr>
        <w:t xml:space="preserve"> te je zabilježen značaj</w:t>
      </w:r>
      <w:r w:rsidR="004804BB" w:rsidRPr="006414E6">
        <w:rPr>
          <w:rFonts w:cs="Times New Roman"/>
        </w:rPr>
        <w:t>ni</w:t>
      </w:r>
      <w:r w:rsidR="00891E86" w:rsidRPr="006414E6">
        <w:rPr>
          <w:rFonts w:cs="Times New Roman"/>
        </w:rPr>
        <w:t xml:space="preserve"> porast objavljenih natječaja i ugovorenih projekata.</w:t>
      </w:r>
      <w:r w:rsidRPr="006414E6">
        <w:rPr>
          <w:rFonts w:cs="Times New Roman"/>
        </w:rPr>
        <w:t xml:space="preserve"> Očekuje se da će se efikasnost korištenja sredstava </w:t>
      </w:r>
      <w:r w:rsidR="00812110" w:rsidRPr="006414E6">
        <w:rPr>
          <w:rFonts w:cs="Times New Roman"/>
        </w:rPr>
        <w:t xml:space="preserve">EU fondova </w:t>
      </w:r>
      <w:r w:rsidRPr="006414E6">
        <w:rPr>
          <w:rFonts w:cs="Times New Roman"/>
        </w:rPr>
        <w:t xml:space="preserve">u </w:t>
      </w:r>
      <w:r w:rsidR="00891E86" w:rsidRPr="006414E6">
        <w:rPr>
          <w:rFonts w:cs="Times New Roman"/>
        </w:rPr>
        <w:t xml:space="preserve">narednim godinama </w:t>
      </w:r>
      <w:r w:rsidRPr="006414E6">
        <w:rPr>
          <w:rFonts w:cs="Times New Roman"/>
        </w:rPr>
        <w:t>povećati.</w:t>
      </w:r>
    </w:p>
    <w:p w14:paraId="71738767" w14:textId="77777777" w:rsidR="00255F30" w:rsidRPr="006414E6" w:rsidRDefault="00255F30" w:rsidP="00F36F43">
      <w:pPr>
        <w:rPr>
          <w:rFonts w:cs="Times New Roman"/>
        </w:rPr>
      </w:pPr>
      <w:r w:rsidRPr="006414E6">
        <w:rPr>
          <w:rFonts w:cs="Times New Roman"/>
        </w:rPr>
        <w:t xml:space="preserve">Gospodarski rast i fiskalna disciplina na strani rashoda proračuna u toku 2015. i 2016. zaustavili su rast deficita proračuna i javnog duga, čiji su se omjeri u odnosu na BDP počeli smanjivati. Deficit </w:t>
      </w:r>
      <w:r w:rsidR="00812110" w:rsidRPr="006414E6">
        <w:rPr>
          <w:rFonts w:cs="Times New Roman"/>
        </w:rPr>
        <w:t xml:space="preserve">je </w:t>
      </w:r>
      <w:r w:rsidRPr="006414E6">
        <w:rPr>
          <w:rFonts w:cs="Times New Roman"/>
        </w:rPr>
        <w:t xml:space="preserve">i </w:t>
      </w:r>
      <w:r w:rsidR="00150411" w:rsidRPr="006414E6">
        <w:rPr>
          <w:rFonts w:cs="Times New Roman"/>
        </w:rPr>
        <w:t xml:space="preserve">tijekom 2017. i 2018. godine bio ispod </w:t>
      </w:r>
      <w:r w:rsidRPr="006414E6">
        <w:rPr>
          <w:rFonts w:cs="Times New Roman"/>
        </w:rPr>
        <w:t xml:space="preserve">2% BDP-a, a omjer javnog duga u odnosu na BDP </w:t>
      </w:r>
      <w:r w:rsidR="00150411" w:rsidRPr="006414E6">
        <w:rPr>
          <w:rFonts w:cs="Times New Roman"/>
        </w:rPr>
        <w:t>je na kraju 2018. godine iznosio 74,6%. Kreditni rejting Hrvatske je investicijski s pozitivnim izgledima.</w:t>
      </w:r>
    </w:p>
    <w:p w14:paraId="4275CCFA" w14:textId="77777777" w:rsidR="00150411" w:rsidRPr="003D5883" w:rsidRDefault="001241B9" w:rsidP="00EE3488">
      <w:pPr>
        <w:pStyle w:val="Heading2"/>
      </w:pPr>
      <w:bookmarkStart w:id="137" w:name="_Toc20841293"/>
      <w:bookmarkStart w:id="138" w:name="_Toc20841399"/>
      <w:bookmarkStart w:id="139" w:name="_Toc39133260"/>
      <w:r w:rsidRPr="003D5883">
        <w:t>2</w:t>
      </w:r>
      <w:r w:rsidR="00150411" w:rsidRPr="003D5883">
        <w:t>.2.</w:t>
      </w:r>
      <w:r w:rsidR="00150411" w:rsidRPr="003D5883">
        <w:tab/>
        <w:t>SOCIOLOŠKI POKAZATELJI</w:t>
      </w:r>
      <w:bookmarkEnd w:id="137"/>
      <w:bookmarkEnd w:id="138"/>
      <w:bookmarkEnd w:id="139"/>
    </w:p>
    <w:p w14:paraId="4E6C20CF" w14:textId="77777777" w:rsidR="00150411" w:rsidRPr="006414E6" w:rsidRDefault="00150411" w:rsidP="00150411">
      <w:pPr>
        <w:rPr>
          <w:rFonts w:eastAsia="Calibri" w:cs="Times New Roman"/>
        </w:rPr>
      </w:pPr>
      <w:r w:rsidRPr="006414E6">
        <w:rPr>
          <w:rFonts w:eastAsia="Calibri" w:cs="Times New Roman"/>
        </w:rPr>
        <w:t>Prema zadnjem Popisu stanovništva iz 2011. godine</w:t>
      </w:r>
      <w:r w:rsidR="00B36BF5" w:rsidRPr="006414E6">
        <w:rPr>
          <w:rFonts w:eastAsia="Calibri" w:cs="Times New Roman"/>
        </w:rPr>
        <w:t>,</w:t>
      </w:r>
      <w:r w:rsidRPr="006414E6">
        <w:rPr>
          <w:rFonts w:eastAsia="Calibri" w:cs="Times New Roman"/>
        </w:rPr>
        <w:t xml:space="preserve"> broj stanovnika u Republici Hrvatskoj iznosi 4.284.889. Prosječna starost u 2011. godini iznosila je 41,7 godina. </w:t>
      </w:r>
    </w:p>
    <w:p w14:paraId="4250034E" w14:textId="77777777" w:rsidR="00150411" w:rsidRPr="006414E6" w:rsidRDefault="00150411" w:rsidP="00150411">
      <w:pPr>
        <w:rPr>
          <w:rFonts w:eastAsia="Calibri" w:cs="Times New Roman"/>
        </w:rPr>
      </w:pPr>
      <w:r w:rsidRPr="006414E6">
        <w:rPr>
          <w:rFonts w:eastAsia="Calibri" w:cs="Times New Roman"/>
        </w:rPr>
        <w:t>Republika Hrvatska već dugi niz godina bilježi vrlo nepovoljne demografske trendove. Demografsko starenje i depopulacija temeljni su demografski procesi u Republici Hrvatskoj. Hrvatska je jedna od rijetkih europskih država koja već dva desetljeća ima smanjenje broja stanovnika zbog negativnog prirodnog prirasta, a iseljavanje mladih i stručno obrazov</w:t>
      </w:r>
      <w:r w:rsidR="004804BB" w:rsidRPr="006414E6">
        <w:rPr>
          <w:rFonts w:eastAsia="Calibri" w:cs="Times New Roman"/>
        </w:rPr>
        <w:t xml:space="preserve">anih ljudi zbog nezaposlenosti i </w:t>
      </w:r>
      <w:r w:rsidRPr="006414E6">
        <w:rPr>
          <w:rFonts w:eastAsia="Calibri" w:cs="Times New Roman"/>
        </w:rPr>
        <w:t>nezadovoljstva svojim primanjima postaje ozbiljan problem. P</w:t>
      </w:r>
      <w:r w:rsidRPr="006414E6">
        <w:rPr>
          <w:rFonts w:cs="Times New Roman"/>
        </w:rPr>
        <w:t>rocjenjuje se da je sredinom 2017. godine u Republici Hrvatskoj 4.124.531 stanovnika.</w:t>
      </w:r>
    </w:p>
    <w:p w14:paraId="7A182F45" w14:textId="77777777" w:rsidR="00150411" w:rsidRPr="006414E6" w:rsidRDefault="00150411" w:rsidP="00150411">
      <w:pPr>
        <w:rPr>
          <w:rFonts w:cs="Times New Roman"/>
        </w:rPr>
      </w:pPr>
      <w:r w:rsidRPr="006414E6">
        <w:rPr>
          <w:rFonts w:cs="Times New Roman"/>
        </w:rPr>
        <w:t xml:space="preserve">U Republici Hrvatskoj vidljive su velike i rastuće razlike između pojedinih regija i mikro regija Hrvatske. Indeks razvijenosti ukazuje na velike teritorijalne i razvojne razlike. </w:t>
      </w:r>
      <w:r w:rsidRPr="006414E6">
        <w:rPr>
          <w:rFonts w:eastAsia="Calibri" w:cs="Times New Roman"/>
        </w:rPr>
        <w:t>Isto tako, zabrinjavajuća je konstantna depopulacija ruralnog prostora.</w:t>
      </w:r>
    </w:p>
    <w:p w14:paraId="33C99831" w14:textId="77777777" w:rsidR="005F2677" w:rsidRPr="006414E6" w:rsidRDefault="001241B9" w:rsidP="00EE3488">
      <w:pPr>
        <w:pStyle w:val="Heading2"/>
      </w:pPr>
      <w:bookmarkStart w:id="140" w:name="_Toc20841294"/>
      <w:bookmarkStart w:id="141" w:name="_Toc20841400"/>
      <w:bookmarkStart w:id="142" w:name="_Toc39133261"/>
      <w:r w:rsidRPr="006414E6">
        <w:t>2</w:t>
      </w:r>
      <w:r w:rsidR="005F2677" w:rsidRPr="006414E6">
        <w:t>.3.</w:t>
      </w:r>
      <w:r w:rsidR="005F2677" w:rsidRPr="006414E6">
        <w:tab/>
      </w:r>
      <w:r w:rsidR="00083800" w:rsidRPr="006414E6">
        <w:t>EMISIJE</w:t>
      </w:r>
      <w:r w:rsidR="005F2677" w:rsidRPr="006414E6">
        <w:t xml:space="preserve"> STAKLENIČKIH PLINOVA</w:t>
      </w:r>
      <w:bookmarkEnd w:id="140"/>
      <w:bookmarkEnd w:id="141"/>
      <w:bookmarkEnd w:id="142"/>
      <w:r w:rsidR="005F2677" w:rsidRPr="006414E6">
        <w:t xml:space="preserve">   </w:t>
      </w:r>
    </w:p>
    <w:p w14:paraId="5589BE09" w14:textId="77777777" w:rsidR="003C016B" w:rsidRPr="006414E6" w:rsidRDefault="003C016B" w:rsidP="003C016B">
      <w:pPr>
        <w:rPr>
          <w:rFonts w:cs="Times New Roman"/>
        </w:rPr>
      </w:pPr>
      <w:r w:rsidRPr="006414E6">
        <w:rPr>
          <w:rFonts w:cs="Times New Roman"/>
        </w:rPr>
        <w:t xml:space="preserve">Inventar emisija i odliva stakleničkih plinova izrađuje se u skladu sa UNFCCC smjernicama za izvješćivanje o godišnjim inventarima, koje su prihvaćene odlukom 24/CP.19 </w:t>
      </w:r>
      <w:proofErr w:type="spellStart"/>
      <w:r w:rsidRPr="006414E6">
        <w:rPr>
          <w:rFonts w:cs="Times New Roman"/>
        </w:rPr>
        <w:t>COP</w:t>
      </w:r>
      <w:proofErr w:type="spellEnd"/>
      <w:r w:rsidRPr="006414E6">
        <w:rPr>
          <w:rFonts w:cs="Times New Roman"/>
        </w:rPr>
        <w:t>-a (</w:t>
      </w:r>
      <w:proofErr w:type="spellStart"/>
      <w:r w:rsidRPr="006414E6">
        <w:rPr>
          <w:rFonts w:cs="Times New Roman"/>
        </w:rPr>
        <w:t>Conference</w:t>
      </w:r>
      <w:proofErr w:type="spellEnd"/>
      <w:r w:rsidRPr="006414E6">
        <w:rPr>
          <w:rFonts w:cs="Times New Roman"/>
        </w:rPr>
        <w:t xml:space="preserve"> </w:t>
      </w:r>
      <w:proofErr w:type="spellStart"/>
      <w:r w:rsidRPr="006414E6">
        <w:rPr>
          <w:rFonts w:cs="Times New Roman"/>
        </w:rPr>
        <w:t>of</w:t>
      </w:r>
      <w:proofErr w:type="spellEnd"/>
      <w:r w:rsidRPr="006414E6">
        <w:rPr>
          <w:rFonts w:cs="Times New Roman"/>
        </w:rPr>
        <w:t xml:space="preserve"> </w:t>
      </w:r>
      <w:proofErr w:type="spellStart"/>
      <w:r w:rsidRPr="006414E6">
        <w:rPr>
          <w:rFonts w:cs="Times New Roman"/>
        </w:rPr>
        <w:t>Parties</w:t>
      </w:r>
      <w:proofErr w:type="spellEnd"/>
      <w:r w:rsidRPr="006414E6">
        <w:rPr>
          <w:rFonts w:cs="Times New Roman"/>
        </w:rPr>
        <w:t xml:space="preserve">). Pri izradi proračuna emisije stakleničkih plinova koristi se metodologija opisana u 2006 IPCC Vodiču za izradu Nacionalnih inventara emisija stakleničkih plinova. U skladu sa Vodičem izvori emisija i odlivi stakleničkih plinova podijeljeni su u pet glavnih sektora: </w:t>
      </w:r>
      <w:r w:rsidR="00E4595E" w:rsidRPr="006414E6">
        <w:rPr>
          <w:rFonts w:cs="Times New Roman"/>
        </w:rPr>
        <w:t>e</w:t>
      </w:r>
      <w:r w:rsidRPr="006414E6">
        <w:rPr>
          <w:rFonts w:cs="Times New Roman"/>
        </w:rPr>
        <w:t xml:space="preserve">nergetika, </w:t>
      </w:r>
      <w:r w:rsidR="00E4595E" w:rsidRPr="006414E6">
        <w:rPr>
          <w:rFonts w:cs="Times New Roman"/>
        </w:rPr>
        <w:t>i</w:t>
      </w:r>
      <w:r w:rsidRPr="006414E6">
        <w:rPr>
          <w:rFonts w:cs="Times New Roman"/>
        </w:rPr>
        <w:t xml:space="preserve">ndustrijski procesi i uporaba proizvoda, </w:t>
      </w:r>
      <w:r w:rsidR="00E4595E" w:rsidRPr="006414E6">
        <w:rPr>
          <w:rFonts w:cs="Times New Roman"/>
        </w:rPr>
        <w:t>p</w:t>
      </w:r>
      <w:r w:rsidRPr="006414E6">
        <w:rPr>
          <w:rFonts w:cs="Times New Roman"/>
        </w:rPr>
        <w:t xml:space="preserve">oljoprivreda, </w:t>
      </w:r>
      <w:r w:rsidR="00E4595E" w:rsidRPr="006414E6">
        <w:rPr>
          <w:rFonts w:cs="Times New Roman"/>
        </w:rPr>
        <w:t>k</w:t>
      </w:r>
      <w:r w:rsidRPr="006414E6">
        <w:rPr>
          <w:rFonts w:cs="Times New Roman"/>
        </w:rPr>
        <w:t xml:space="preserve">orištenje zemljišta, prenamjena zemljišta i šumarstvo te </w:t>
      </w:r>
      <w:r w:rsidR="00E4595E" w:rsidRPr="006414E6">
        <w:rPr>
          <w:rFonts w:cs="Times New Roman"/>
        </w:rPr>
        <w:t>g</w:t>
      </w:r>
      <w:r w:rsidRPr="006414E6">
        <w:rPr>
          <w:rFonts w:cs="Times New Roman"/>
        </w:rPr>
        <w:t>ospodarenje otpadom.</w:t>
      </w:r>
    </w:p>
    <w:p w14:paraId="29A77CC8" w14:textId="77777777" w:rsidR="003C016B" w:rsidRPr="006414E6" w:rsidRDefault="003C016B" w:rsidP="003C016B">
      <w:pPr>
        <w:rPr>
          <w:rFonts w:cs="Times New Roman"/>
        </w:rPr>
      </w:pPr>
      <w:r w:rsidRPr="006414E6">
        <w:rPr>
          <w:rFonts w:cs="Times New Roman"/>
        </w:rPr>
        <w:t>Proračun obuhvać</w:t>
      </w:r>
      <w:r w:rsidR="00C308B9" w:rsidRPr="006414E6">
        <w:rPr>
          <w:rFonts w:cs="Times New Roman"/>
        </w:rPr>
        <w:t>a</w:t>
      </w:r>
      <w:r w:rsidRPr="006414E6">
        <w:rPr>
          <w:rFonts w:cs="Times New Roman"/>
        </w:rPr>
        <w:t xml:space="preserve"> emisije koje su posljedica ljudskih djelatnosti i </w:t>
      </w:r>
      <w:r w:rsidR="00C308B9" w:rsidRPr="006414E6">
        <w:rPr>
          <w:rFonts w:cs="Times New Roman"/>
        </w:rPr>
        <w:t xml:space="preserve">to </w:t>
      </w:r>
      <w:r w:rsidRPr="006414E6">
        <w:rPr>
          <w:rFonts w:cs="Times New Roman"/>
        </w:rPr>
        <w:t>direktne stakleničke plinove: ugljikov dioksid (CO</w:t>
      </w:r>
      <w:r w:rsidRPr="006414E6">
        <w:rPr>
          <w:rFonts w:cs="Times New Roman"/>
          <w:vertAlign w:val="subscript"/>
        </w:rPr>
        <w:t>2</w:t>
      </w:r>
      <w:r w:rsidRPr="006414E6">
        <w:rPr>
          <w:rFonts w:cs="Times New Roman"/>
        </w:rPr>
        <w:t>), metan (CH</w:t>
      </w:r>
      <w:r w:rsidRPr="006414E6">
        <w:rPr>
          <w:rFonts w:cs="Times New Roman"/>
          <w:vertAlign w:val="subscript"/>
        </w:rPr>
        <w:t>4</w:t>
      </w:r>
      <w:r w:rsidRPr="006414E6">
        <w:rPr>
          <w:rFonts w:cs="Times New Roman"/>
        </w:rPr>
        <w:t xml:space="preserve">), </w:t>
      </w:r>
      <w:proofErr w:type="spellStart"/>
      <w:r w:rsidRPr="006414E6">
        <w:rPr>
          <w:rFonts w:cs="Times New Roman"/>
        </w:rPr>
        <w:t>didušikov</w:t>
      </w:r>
      <w:proofErr w:type="spellEnd"/>
      <w:r w:rsidRPr="006414E6">
        <w:rPr>
          <w:rFonts w:cs="Times New Roman"/>
        </w:rPr>
        <w:t xml:space="preserve"> oksid (N</w:t>
      </w:r>
      <w:r w:rsidRPr="006414E6">
        <w:rPr>
          <w:rFonts w:cs="Times New Roman"/>
          <w:vertAlign w:val="subscript"/>
        </w:rPr>
        <w:t>2</w:t>
      </w:r>
      <w:r w:rsidRPr="006414E6">
        <w:rPr>
          <w:rFonts w:cs="Times New Roman"/>
        </w:rPr>
        <w:t xml:space="preserve">O), </w:t>
      </w:r>
      <w:proofErr w:type="spellStart"/>
      <w:r w:rsidRPr="006414E6">
        <w:rPr>
          <w:rFonts w:cs="Times New Roman"/>
        </w:rPr>
        <w:t>fluorirane</w:t>
      </w:r>
      <w:proofErr w:type="spellEnd"/>
      <w:r w:rsidRPr="006414E6">
        <w:rPr>
          <w:rFonts w:cs="Times New Roman"/>
        </w:rPr>
        <w:t xml:space="preserve"> ugljikovodike (HFC-e i </w:t>
      </w:r>
      <w:proofErr w:type="spellStart"/>
      <w:r w:rsidRPr="006414E6">
        <w:rPr>
          <w:rFonts w:cs="Times New Roman"/>
        </w:rPr>
        <w:t>PFC</w:t>
      </w:r>
      <w:proofErr w:type="spellEnd"/>
      <w:r w:rsidRPr="006414E6">
        <w:rPr>
          <w:rFonts w:cs="Times New Roman"/>
        </w:rPr>
        <w:t xml:space="preserve">-e) i sumporov </w:t>
      </w:r>
      <w:proofErr w:type="spellStart"/>
      <w:r w:rsidRPr="006414E6">
        <w:rPr>
          <w:rFonts w:cs="Times New Roman"/>
        </w:rPr>
        <w:t>heksafluorid</w:t>
      </w:r>
      <w:proofErr w:type="spellEnd"/>
      <w:r w:rsidRPr="006414E6">
        <w:rPr>
          <w:rFonts w:cs="Times New Roman"/>
        </w:rPr>
        <w:t xml:space="preserve"> (SF</w:t>
      </w:r>
      <w:r w:rsidRPr="006414E6">
        <w:rPr>
          <w:rFonts w:cs="Times New Roman"/>
          <w:vertAlign w:val="subscript"/>
        </w:rPr>
        <w:t>6</w:t>
      </w:r>
      <w:r w:rsidRPr="006414E6">
        <w:rPr>
          <w:rFonts w:cs="Times New Roman"/>
        </w:rPr>
        <w:t>) te indirektne stakleničke plinove: ugljikov monoksid (CO), dušikove okside (NO</w:t>
      </w:r>
      <w:r w:rsidRPr="006414E6">
        <w:rPr>
          <w:rFonts w:cs="Times New Roman"/>
          <w:vertAlign w:val="subscript"/>
        </w:rPr>
        <w:t>X</w:t>
      </w:r>
      <w:r w:rsidRPr="006414E6">
        <w:rPr>
          <w:rFonts w:cs="Times New Roman"/>
        </w:rPr>
        <w:t>), ne-metanske hlapive organske spojeve (NMHOS) i sumporov dioksid (SO</w:t>
      </w:r>
      <w:r w:rsidRPr="006414E6">
        <w:rPr>
          <w:rFonts w:cs="Times New Roman"/>
          <w:vertAlign w:val="subscript"/>
        </w:rPr>
        <w:t>2</w:t>
      </w:r>
      <w:r w:rsidRPr="006414E6">
        <w:rPr>
          <w:rFonts w:cs="Times New Roman"/>
        </w:rPr>
        <w:t xml:space="preserve">). </w:t>
      </w:r>
    </w:p>
    <w:p w14:paraId="320C3526" w14:textId="73413CF1" w:rsidR="003C016B" w:rsidRPr="006414E6" w:rsidRDefault="003C016B" w:rsidP="00EE3488">
      <w:pPr>
        <w:pStyle w:val="Heading3"/>
      </w:pPr>
      <w:bookmarkStart w:id="143" w:name="_Toc39133262"/>
      <w:r w:rsidRPr="006414E6">
        <w:t>2.3.1. Trend emisija</w:t>
      </w:r>
      <w:bookmarkEnd w:id="143"/>
    </w:p>
    <w:p w14:paraId="09941AA1" w14:textId="77777777" w:rsidR="00221386" w:rsidRPr="006414E6" w:rsidRDefault="00221386" w:rsidP="00221386">
      <w:pPr>
        <w:rPr>
          <w:rFonts w:cs="Times New Roman"/>
        </w:rPr>
      </w:pPr>
      <w:r w:rsidRPr="006414E6">
        <w:rPr>
          <w:rFonts w:cs="Times New Roman"/>
        </w:rPr>
        <w:t xml:space="preserve">Ukupna emisija stakleničkih plinova, isključujući odlive, u 2018. godini iznosila je 23.792,80 </w:t>
      </w:r>
      <w:proofErr w:type="spellStart"/>
      <w:r w:rsidRPr="006414E6">
        <w:rPr>
          <w:rFonts w:cs="Times New Roman"/>
        </w:rPr>
        <w:t>kt</w:t>
      </w:r>
      <w:proofErr w:type="spellEnd"/>
      <w:r w:rsidRPr="006414E6">
        <w:rPr>
          <w:rFonts w:cs="Times New Roman"/>
        </w:rPr>
        <w:t xml:space="preserve"> CO</w:t>
      </w:r>
      <w:r w:rsidRPr="006414E6">
        <w:rPr>
          <w:rFonts w:cs="Times New Roman"/>
          <w:vertAlign w:val="subscript"/>
        </w:rPr>
        <w:t>2</w:t>
      </w:r>
      <w:r w:rsidRPr="006414E6">
        <w:rPr>
          <w:rFonts w:cs="Times New Roman"/>
        </w:rPr>
        <w:t>e, što predstavlja smanjenje emisija za 25,36% u odnosu na emisiju stakleničkih plinova u 1990. godini. Trend emisija stakleničkih plinova po sektorima, prikazan je na slici 2-1. i tablici 2-1.</w:t>
      </w:r>
    </w:p>
    <w:p w14:paraId="301A1504" w14:textId="50C982E4" w:rsidR="003C016B" w:rsidRPr="006414E6" w:rsidRDefault="003C016B" w:rsidP="002A4772">
      <w:pPr>
        <w:jc w:val="center"/>
        <w:rPr>
          <w:rFonts w:cs="Times New Roman"/>
        </w:rPr>
      </w:pPr>
    </w:p>
    <w:p w14:paraId="1A862F40" w14:textId="0E437679" w:rsidR="004B2CFF" w:rsidRDefault="00C922B3" w:rsidP="003C016B">
      <w:pPr>
        <w:pStyle w:val="Slika"/>
        <w:spacing w:before="120"/>
        <w:jc w:val="center"/>
        <w:rPr>
          <w:rFonts w:ascii="Times New Roman" w:hAnsi="Times New Roman"/>
          <w:i/>
        </w:rPr>
      </w:pPr>
      <w:bookmarkStart w:id="144" w:name="_Toc33417095"/>
      <w:r>
        <w:rPr>
          <w:rFonts w:ascii="Times New Roman" w:hAnsi="Times New Roman"/>
          <w:i/>
          <w:noProof/>
          <w:lang w:eastAsia="hr-HR"/>
        </w:rPr>
        <w:lastRenderedPageBreak/>
        <w:drawing>
          <wp:inline distT="0" distB="0" distL="0" distR="0" wp14:anchorId="4D24AA37" wp14:editId="0F1A817A">
            <wp:extent cx="3761232" cy="246278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jpg"/>
                    <pic:cNvPicPr/>
                  </pic:nvPicPr>
                  <pic:blipFill>
                    <a:blip r:embed="rId13">
                      <a:extLst>
                        <a:ext uri="{28A0092B-C50C-407E-A947-70E740481C1C}">
                          <a14:useLocalDpi xmlns:a14="http://schemas.microsoft.com/office/drawing/2010/main" val="0"/>
                        </a:ext>
                      </a:extLst>
                    </a:blip>
                    <a:stretch>
                      <a:fillRect/>
                    </a:stretch>
                  </pic:blipFill>
                  <pic:spPr>
                    <a:xfrm>
                      <a:off x="0" y="0"/>
                      <a:ext cx="3761232" cy="2462784"/>
                    </a:xfrm>
                    <a:prstGeom prst="rect">
                      <a:avLst/>
                    </a:prstGeom>
                  </pic:spPr>
                </pic:pic>
              </a:graphicData>
            </a:graphic>
          </wp:inline>
        </w:drawing>
      </w:r>
    </w:p>
    <w:p w14:paraId="1FC32A84" w14:textId="0D1FDDA1" w:rsidR="003C016B" w:rsidRPr="006414E6" w:rsidRDefault="003C016B" w:rsidP="003C016B">
      <w:pPr>
        <w:pStyle w:val="Slika"/>
        <w:spacing w:before="120"/>
        <w:jc w:val="center"/>
        <w:rPr>
          <w:rFonts w:ascii="Times New Roman" w:hAnsi="Times New Roman"/>
          <w:i/>
        </w:rPr>
      </w:pPr>
      <w:r w:rsidRPr="006414E6">
        <w:rPr>
          <w:rFonts w:ascii="Times New Roman" w:hAnsi="Times New Roman"/>
          <w:i/>
        </w:rPr>
        <w:t>Slika 2-1: Trend emisija stakleničkih plinova po sektorima</w:t>
      </w:r>
      <w:bookmarkEnd w:id="144"/>
    </w:p>
    <w:p w14:paraId="2475761E" w14:textId="77777777" w:rsidR="008766DB" w:rsidRPr="003D5883" w:rsidRDefault="008766DB" w:rsidP="003D5883">
      <w:pPr>
        <w:pStyle w:val="Tablicanaslov"/>
        <w:spacing w:after="120"/>
        <w:ind w:left="1416" w:hanging="1416"/>
        <w:rPr>
          <w:rFonts w:cs="Times New Roman"/>
          <w:i/>
          <w:sz w:val="24"/>
          <w:szCs w:val="24"/>
        </w:rPr>
      </w:pPr>
      <w:bookmarkStart w:id="145" w:name="_Toc28613854"/>
      <w:r w:rsidRPr="003D5883">
        <w:rPr>
          <w:rFonts w:cs="Times New Roman"/>
          <w:i/>
          <w:sz w:val="24"/>
          <w:szCs w:val="24"/>
        </w:rPr>
        <w:t>Tablica 2-1: Emisije/odlivi stakleničkih plinova po sektorima u razdoblju od 1990. do 2018. godine (</w:t>
      </w:r>
      <w:proofErr w:type="spellStart"/>
      <w:r w:rsidRPr="003D5883">
        <w:rPr>
          <w:rFonts w:cs="Times New Roman"/>
          <w:i/>
          <w:sz w:val="24"/>
          <w:szCs w:val="24"/>
        </w:rPr>
        <w:t>kt</w:t>
      </w:r>
      <w:proofErr w:type="spellEnd"/>
      <w:r w:rsidRPr="003D5883">
        <w:rPr>
          <w:rFonts w:cs="Times New Roman"/>
          <w:i/>
          <w:sz w:val="24"/>
          <w:szCs w:val="24"/>
        </w:rPr>
        <w:t xml:space="preserve"> CO2-eq)</w:t>
      </w:r>
      <w:bookmarkEnd w:id="145"/>
      <w:r w:rsidRPr="003D5883">
        <w:rPr>
          <w:rFonts w:cs="Times New Roman"/>
          <w:i/>
          <w:sz w:val="24"/>
          <w:szCs w:val="24"/>
        </w:rPr>
        <w:t xml:space="preserve"> </w:t>
      </w:r>
    </w:p>
    <w:tbl>
      <w:tblPr>
        <w:tblW w:w="5083" w:type="pct"/>
        <w:tblInd w:w="-150"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left w:w="57" w:type="dxa"/>
          <w:right w:w="57" w:type="dxa"/>
        </w:tblCellMar>
        <w:tblLook w:val="0000" w:firstRow="0" w:lastRow="0" w:firstColumn="0" w:lastColumn="0" w:noHBand="0" w:noVBand="0"/>
      </w:tblPr>
      <w:tblGrid>
        <w:gridCol w:w="1785"/>
        <w:gridCol w:w="1061"/>
        <w:gridCol w:w="1058"/>
        <w:gridCol w:w="1058"/>
        <w:gridCol w:w="1058"/>
        <w:gridCol w:w="1058"/>
        <w:gridCol w:w="1058"/>
        <w:gridCol w:w="1068"/>
      </w:tblGrid>
      <w:tr w:rsidR="008766DB" w:rsidRPr="006414E6" w14:paraId="2D4B94FB" w14:textId="77777777" w:rsidTr="00177077">
        <w:trPr>
          <w:cantSplit/>
          <w:trHeight w:val="312"/>
        </w:trPr>
        <w:tc>
          <w:tcPr>
            <w:tcW w:w="969" w:type="pct"/>
            <w:vMerge w:val="restart"/>
            <w:tcBorders>
              <w:left w:val="single" w:sz="6" w:space="0" w:color="4F81BD"/>
              <w:bottom w:val="single" w:sz="6" w:space="0" w:color="FFFFFF"/>
              <w:right w:val="single" w:sz="6" w:space="0" w:color="FFFFFF"/>
            </w:tcBorders>
            <w:shd w:val="clear" w:color="auto" w:fill="4F81BD"/>
            <w:vAlign w:val="center"/>
          </w:tcPr>
          <w:p w14:paraId="494125CE" w14:textId="77777777" w:rsidR="008766DB" w:rsidRPr="006414E6" w:rsidRDefault="008766DB" w:rsidP="001A4CE7">
            <w:pPr>
              <w:keepNext/>
              <w:spacing w:line="240" w:lineRule="auto"/>
              <w:jc w:val="left"/>
              <w:rPr>
                <w:rFonts w:eastAsia="Times New Roman" w:cs="Times New Roman"/>
                <w:b/>
                <w:i/>
                <w:snapToGrid w:val="0"/>
                <w:color w:val="FFFFFF"/>
                <w:sz w:val="20"/>
                <w:lang w:eastAsia="hr-HR"/>
              </w:rPr>
            </w:pPr>
            <w:r w:rsidRPr="006414E6">
              <w:rPr>
                <w:rFonts w:eastAsia="MS Mincho" w:cs="Times New Roman"/>
                <w:b/>
                <w:color w:val="FFFFFF"/>
                <w:sz w:val="20"/>
                <w:lang w:eastAsia="hr-HR"/>
              </w:rPr>
              <w:t>Izvor emisije /odliva stakleničkih plinova</w:t>
            </w:r>
          </w:p>
        </w:tc>
        <w:tc>
          <w:tcPr>
            <w:tcW w:w="4031" w:type="pct"/>
            <w:gridSpan w:val="7"/>
            <w:tcBorders>
              <w:left w:val="single" w:sz="6" w:space="0" w:color="FFFFFF"/>
              <w:bottom w:val="single" w:sz="6" w:space="0" w:color="FFFFFF"/>
            </w:tcBorders>
            <w:shd w:val="clear" w:color="auto" w:fill="4F81BD"/>
            <w:vAlign w:val="center"/>
          </w:tcPr>
          <w:p w14:paraId="63541F8F" w14:textId="77777777" w:rsidR="008766DB" w:rsidRPr="006414E6" w:rsidRDefault="008766DB" w:rsidP="001A4CE7">
            <w:pPr>
              <w:keepNext/>
              <w:spacing w:line="276" w:lineRule="auto"/>
              <w:jc w:val="center"/>
              <w:rPr>
                <w:rFonts w:eastAsia="Times New Roman" w:cs="Times New Roman"/>
                <w:b/>
                <w:snapToGrid w:val="0"/>
                <w:color w:val="FFFFFF"/>
                <w:sz w:val="20"/>
                <w:lang w:eastAsia="hr-HR"/>
              </w:rPr>
            </w:pPr>
            <w:r w:rsidRPr="006414E6">
              <w:rPr>
                <w:rFonts w:eastAsia="Times New Roman" w:cs="Times New Roman"/>
                <w:b/>
                <w:snapToGrid w:val="0"/>
                <w:color w:val="FFFFFF"/>
                <w:sz w:val="20"/>
                <w:lang w:eastAsia="hr-HR"/>
              </w:rPr>
              <w:t>Emisije / odlivi stakleničkih plinova (</w:t>
            </w:r>
            <w:proofErr w:type="spellStart"/>
            <w:r w:rsidRPr="006414E6">
              <w:rPr>
                <w:rFonts w:eastAsia="Times New Roman" w:cs="Times New Roman"/>
                <w:b/>
                <w:snapToGrid w:val="0"/>
                <w:color w:val="FFFFFF"/>
                <w:sz w:val="20"/>
                <w:lang w:eastAsia="hr-HR"/>
              </w:rPr>
              <w:t>kt</w:t>
            </w:r>
            <w:proofErr w:type="spellEnd"/>
            <w:r w:rsidRPr="006414E6">
              <w:rPr>
                <w:rFonts w:eastAsia="Times New Roman" w:cs="Times New Roman"/>
                <w:b/>
                <w:snapToGrid w:val="0"/>
                <w:color w:val="FFFFFF"/>
                <w:sz w:val="20"/>
                <w:lang w:eastAsia="hr-HR"/>
              </w:rPr>
              <w:t xml:space="preserve"> CO</w:t>
            </w:r>
            <w:r w:rsidRPr="006414E6">
              <w:rPr>
                <w:rFonts w:eastAsia="Times New Roman" w:cs="Times New Roman"/>
                <w:b/>
                <w:snapToGrid w:val="0"/>
                <w:color w:val="FFFFFF"/>
                <w:sz w:val="20"/>
                <w:vertAlign w:val="subscript"/>
                <w:lang w:eastAsia="hr-HR"/>
              </w:rPr>
              <w:t>2</w:t>
            </w:r>
            <w:r w:rsidRPr="006414E6">
              <w:rPr>
                <w:rFonts w:eastAsia="Times New Roman" w:cs="Times New Roman"/>
                <w:b/>
                <w:snapToGrid w:val="0"/>
                <w:color w:val="FFFFFF"/>
                <w:sz w:val="20"/>
                <w:lang w:eastAsia="hr-HR"/>
              </w:rPr>
              <w:t>-eq)</w:t>
            </w:r>
          </w:p>
        </w:tc>
      </w:tr>
      <w:tr w:rsidR="008766DB" w:rsidRPr="006414E6" w14:paraId="3B5BA9F7" w14:textId="77777777" w:rsidTr="00177077">
        <w:trPr>
          <w:cantSplit/>
          <w:trHeight w:val="358"/>
        </w:trPr>
        <w:tc>
          <w:tcPr>
            <w:tcW w:w="969" w:type="pct"/>
            <w:vMerge/>
            <w:tcBorders>
              <w:top w:val="single" w:sz="6" w:space="0" w:color="FFFFFF"/>
              <w:left w:val="single" w:sz="6" w:space="0" w:color="4F81BD"/>
              <w:right w:val="single" w:sz="6" w:space="0" w:color="FFFFFF"/>
            </w:tcBorders>
            <w:shd w:val="clear" w:color="auto" w:fill="4F81BD"/>
            <w:vAlign w:val="center"/>
          </w:tcPr>
          <w:p w14:paraId="479F2777" w14:textId="77777777" w:rsidR="008766DB" w:rsidRPr="006414E6" w:rsidRDefault="008766DB" w:rsidP="00F7227C">
            <w:pPr>
              <w:spacing w:line="240" w:lineRule="auto"/>
              <w:rPr>
                <w:rFonts w:eastAsia="Times New Roman" w:cs="Times New Roman"/>
                <w:b/>
                <w:i/>
                <w:snapToGrid w:val="0"/>
                <w:color w:val="FFFFFF"/>
                <w:sz w:val="20"/>
                <w:lang w:eastAsia="hr-HR"/>
              </w:rPr>
            </w:pPr>
          </w:p>
        </w:tc>
        <w:tc>
          <w:tcPr>
            <w:tcW w:w="576" w:type="pct"/>
            <w:tcBorders>
              <w:top w:val="single" w:sz="6" w:space="0" w:color="FFFFFF"/>
              <w:left w:val="single" w:sz="6" w:space="0" w:color="FFFFFF"/>
              <w:bottom w:val="nil"/>
              <w:right w:val="single" w:sz="6" w:space="0" w:color="FFFFFF"/>
            </w:tcBorders>
            <w:shd w:val="clear" w:color="auto" w:fill="4F81BD"/>
          </w:tcPr>
          <w:p w14:paraId="3FB9E89B" w14:textId="77777777" w:rsidR="008766DB" w:rsidRPr="006414E6" w:rsidRDefault="008766DB" w:rsidP="00F7227C">
            <w:pPr>
              <w:spacing w:line="276" w:lineRule="auto"/>
              <w:jc w:val="center"/>
              <w:rPr>
                <w:rFonts w:eastAsia="Times New Roman" w:cs="Times New Roman"/>
                <w:b/>
                <w:snapToGrid w:val="0"/>
                <w:color w:val="FFFFFF" w:themeColor="background1"/>
                <w:sz w:val="20"/>
                <w:lang w:eastAsia="hr-HR"/>
              </w:rPr>
            </w:pPr>
            <w:r w:rsidRPr="006414E6">
              <w:rPr>
                <w:rFonts w:cs="Times New Roman"/>
                <w:b/>
                <w:color w:val="FFFFFF" w:themeColor="background1"/>
                <w:sz w:val="20"/>
              </w:rPr>
              <w:t>1990.</w:t>
            </w:r>
          </w:p>
        </w:tc>
        <w:tc>
          <w:tcPr>
            <w:tcW w:w="575" w:type="pct"/>
            <w:tcBorders>
              <w:top w:val="single" w:sz="6" w:space="0" w:color="FFFFFF"/>
              <w:left w:val="single" w:sz="6" w:space="0" w:color="FFFFFF"/>
              <w:bottom w:val="nil"/>
              <w:right w:val="single" w:sz="6" w:space="0" w:color="FFFFFF"/>
            </w:tcBorders>
            <w:shd w:val="clear" w:color="auto" w:fill="4F81BD"/>
          </w:tcPr>
          <w:p w14:paraId="5A1D5D1F" w14:textId="77777777" w:rsidR="008766DB" w:rsidRPr="006414E6" w:rsidRDefault="008766DB" w:rsidP="00F7227C">
            <w:pPr>
              <w:spacing w:line="276" w:lineRule="auto"/>
              <w:jc w:val="center"/>
              <w:rPr>
                <w:rFonts w:eastAsia="Times New Roman" w:cs="Times New Roman"/>
                <w:b/>
                <w:snapToGrid w:val="0"/>
                <w:color w:val="FFFFFF" w:themeColor="background1"/>
                <w:sz w:val="20"/>
                <w:lang w:eastAsia="hr-HR"/>
              </w:rPr>
            </w:pPr>
            <w:r w:rsidRPr="006414E6">
              <w:rPr>
                <w:rFonts w:cs="Times New Roman"/>
                <w:b/>
                <w:color w:val="FFFFFF" w:themeColor="background1"/>
                <w:sz w:val="20"/>
              </w:rPr>
              <w:t>2000.</w:t>
            </w:r>
          </w:p>
        </w:tc>
        <w:tc>
          <w:tcPr>
            <w:tcW w:w="575" w:type="pct"/>
            <w:tcBorders>
              <w:top w:val="single" w:sz="6" w:space="0" w:color="FFFFFF"/>
              <w:left w:val="single" w:sz="6" w:space="0" w:color="FFFFFF"/>
              <w:bottom w:val="nil"/>
              <w:right w:val="single" w:sz="6" w:space="0" w:color="FFFFFF"/>
            </w:tcBorders>
            <w:shd w:val="clear" w:color="auto" w:fill="4F81BD"/>
          </w:tcPr>
          <w:p w14:paraId="338A4DCC" w14:textId="77777777" w:rsidR="008766DB" w:rsidRPr="006414E6" w:rsidRDefault="008766DB" w:rsidP="00F7227C">
            <w:pPr>
              <w:spacing w:line="276" w:lineRule="auto"/>
              <w:jc w:val="center"/>
              <w:rPr>
                <w:rFonts w:eastAsia="Times New Roman" w:cs="Times New Roman"/>
                <w:b/>
                <w:snapToGrid w:val="0"/>
                <w:color w:val="FFFFFF" w:themeColor="background1"/>
                <w:sz w:val="20"/>
                <w:lang w:eastAsia="hr-HR"/>
              </w:rPr>
            </w:pPr>
            <w:r w:rsidRPr="006414E6">
              <w:rPr>
                <w:rFonts w:cs="Times New Roman"/>
                <w:b/>
                <w:color w:val="FFFFFF" w:themeColor="background1"/>
                <w:sz w:val="20"/>
              </w:rPr>
              <w:t>2010.</w:t>
            </w:r>
          </w:p>
        </w:tc>
        <w:tc>
          <w:tcPr>
            <w:tcW w:w="575" w:type="pct"/>
            <w:tcBorders>
              <w:top w:val="single" w:sz="6" w:space="0" w:color="FFFFFF"/>
              <w:left w:val="single" w:sz="6" w:space="0" w:color="FFFFFF"/>
              <w:bottom w:val="nil"/>
              <w:right w:val="single" w:sz="6" w:space="0" w:color="FFFFFF"/>
            </w:tcBorders>
            <w:shd w:val="clear" w:color="auto" w:fill="4F81BD"/>
          </w:tcPr>
          <w:p w14:paraId="5BD75549" w14:textId="77777777" w:rsidR="008766DB" w:rsidRPr="006414E6" w:rsidRDefault="008766DB" w:rsidP="00F7227C">
            <w:pPr>
              <w:spacing w:line="276" w:lineRule="auto"/>
              <w:jc w:val="center"/>
              <w:rPr>
                <w:rFonts w:eastAsia="Times New Roman" w:cs="Times New Roman"/>
                <w:b/>
                <w:snapToGrid w:val="0"/>
                <w:color w:val="FFFFFF" w:themeColor="background1"/>
                <w:sz w:val="20"/>
                <w:lang w:eastAsia="hr-HR"/>
              </w:rPr>
            </w:pPr>
            <w:r w:rsidRPr="006414E6">
              <w:rPr>
                <w:rFonts w:cs="Times New Roman"/>
                <w:b/>
                <w:color w:val="FFFFFF" w:themeColor="background1"/>
                <w:sz w:val="20"/>
              </w:rPr>
              <w:t>2015.</w:t>
            </w:r>
          </w:p>
        </w:tc>
        <w:tc>
          <w:tcPr>
            <w:tcW w:w="575" w:type="pct"/>
            <w:tcBorders>
              <w:top w:val="single" w:sz="6" w:space="0" w:color="FFFFFF"/>
              <w:left w:val="single" w:sz="6" w:space="0" w:color="FFFFFF"/>
              <w:bottom w:val="nil"/>
              <w:right w:val="single" w:sz="6" w:space="0" w:color="FFFFFF"/>
            </w:tcBorders>
            <w:shd w:val="clear" w:color="auto" w:fill="4F81BD"/>
          </w:tcPr>
          <w:p w14:paraId="6EEFCAFA" w14:textId="77777777" w:rsidR="008766DB" w:rsidRPr="006414E6" w:rsidRDefault="008766DB" w:rsidP="00F7227C">
            <w:pPr>
              <w:spacing w:line="276" w:lineRule="auto"/>
              <w:jc w:val="center"/>
              <w:rPr>
                <w:rFonts w:eastAsia="Times New Roman" w:cs="Times New Roman"/>
                <w:b/>
                <w:snapToGrid w:val="0"/>
                <w:color w:val="FFFFFF" w:themeColor="background1"/>
                <w:sz w:val="20"/>
                <w:lang w:eastAsia="hr-HR"/>
              </w:rPr>
            </w:pPr>
            <w:r w:rsidRPr="006414E6">
              <w:rPr>
                <w:rFonts w:cs="Times New Roman"/>
                <w:b/>
                <w:color w:val="FFFFFF" w:themeColor="background1"/>
                <w:sz w:val="20"/>
              </w:rPr>
              <w:t>2016.</w:t>
            </w:r>
          </w:p>
        </w:tc>
        <w:tc>
          <w:tcPr>
            <w:tcW w:w="575" w:type="pct"/>
            <w:tcBorders>
              <w:top w:val="single" w:sz="6" w:space="0" w:color="FFFFFF"/>
              <w:left w:val="single" w:sz="6" w:space="0" w:color="FFFFFF"/>
              <w:bottom w:val="nil"/>
              <w:right w:val="single" w:sz="4" w:space="0" w:color="FFFFFF"/>
            </w:tcBorders>
            <w:shd w:val="clear" w:color="auto" w:fill="4F81BD"/>
          </w:tcPr>
          <w:p w14:paraId="004AC386" w14:textId="77777777" w:rsidR="008766DB" w:rsidRPr="006414E6" w:rsidRDefault="008766DB" w:rsidP="00F7227C">
            <w:pPr>
              <w:spacing w:line="276" w:lineRule="auto"/>
              <w:jc w:val="center"/>
              <w:rPr>
                <w:rFonts w:eastAsia="Times New Roman" w:cs="Times New Roman"/>
                <w:b/>
                <w:snapToGrid w:val="0"/>
                <w:color w:val="FFFFFF" w:themeColor="background1"/>
                <w:sz w:val="20"/>
                <w:lang w:eastAsia="hr-HR"/>
              </w:rPr>
            </w:pPr>
            <w:r w:rsidRPr="006414E6">
              <w:rPr>
                <w:rFonts w:cs="Times New Roman"/>
                <w:b/>
                <w:color w:val="FFFFFF" w:themeColor="background1"/>
                <w:sz w:val="20"/>
              </w:rPr>
              <w:t>2017.</w:t>
            </w:r>
          </w:p>
        </w:tc>
        <w:tc>
          <w:tcPr>
            <w:tcW w:w="579" w:type="pct"/>
            <w:tcBorders>
              <w:top w:val="single" w:sz="6" w:space="0" w:color="FFFFFF"/>
              <w:left w:val="single" w:sz="4" w:space="0" w:color="FFFFFF"/>
              <w:bottom w:val="nil"/>
            </w:tcBorders>
            <w:shd w:val="clear" w:color="auto" w:fill="4F81BD"/>
          </w:tcPr>
          <w:p w14:paraId="4F3B91F8" w14:textId="77777777" w:rsidR="008766DB" w:rsidRPr="006414E6" w:rsidRDefault="008766DB" w:rsidP="00F7227C">
            <w:pPr>
              <w:spacing w:line="276" w:lineRule="auto"/>
              <w:jc w:val="center"/>
              <w:rPr>
                <w:rFonts w:eastAsia="Times New Roman" w:cs="Times New Roman"/>
                <w:b/>
                <w:snapToGrid w:val="0"/>
                <w:color w:val="FFFFFF" w:themeColor="background1"/>
                <w:sz w:val="20"/>
                <w:lang w:eastAsia="hr-HR"/>
              </w:rPr>
            </w:pPr>
            <w:r w:rsidRPr="006414E6">
              <w:rPr>
                <w:rFonts w:cs="Times New Roman"/>
                <w:b/>
                <w:color w:val="FFFFFF" w:themeColor="background1"/>
                <w:sz w:val="20"/>
              </w:rPr>
              <w:t>2018.</w:t>
            </w:r>
          </w:p>
        </w:tc>
      </w:tr>
      <w:tr w:rsidR="008766DB" w:rsidRPr="006414E6" w14:paraId="5E4C9237" w14:textId="77777777" w:rsidTr="00177077">
        <w:trPr>
          <w:cantSplit/>
          <w:trHeight w:val="312"/>
        </w:trPr>
        <w:tc>
          <w:tcPr>
            <w:tcW w:w="969" w:type="pct"/>
            <w:tcBorders>
              <w:left w:val="single" w:sz="6" w:space="0" w:color="4F81BD"/>
            </w:tcBorders>
          </w:tcPr>
          <w:p w14:paraId="46944CE9" w14:textId="77777777" w:rsidR="008766DB" w:rsidRPr="006414E6" w:rsidRDefault="008766DB" w:rsidP="00F7227C">
            <w:pPr>
              <w:spacing w:line="240" w:lineRule="auto"/>
              <w:jc w:val="left"/>
              <w:rPr>
                <w:rFonts w:eastAsia="Times New Roman" w:cs="Times New Roman"/>
                <w:sz w:val="20"/>
                <w:lang w:eastAsia="hr-HR"/>
              </w:rPr>
            </w:pPr>
            <w:r w:rsidRPr="006414E6">
              <w:rPr>
                <w:rFonts w:eastAsia="Times New Roman" w:cs="Times New Roman"/>
                <w:sz w:val="20"/>
                <w:lang w:eastAsia="hr-HR"/>
              </w:rPr>
              <w:t>Energetika (uključujući promet)</w:t>
            </w:r>
          </w:p>
        </w:tc>
        <w:tc>
          <w:tcPr>
            <w:tcW w:w="576" w:type="pct"/>
            <w:tcBorders>
              <w:top w:val="nil"/>
            </w:tcBorders>
          </w:tcPr>
          <w:p w14:paraId="42575ADD"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21.731,3</w:t>
            </w:r>
          </w:p>
        </w:tc>
        <w:tc>
          <w:tcPr>
            <w:tcW w:w="575" w:type="pct"/>
            <w:tcBorders>
              <w:top w:val="nil"/>
            </w:tcBorders>
          </w:tcPr>
          <w:p w14:paraId="2C45B06B"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18.194,8</w:t>
            </w:r>
          </w:p>
        </w:tc>
        <w:tc>
          <w:tcPr>
            <w:tcW w:w="575" w:type="pct"/>
            <w:tcBorders>
              <w:top w:val="nil"/>
            </w:tcBorders>
          </w:tcPr>
          <w:p w14:paraId="088DD470"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19.749,5</w:t>
            </w:r>
          </w:p>
        </w:tc>
        <w:tc>
          <w:tcPr>
            <w:tcW w:w="575" w:type="pct"/>
            <w:tcBorders>
              <w:top w:val="nil"/>
            </w:tcBorders>
          </w:tcPr>
          <w:p w14:paraId="441B7ED1"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16.625,2</w:t>
            </w:r>
          </w:p>
        </w:tc>
        <w:tc>
          <w:tcPr>
            <w:tcW w:w="575" w:type="pct"/>
            <w:tcBorders>
              <w:top w:val="nil"/>
            </w:tcBorders>
            <w:shd w:val="clear" w:color="auto" w:fill="auto"/>
          </w:tcPr>
          <w:p w14:paraId="6DDCDF41"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17.009,5</w:t>
            </w:r>
          </w:p>
        </w:tc>
        <w:tc>
          <w:tcPr>
            <w:tcW w:w="575" w:type="pct"/>
            <w:tcBorders>
              <w:top w:val="nil"/>
              <w:right w:val="single" w:sz="4" w:space="0" w:color="4F81BD"/>
            </w:tcBorders>
            <w:shd w:val="clear" w:color="auto" w:fill="auto"/>
          </w:tcPr>
          <w:p w14:paraId="4D6DBDD1"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17.388,1</w:t>
            </w:r>
          </w:p>
        </w:tc>
        <w:tc>
          <w:tcPr>
            <w:tcW w:w="579" w:type="pct"/>
            <w:tcBorders>
              <w:top w:val="nil"/>
              <w:left w:val="single" w:sz="4" w:space="0" w:color="4F81BD"/>
            </w:tcBorders>
            <w:shd w:val="clear" w:color="auto" w:fill="auto"/>
          </w:tcPr>
          <w:p w14:paraId="0617E8D9"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16.443,0</w:t>
            </w:r>
          </w:p>
        </w:tc>
      </w:tr>
      <w:tr w:rsidR="008766DB" w:rsidRPr="006414E6" w14:paraId="02C2779D" w14:textId="77777777" w:rsidTr="00177077">
        <w:trPr>
          <w:cantSplit/>
          <w:trHeight w:val="312"/>
        </w:trPr>
        <w:tc>
          <w:tcPr>
            <w:tcW w:w="969" w:type="pct"/>
            <w:tcBorders>
              <w:left w:val="single" w:sz="6" w:space="0" w:color="4F81BD"/>
            </w:tcBorders>
          </w:tcPr>
          <w:p w14:paraId="3A922976" w14:textId="77777777" w:rsidR="008766DB" w:rsidRPr="006414E6" w:rsidRDefault="008766DB" w:rsidP="00F7227C">
            <w:pPr>
              <w:spacing w:line="240" w:lineRule="auto"/>
              <w:jc w:val="left"/>
              <w:rPr>
                <w:rFonts w:eastAsia="Times New Roman" w:cs="Times New Roman"/>
                <w:sz w:val="20"/>
                <w:lang w:eastAsia="hr-HR"/>
              </w:rPr>
            </w:pPr>
            <w:r w:rsidRPr="006414E6">
              <w:rPr>
                <w:rFonts w:eastAsia="Times New Roman" w:cs="Times New Roman"/>
                <w:sz w:val="20"/>
                <w:lang w:eastAsia="hr-HR"/>
              </w:rPr>
              <w:t>Industrijski procesi i uporaba proizvoda</w:t>
            </w:r>
          </w:p>
        </w:tc>
        <w:tc>
          <w:tcPr>
            <w:tcW w:w="576" w:type="pct"/>
          </w:tcPr>
          <w:p w14:paraId="144D79C6"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4.669,7</w:t>
            </w:r>
          </w:p>
        </w:tc>
        <w:tc>
          <w:tcPr>
            <w:tcW w:w="575" w:type="pct"/>
          </w:tcPr>
          <w:p w14:paraId="7B45559A"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3.132,3</w:t>
            </w:r>
          </w:p>
        </w:tc>
        <w:tc>
          <w:tcPr>
            <w:tcW w:w="575" w:type="pct"/>
          </w:tcPr>
          <w:p w14:paraId="2DF1E963"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3.317,1</w:t>
            </w:r>
          </w:p>
        </w:tc>
        <w:tc>
          <w:tcPr>
            <w:tcW w:w="575" w:type="pct"/>
          </w:tcPr>
          <w:p w14:paraId="349338EE"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2.823,2</w:t>
            </w:r>
          </w:p>
        </w:tc>
        <w:tc>
          <w:tcPr>
            <w:tcW w:w="575" w:type="pct"/>
            <w:shd w:val="clear" w:color="auto" w:fill="auto"/>
          </w:tcPr>
          <w:p w14:paraId="0EFBE49F"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2.489,0</w:t>
            </w:r>
          </w:p>
        </w:tc>
        <w:tc>
          <w:tcPr>
            <w:tcW w:w="575" w:type="pct"/>
            <w:tcBorders>
              <w:right w:val="single" w:sz="4" w:space="0" w:color="4F81BD"/>
            </w:tcBorders>
            <w:shd w:val="clear" w:color="auto" w:fill="auto"/>
          </w:tcPr>
          <w:p w14:paraId="707E5949"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2.738,0</w:t>
            </w:r>
          </w:p>
        </w:tc>
        <w:tc>
          <w:tcPr>
            <w:tcW w:w="579" w:type="pct"/>
            <w:tcBorders>
              <w:left w:val="single" w:sz="4" w:space="0" w:color="4F81BD"/>
            </w:tcBorders>
            <w:shd w:val="clear" w:color="auto" w:fill="auto"/>
          </w:tcPr>
          <w:p w14:paraId="3A344832"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2.590,9</w:t>
            </w:r>
          </w:p>
        </w:tc>
      </w:tr>
      <w:tr w:rsidR="008766DB" w:rsidRPr="006414E6" w14:paraId="33DD1613" w14:textId="77777777" w:rsidTr="00177077">
        <w:trPr>
          <w:cantSplit/>
          <w:trHeight w:val="312"/>
        </w:trPr>
        <w:tc>
          <w:tcPr>
            <w:tcW w:w="969" w:type="pct"/>
            <w:tcBorders>
              <w:left w:val="single" w:sz="6" w:space="0" w:color="4F81BD"/>
            </w:tcBorders>
          </w:tcPr>
          <w:p w14:paraId="79738684" w14:textId="77777777" w:rsidR="008766DB" w:rsidRPr="006414E6" w:rsidRDefault="008766DB" w:rsidP="00F7227C">
            <w:pPr>
              <w:spacing w:line="240" w:lineRule="auto"/>
              <w:jc w:val="left"/>
              <w:rPr>
                <w:rFonts w:eastAsia="Times New Roman" w:cs="Times New Roman"/>
                <w:sz w:val="20"/>
                <w:lang w:eastAsia="hr-HR"/>
              </w:rPr>
            </w:pPr>
            <w:r w:rsidRPr="006414E6">
              <w:rPr>
                <w:rFonts w:eastAsia="Times New Roman" w:cs="Times New Roman"/>
                <w:sz w:val="20"/>
                <w:lang w:eastAsia="hr-HR"/>
              </w:rPr>
              <w:t>Poljoprivreda</w:t>
            </w:r>
          </w:p>
        </w:tc>
        <w:tc>
          <w:tcPr>
            <w:tcW w:w="576" w:type="pct"/>
          </w:tcPr>
          <w:p w14:paraId="5FFC76E8"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4.423,5</w:t>
            </w:r>
          </w:p>
        </w:tc>
        <w:tc>
          <w:tcPr>
            <w:tcW w:w="575" w:type="pct"/>
          </w:tcPr>
          <w:p w14:paraId="736A83E9"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3.042,4</w:t>
            </w:r>
          </w:p>
        </w:tc>
        <w:tc>
          <w:tcPr>
            <w:tcW w:w="575" w:type="pct"/>
          </w:tcPr>
          <w:p w14:paraId="5853757C"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3.056,3</w:t>
            </w:r>
          </w:p>
        </w:tc>
        <w:tc>
          <w:tcPr>
            <w:tcW w:w="575" w:type="pct"/>
          </w:tcPr>
          <w:p w14:paraId="14CEE8FF"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2.722,3</w:t>
            </w:r>
          </w:p>
        </w:tc>
        <w:tc>
          <w:tcPr>
            <w:tcW w:w="575" w:type="pct"/>
            <w:shd w:val="clear" w:color="auto" w:fill="auto"/>
          </w:tcPr>
          <w:p w14:paraId="60CD3508"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2.678,8</w:t>
            </w:r>
          </w:p>
        </w:tc>
        <w:tc>
          <w:tcPr>
            <w:tcW w:w="575" w:type="pct"/>
            <w:tcBorders>
              <w:right w:val="single" w:sz="4" w:space="0" w:color="4F81BD"/>
            </w:tcBorders>
            <w:shd w:val="clear" w:color="auto" w:fill="auto"/>
          </w:tcPr>
          <w:p w14:paraId="3B786F2A"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2.805,1</w:t>
            </w:r>
          </w:p>
        </w:tc>
        <w:tc>
          <w:tcPr>
            <w:tcW w:w="579" w:type="pct"/>
            <w:tcBorders>
              <w:left w:val="single" w:sz="4" w:space="0" w:color="4F81BD"/>
            </w:tcBorders>
            <w:shd w:val="clear" w:color="auto" w:fill="auto"/>
          </w:tcPr>
          <w:p w14:paraId="164D7062"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2.720,37</w:t>
            </w:r>
          </w:p>
        </w:tc>
      </w:tr>
      <w:tr w:rsidR="008766DB" w:rsidRPr="006414E6" w14:paraId="73987874" w14:textId="77777777" w:rsidTr="00177077">
        <w:trPr>
          <w:cantSplit/>
          <w:trHeight w:val="312"/>
        </w:trPr>
        <w:tc>
          <w:tcPr>
            <w:tcW w:w="969" w:type="pct"/>
            <w:tcBorders>
              <w:left w:val="single" w:sz="6" w:space="0" w:color="4F81BD"/>
              <w:bottom w:val="single" w:sz="6" w:space="0" w:color="4F81BD"/>
            </w:tcBorders>
          </w:tcPr>
          <w:p w14:paraId="43A4B2C4" w14:textId="77777777" w:rsidR="008766DB" w:rsidRPr="006414E6" w:rsidRDefault="008766DB" w:rsidP="00F7227C">
            <w:pPr>
              <w:spacing w:line="240" w:lineRule="auto"/>
              <w:jc w:val="left"/>
              <w:rPr>
                <w:rFonts w:eastAsia="Times New Roman" w:cs="Times New Roman"/>
                <w:sz w:val="20"/>
                <w:lang w:eastAsia="hr-HR"/>
              </w:rPr>
            </w:pPr>
            <w:r w:rsidRPr="006414E6">
              <w:rPr>
                <w:rFonts w:eastAsia="Times New Roman" w:cs="Times New Roman"/>
                <w:sz w:val="20"/>
                <w:lang w:eastAsia="hr-HR"/>
              </w:rPr>
              <w:t>LULUCF</w:t>
            </w:r>
          </w:p>
        </w:tc>
        <w:tc>
          <w:tcPr>
            <w:tcW w:w="576" w:type="pct"/>
            <w:tcBorders>
              <w:bottom w:val="single" w:sz="6" w:space="0" w:color="4F81BD"/>
            </w:tcBorders>
          </w:tcPr>
          <w:p w14:paraId="206AD735"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-6.421,4</w:t>
            </w:r>
          </w:p>
        </w:tc>
        <w:tc>
          <w:tcPr>
            <w:tcW w:w="575" w:type="pct"/>
            <w:tcBorders>
              <w:bottom w:val="single" w:sz="6" w:space="0" w:color="4F81BD"/>
            </w:tcBorders>
          </w:tcPr>
          <w:p w14:paraId="3DCEC31A"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-6.950,4</w:t>
            </w:r>
          </w:p>
        </w:tc>
        <w:tc>
          <w:tcPr>
            <w:tcW w:w="575" w:type="pct"/>
            <w:tcBorders>
              <w:bottom w:val="single" w:sz="6" w:space="0" w:color="4F81BD"/>
            </w:tcBorders>
          </w:tcPr>
          <w:p w14:paraId="401F94C9"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-6.926,0</w:t>
            </w:r>
          </w:p>
        </w:tc>
        <w:tc>
          <w:tcPr>
            <w:tcW w:w="575" w:type="pct"/>
            <w:tcBorders>
              <w:bottom w:val="single" w:sz="6" w:space="0" w:color="4F81BD"/>
            </w:tcBorders>
          </w:tcPr>
          <w:p w14:paraId="169BC2C8"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-5.122,1</w:t>
            </w:r>
          </w:p>
        </w:tc>
        <w:tc>
          <w:tcPr>
            <w:tcW w:w="575" w:type="pct"/>
            <w:tcBorders>
              <w:bottom w:val="single" w:sz="6" w:space="0" w:color="4F81BD"/>
            </w:tcBorders>
            <w:shd w:val="clear" w:color="auto" w:fill="auto"/>
          </w:tcPr>
          <w:p w14:paraId="708C2B60"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-5.179,07</w:t>
            </w:r>
          </w:p>
        </w:tc>
        <w:tc>
          <w:tcPr>
            <w:tcW w:w="575" w:type="pct"/>
            <w:tcBorders>
              <w:bottom w:val="single" w:sz="6" w:space="0" w:color="4F81BD"/>
              <w:right w:val="single" w:sz="4" w:space="0" w:color="4F81BD"/>
            </w:tcBorders>
            <w:shd w:val="clear" w:color="auto" w:fill="auto"/>
          </w:tcPr>
          <w:p w14:paraId="4C68EEF8"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-4.489,6</w:t>
            </w:r>
          </w:p>
        </w:tc>
        <w:tc>
          <w:tcPr>
            <w:tcW w:w="579" w:type="pct"/>
            <w:tcBorders>
              <w:left w:val="single" w:sz="4" w:space="0" w:color="4F81BD"/>
              <w:bottom w:val="single" w:sz="6" w:space="0" w:color="4F81BD"/>
            </w:tcBorders>
            <w:shd w:val="clear" w:color="auto" w:fill="auto"/>
          </w:tcPr>
          <w:p w14:paraId="70A48BEA"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-5.094,2</w:t>
            </w:r>
          </w:p>
        </w:tc>
      </w:tr>
      <w:tr w:rsidR="008766DB" w:rsidRPr="006414E6" w14:paraId="314CEC3A" w14:textId="77777777" w:rsidTr="00177077">
        <w:trPr>
          <w:cantSplit/>
          <w:trHeight w:val="312"/>
        </w:trPr>
        <w:tc>
          <w:tcPr>
            <w:tcW w:w="969" w:type="pct"/>
            <w:tcBorders>
              <w:left w:val="single" w:sz="6" w:space="0" w:color="4F81BD"/>
              <w:bottom w:val="single" w:sz="6" w:space="0" w:color="4F81BD"/>
            </w:tcBorders>
          </w:tcPr>
          <w:p w14:paraId="3B520270" w14:textId="77777777" w:rsidR="008766DB" w:rsidRPr="006414E6" w:rsidRDefault="008766DB" w:rsidP="00F7227C">
            <w:pPr>
              <w:spacing w:line="240" w:lineRule="auto"/>
              <w:jc w:val="left"/>
              <w:rPr>
                <w:rFonts w:eastAsia="Times New Roman" w:cs="Times New Roman"/>
                <w:sz w:val="20"/>
                <w:lang w:eastAsia="hr-HR"/>
              </w:rPr>
            </w:pPr>
            <w:r w:rsidRPr="006414E6">
              <w:rPr>
                <w:rFonts w:eastAsia="Times New Roman" w:cs="Times New Roman"/>
                <w:sz w:val="20"/>
                <w:lang w:eastAsia="hr-HR"/>
              </w:rPr>
              <w:t>Otpad</w:t>
            </w:r>
          </w:p>
        </w:tc>
        <w:tc>
          <w:tcPr>
            <w:tcW w:w="576" w:type="pct"/>
            <w:tcBorders>
              <w:bottom w:val="single" w:sz="6" w:space="0" w:color="4F81BD"/>
            </w:tcBorders>
          </w:tcPr>
          <w:p w14:paraId="543445BF"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1.051,4</w:t>
            </w:r>
          </w:p>
        </w:tc>
        <w:tc>
          <w:tcPr>
            <w:tcW w:w="575" w:type="pct"/>
            <w:tcBorders>
              <w:bottom w:val="single" w:sz="6" w:space="0" w:color="4F81BD"/>
            </w:tcBorders>
          </w:tcPr>
          <w:p w14:paraId="7464A007"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1.339,4</w:t>
            </w:r>
          </w:p>
        </w:tc>
        <w:tc>
          <w:tcPr>
            <w:tcW w:w="575" w:type="pct"/>
            <w:tcBorders>
              <w:bottom w:val="single" w:sz="6" w:space="0" w:color="4F81BD"/>
            </w:tcBorders>
          </w:tcPr>
          <w:p w14:paraId="535C1F1C"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1.910,9</w:t>
            </w:r>
          </w:p>
        </w:tc>
        <w:tc>
          <w:tcPr>
            <w:tcW w:w="575" w:type="pct"/>
            <w:tcBorders>
              <w:bottom w:val="single" w:sz="6" w:space="0" w:color="4F81BD"/>
            </w:tcBorders>
          </w:tcPr>
          <w:p w14:paraId="102244AD"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1.954,6</w:t>
            </w:r>
          </w:p>
        </w:tc>
        <w:tc>
          <w:tcPr>
            <w:tcW w:w="575" w:type="pct"/>
            <w:tcBorders>
              <w:bottom w:val="single" w:sz="6" w:space="0" w:color="4F81BD"/>
            </w:tcBorders>
            <w:shd w:val="clear" w:color="auto" w:fill="auto"/>
          </w:tcPr>
          <w:p w14:paraId="0DB1499D"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2.098,1</w:t>
            </w:r>
          </w:p>
        </w:tc>
        <w:tc>
          <w:tcPr>
            <w:tcW w:w="575" w:type="pct"/>
            <w:tcBorders>
              <w:bottom w:val="single" w:sz="6" w:space="0" w:color="4F81BD"/>
              <w:right w:val="single" w:sz="4" w:space="0" w:color="4F81BD"/>
            </w:tcBorders>
            <w:shd w:val="clear" w:color="auto" w:fill="auto"/>
          </w:tcPr>
          <w:p w14:paraId="6561B851"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2.100,9</w:t>
            </w:r>
          </w:p>
        </w:tc>
        <w:tc>
          <w:tcPr>
            <w:tcW w:w="579" w:type="pct"/>
            <w:tcBorders>
              <w:left w:val="single" w:sz="4" w:space="0" w:color="4F81BD"/>
              <w:bottom w:val="single" w:sz="6" w:space="0" w:color="4F81BD"/>
            </w:tcBorders>
            <w:shd w:val="clear" w:color="auto" w:fill="auto"/>
          </w:tcPr>
          <w:p w14:paraId="70E8E2AD"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2.038,6</w:t>
            </w:r>
          </w:p>
        </w:tc>
      </w:tr>
      <w:tr w:rsidR="008766DB" w:rsidRPr="006414E6" w14:paraId="6C36719F" w14:textId="77777777" w:rsidTr="00177077">
        <w:trPr>
          <w:cantSplit/>
          <w:trHeight w:val="312"/>
        </w:trPr>
        <w:tc>
          <w:tcPr>
            <w:tcW w:w="969" w:type="pct"/>
            <w:tcBorders>
              <w:left w:val="single" w:sz="6" w:space="0" w:color="4F81BD"/>
              <w:bottom w:val="single" w:sz="6" w:space="0" w:color="4F81BD"/>
            </w:tcBorders>
          </w:tcPr>
          <w:p w14:paraId="6F0F3DC4" w14:textId="77777777" w:rsidR="008766DB" w:rsidRPr="006414E6" w:rsidRDefault="008766DB" w:rsidP="00F7227C">
            <w:pPr>
              <w:spacing w:line="240" w:lineRule="auto"/>
              <w:jc w:val="left"/>
              <w:rPr>
                <w:rFonts w:eastAsia="Times New Roman" w:cs="Times New Roman"/>
                <w:sz w:val="20"/>
                <w:lang w:eastAsia="hr-HR"/>
              </w:rPr>
            </w:pPr>
            <w:r w:rsidRPr="006414E6">
              <w:rPr>
                <w:rFonts w:eastAsia="Times New Roman" w:cs="Times New Roman"/>
                <w:sz w:val="20"/>
                <w:lang w:eastAsia="hr-HR"/>
              </w:rPr>
              <w:t>Ostalo</w:t>
            </w:r>
          </w:p>
        </w:tc>
        <w:tc>
          <w:tcPr>
            <w:tcW w:w="576" w:type="pct"/>
            <w:tcBorders>
              <w:bottom w:val="single" w:sz="6" w:space="0" w:color="4F81BD"/>
            </w:tcBorders>
          </w:tcPr>
          <w:p w14:paraId="36C17A18"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NE</w:t>
            </w:r>
          </w:p>
        </w:tc>
        <w:tc>
          <w:tcPr>
            <w:tcW w:w="575" w:type="pct"/>
            <w:tcBorders>
              <w:bottom w:val="single" w:sz="6" w:space="0" w:color="4F81BD"/>
            </w:tcBorders>
          </w:tcPr>
          <w:p w14:paraId="3775C828"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NE</w:t>
            </w:r>
          </w:p>
        </w:tc>
        <w:tc>
          <w:tcPr>
            <w:tcW w:w="575" w:type="pct"/>
            <w:tcBorders>
              <w:bottom w:val="single" w:sz="6" w:space="0" w:color="4F81BD"/>
            </w:tcBorders>
          </w:tcPr>
          <w:p w14:paraId="3C8C6D6A"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NE</w:t>
            </w:r>
          </w:p>
        </w:tc>
        <w:tc>
          <w:tcPr>
            <w:tcW w:w="575" w:type="pct"/>
            <w:tcBorders>
              <w:bottom w:val="single" w:sz="6" w:space="0" w:color="4F81BD"/>
            </w:tcBorders>
          </w:tcPr>
          <w:p w14:paraId="724E4EE6"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NE</w:t>
            </w:r>
          </w:p>
        </w:tc>
        <w:tc>
          <w:tcPr>
            <w:tcW w:w="575" w:type="pct"/>
            <w:tcBorders>
              <w:bottom w:val="single" w:sz="6" w:space="0" w:color="4F81BD"/>
            </w:tcBorders>
            <w:shd w:val="clear" w:color="auto" w:fill="auto"/>
          </w:tcPr>
          <w:p w14:paraId="4135D420"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NE</w:t>
            </w:r>
          </w:p>
        </w:tc>
        <w:tc>
          <w:tcPr>
            <w:tcW w:w="575" w:type="pct"/>
            <w:tcBorders>
              <w:bottom w:val="single" w:sz="6" w:space="0" w:color="4F81BD"/>
              <w:right w:val="single" w:sz="4" w:space="0" w:color="4F81BD"/>
            </w:tcBorders>
            <w:shd w:val="clear" w:color="auto" w:fill="auto"/>
          </w:tcPr>
          <w:p w14:paraId="4917B228"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NE</w:t>
            </w:r>
          </w:p>
        </w:tc>
        <w:tc>
          <w:tcPr>
            <w:tcW w:w="579" w:type="pct"/>
            <w:tcBorders>
              <w:left w:val="single" w:sz="4" w:space="0" w:color="4F81BD"/>
              <w:bottom w:val="single" w:sz="6" w:space="0" w:color="4F81BD"/>
            </w:tcBorders>
            <w:shd w:val="clear" w:color="auto" w:fill="auto"/>
          </w:tcPr>
          <w:p w14:paraId="2D1A7CE7" w14:textId="77777777" w:rsidR="008766DB" w:rsidRPr="006414E6" w:rsidRDefault="008766DB" w:rsidP="00F7227C">
            <w:pPr>
              <w:spacing w:line="360" w:lineRule="auto"/>
              <w:jc w:val="right"/>
              <w:rPr>
                <w:rFonts w:eastAsia="Times New Roman" w:cs="Times New Roman"/>
                <w:sz w:val="20"/>
                <w:lang w:eastAsia="hr-HR"/>
              </w:rPr>
            </w:pPr>
            <w:r w:rsidRPr="006414E6">
              <w:rPr>
                <w:rFonts w:eastAsia="Times New Roman" w:cs="Times New Roman"/>
                <w:sz w:val="20"/>
                <w:lang w:eastAsia="hr-HR"/>
              </w:rPr>
              <w:t>NE</w:t>
            </w:r>
          </w:p>
        </w:tc>
      </w:tr>
      <w:tr w:rsidR="008766DB" w:rsidRPr="006414E6" w14:paraId="251B4F82" w14:textId="77777777" w:rsidTr="00177077">
        <w:trPr>
          <w:cantSplit/>
          <w:trHeight w:val="312"/>
        </w:trPr>
        <w:tc>
          <w:tcPr>
            <w:tcW w:w="969" w:type="pct"/>
            <w:tcBorders>
              <w:left w:val="single" w:sz="6" w:space="0" w:color="4F81BD"/>
            </w:tcBorders>
            <w:shd w:val="clear" w:color="auto" w:fill="DBE5F1"/>
          </w:tcPr>
          <w:p w14:paraId="7FB1DA71" w14:textId="77777777" w:rsidR="008766DB" w:rsidRPr="006414E6" w:rsidRDefault="008766DB" w:rsidP="00F7227C">
            <w:pPr>
              <w:spacing w:line="240" w:lineRule="auto"/>
              <w:jc w:val="left"/>
              <w:rPr>
                <w:rFonts w:eastAsia="Times New Roman" w:cs="Times New Roman"/>
                <w:b/>
                <w:sz w:val="20"/>
                <w:lang w:eastAsia="hr-HR"/>
              </w:rPr>
            </w:pPr>
            <w:r w:rsidRPr="006414E6">
              <w:rPr>
                <w:rFonts w:eastAsia="Times New Roman" w:cs="Times New Roman"/>
                <w:b/>
                <w:sz w:val="20"/>
                <w:lang w:eastAsia="hr-HR"/>
              </w:rPr>
              <w:t>Ukupna emisija (uključujući neto CO</w:t>
            </w:r>
            <w:r w:rsidRPr="006414E6">
              <w:rPr>
                <w:rFonts w:eastAsia="Times New Roman" w:cs="Times New Roman"/>
                <w:b/>
                <w:sz w:val="20"/>
                <w:vertAlign w:val="subscript"/>
                <w:lang w:eastAsia="hr-HR"/>
              </w:rPr>
              <w:t>2</w:t>
            </w:r>
            <w:r w:rsidRPr="006414E6">
              <w:rPr>
                <w:rFonts w:eastAsia="Times New Roman" w:cs="Times New Roman"/>
                <w:b/>
                <w:sz w:val="20"/>
                <w:lang w:eastAsia="hr-HR"/>
              </w:rPr>
              <w:t xml:space="preserve"> iz LULUCF)</w:t>
            </w:r>
          </w:p>
        </w:tc>
        <w:tc>
          <w:tcPr>
            <w:tcW w:w="576" w:type="pct"/>
            <w:shd w:val="clear" w:color="auto" w:fill="DBE5F1"/>
            <w:vAlign w:val="center"/>
          </w:tcPr>
          <w:p w14:paraId="651620A7"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25.454,4</w:t>
            </w:r>
          </w:p>
        </w:tc>
        <w:tc>
          <w:tcPr>
            <w:tcW w:w="575" w:type="pct"/>
            <w:shd w:val="clear" w:color="auto" w:fill="DBE5F1"/>
            <w:vAlign w:val="center"/>
          </w:tcPr>
          <w:p w14:paraId="1CEF8D66"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18.758,5</w:t>
            </w:r>
          </w:p>
        </w:tc>
        <w:tc>
          <w:tcPr>
            <w:tcW w:w="575" w:type="pct"/>
            <w:shd w:val="clear" w:color="auto" w:fill="DBE5F1"/>
            <w:vAlign w:val="center"/>
          </w:tcPr>
          <w:p w14:paraId="2D1036A8"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21.107,7</w:t>
            </w:r>
          </w:p>
        </w:tc>
        <w:tc>
          <w:tcPr>
            <w:tcW w:w="575" w:type="pct"/>
            <w:shd w:val="clear" w:color="auto" w:fill="DBE5F1"/>
            <w:vAlign w:val="center"/>
          </w:tcPr>
          <w:p w14:paraId="620D9223"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19.003,2</w:t>
            </w:r>
          </w:p>
        </w:tc>
        <w:tc>
          <w:tcPr>
            <w:tcW w:w="575" w:type="pct"/>
            <w:shd w:val="clear" w:color="auto" w:fill="DBE5F1"/>
            <w:vAlign w:val="center"/>
          </w:tcPr>
          <w:p w14:paraId="3DAC3104"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19.095,6</w:t>
            </w:r>
          </w:p>
        </w:tc>
        <w:tc>
          <w:tcPr>
            <w:tcW w:w="575" w:type="pct"/>
            <w:tcBorders>
              <w:right w:val="single" w:sz="4" w:space="0" w:color="4F81BD"/>
            </w:tcBorders>
            <w:shd w:val="clear" w:color="auto" w:fill="DBE5F1"/>
            <w:vAlign w:val="center"/>
          </w:tcPr>
          <w:p w14:paraId="11E13A4D"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20.542,5</w:t>
            </w:r>
          </w:p>
        </w:tc>
        <w:tc>
          <w:tcPr>
            <w:tcW w:w="579" w:type="pct"/>
            <w:tcBorders>
              <w:left w:val="single" w:sz="4" w:space="0" w:color="4F81BD"/>
            </w:tcBorders>
            <w:shd w:val="clear" w:color="auto" w:fill="DBE5F1"/>
            <w:vAlign w:val="center"/>
          </w:tcPr>
          <w:p w14:paraId="08865945"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18.698,6</w:t>
            </w:r>
          </w:p>
        </w:tc>
      </w:tr>
      <w:tr w:rsidR="008766DB" w:rsidRPr="006414E6" w14:paraId="611FF2FD" w14:textId="77777777" w:rsidTr="00177077">
        <w:trPr>
          <w:cantSplit/>
          <w:trHeight w:val="312"/>
        </w:trPr>
        <w:tc>
          <w:tcPr>
            <w:tcW w:w="969" w:type="pct"/>
            <w:tcBorders>
              <w:left w:val="single" w:sz="6" w:space="0" w:color="4F81BD"/>
            </w:tcBorders>
            <w:shd w:val="clear" w:color="auto" w:fill="DBE5F1"/>
          </w:tcPr>
          <w:p w14:paraId="23C604D9" w14:textId="77777777" w:rsidR="008766DB" w:rsidRPr="006414E6" w:rsidRDefault="008766DB" w:rsidP="00AE2341">
            <w:pPr>
              <w:spacing w:line="240" w:lineRule="auto"/>
              <w:jc w:val="left"/>
              <w:rPr>
                <w:rFonts w:eastAsia="Times New Roman" w:cs="Times New Roman"/>
                <w:b/>
                <w:sz w:val="20"/>
                <w:lang w:eastAsia="hr-HR"/>
              </w:rPr>
            </w:pPr>
            <w:r w:rsidRPr="006414E6">
              <w:rPr>
                <w:rFonts w:eastAsia="Times New Roman" w:cs="Times New Roman"/>
                <w:b/>
                <w:sz w:val="20"/>
                <w:lang w:eastAsia="hr-HR"/>
              </w:rPr>
              <w:t>Ukupna emisija (</w:t>
            </w:r>
            <w:r w:rsidR="00AE2341" w:rsidRPr="006414E6">
              <w:rPr>
                <w:rFonts w:eastAsia="Times New Roman" w:cs="Times New Roman"/>
                <w:b/>
                <w:sz w:val="20"/>
                <w:lang w:eastAsia="hr-HR"/>
              </w:rPr>
              <w:t>isk</w:t>
            </w:r>
            <w:r w:rsidRPr="006414E6">
              <w:rPr>
                <w:rFonts w:eastAsia="Times New Roman" w:cs="Times New Roman"/>
                <w:b/>
                <w:sz w:val="20"/>
                <w:lang w:eastAsia="hr-HR"/>
              </w:rPr>
              <w:t>ljučujući neto CO</w:t>
            </w:r>
            <w:r w:rsidRPr="006414E6">
              <w:rPr>
                <w:rFonts w:eastAsia="Times New Roman" w:cs="Times New Roman"/>
                <w:b/>
                <w:sz w:val="20"/>
                <w:vertAlign w:val="subscript"/>
                <w:lang w:eastAsia="hr-HR"/>
              </w:rPr>
              <w:t>2</w:t>
            </w:r>
            <w:r w:rsidRPr="006414E6">
              <w:rPr>
                <w:rFonts w:eastAsia="Times New Roman" w:cs="Times New Roman"/>
                <w:b/>
                <w:sz w:val="20"/>
                <w:lang w:eastAsia="hr-HR"/>
              </w:rPr>
              <w:t xml:space="preserve"> iz LULUCF)</w:t>
            </w:r>
          </w:p>
        </w:tc>
        <w:tc>
          <w:tcPr>
            <w:tcW w:w="576" w:type="pct"/>
            <w:shd w:val="clear" w:color="auto" w:fill="DBE5F1"/>
            <w:vAlign w:val="center"/>
          </w:tcPr>
          <w:p w14:paraId="7EB4AB68"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31.875,82</w:t>
            </w:r>
          </w:p>
        </w:tc>
        <w:tc>
          <w:tcPr>
            <w:tcW w:w="575" w:type="pct"/>
            <w:shd w:val="clear" w:color="auto" w:fill="DBE5F1"/>
            <w:vAlign w:val="center"/>
          </w:tcPr>
          <w:p w14:paraId="7420A5EC"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25.708,8</w:t>
            </w:r>
          </w:p>
        </w:tc>
        <w:tc>
          <w:tcPr>
            <w:tcW w:w="575" w:type="pct"/>
            <w:shd w:val="clear" w:color="auto" w:fill="DBE5F1"/>
            <w:vAlign w:val="center"/>
          </w:tcPr>
          <w:p w14:paraId="238A335D"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28.033,7</w:t>
            </w:r>
          </w:p>
        </w:tc>
        <w:tc>
          <w:tcPr>
            <w:tcW w:w="575" w:type="pct"/>
            <w:shd w:val="clear" w:color="auto" w:fill="DBE5F1"/>
            <w:vAlign w:val="center"/>
          </w:tcPr>
          <w:p w14:paraId="07E14E88"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24.125,3</w:t>
            </w:r>
          </w:p>
        </w:tc>
        <w:tc>
          <w:tcPr>
            <w:tcW w:w="575" w:type="pct"/>
            <w:shd w:val="clear" w:color="auto" w:fill="DBE5F1"/>
            <w:vAlign w:val="center"/>
          </w:tcPr>
          <w:p w14:paraId="698E5F6A"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24.275,3</w:t>
            </w:r>
          </w:p>
        </w:tc>
        <w:tc>
          <w:tcPr>
            <w:tcW w:w="575" w:type="pct"/>
            <w:tcBorders>
              <w:right w:val="single" w:sz="4" w:space="0" w:color="4F81BD"/>
            </w:tcBorders>
            <w:shd w:val="clear" w:color="auto" w:fill="DBE5F1"/>
            <w:vAlign w:val="center"/>
          </w:tcPr>
          <w:p w14:paraId="15EF6590"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25.032,1</w:t>
            </w:r>
          </w:p>
        </w:tc>
        <w:tc>
          <w:tcPr>
            <w:tcW w:w="579" w:type="pct"/>
            <w:tcBorders>
              <w:left w:val="single" w:sz="4" w:space="0" w:color="4F81BD"/>
            </w:tcBorders>
            <w:shd w:val="clear" w:color="auto" w:fill="DBE5F1"/>
            <w:vAlign w:val="center"/>
          </w:tcPr>
          <w:p w14:paraId="1C18090D" w14:textId="77777777" w:rsidR="008766DB" w:rsidRPr="006414E6" w:rsidRDefault="008766DB" w:rsidP="00F7227C">
            <w:pPr>
              <w:spacing w:line="360" w:lineRule="auto"/>
              <w:jc w:val="right"/>
              <w:rPr>
                <w:rFonts w:eastAsia="Times New Roman" w:cs="Times New Roman"/>
                <w:b/>
                <w:sz w:val="20"/>
                <w:lang w:eastAsia="hr-HR"/>
              </w:rPr>
            </w:pPr>
            <w:r w:rsidRPr="006414E6">
              <w:rPr>
                <w:rFonts w:eastAsia="Times New Roman" w:cs="Times New Roman"/>
                <w:b/>
                <w:sz w:val="20"/>
                <w:lang w:eastAsia="hr-HR"/>
              </w:rPr>
              <w:t>23.792,8</w:t>
            </w:r>
          </w:p>
        </w:tc>
      </w:tr>
    </w:tbl>
    <w:p w14:paraId="6F30E38B" w14:textId="5E2F850D" w:rsidR="00F7227C" w:rsidRPr="006414E6" w:rsidRDefault="00F7227C" w:rsidP="00F7227C">
      <w:pPr>
        <w:spacing w:line="240" w:lineRule="auto"/>
        <w:rPr>
          <w:rFonts w:eastAsia="Times New Roman" w:cs="Times New Roman"/>
          <w:szCs w:val="24"/>
          <w:lang w:eastAsia="hr-HR"/>
        </w:rPr>
      </w:pPr>
      <w:r w:rsidRPr="006414E6">
        <w:rPr>
          <w:rFonts w:eastAsia="Times New Roman" w:cs="Times New Roman"/>
          <w:szCs w:val="24"/>
          <w:lang w:eastAsia="hr-HR"/>
        </w:rPr>
        <w:t xml:space="preserve">Najveći doprinos emisiji stakleničkih plinova u 2018. godini, </w:t>
      </w:r>
      <w:r w:rsidR="00AE2341" w:rsidRPr="006414E6">
        <w:rPr>
          <w:rFonts w:eastAsia="Times New Roman" w:cs="Times New Roman"/>
          <w:szCs w:val="24"/>
          <w:lang w:eastAsia="hr-HR"/>
        </w:rPr>
        <w:t>isk</w:t>
      </w:r>
      <w:r w:rsidRPr="006414E6">
        <w:rPr>
          <w:rFonts w:eastAsia="Times New Roman" w:cs="Times New Roman"/>
          <w:szCs w:val="24"/>
          <w:lang w:eastAsia="hr-HR"/>
        </w:rPr>
        <w:t xml:space="preserve">ljučujući </w:t>
      </w:r>
      <w:r w:rsidR="00AE2341" w:rsidRPr="006414E6">
        <w:rPr>
          <w:rFonts w:eastAsia="Times New Roman" w:cs="Times New Roman"/>
          <w:szCs w:val="24"/>
          <w:lang w:eastAsia="hr-HR"/>
        </w:rPr>
        <w:t>odlive</w:t>
      </w:r>
      <w:r w:rsidRPr="006414E6">
        <w:rPr>
          <w:rFonts w:eastAsia="Times New Roman" w:cs="Times New Roman"/>
          <w:szCs w:val="24"/>
          <w:lang w:eastAsia="hr-HR"/>
        </w:rPr>
        <w:t xml:space="preserve">, imao je sektor energetika s 69,3%, slijedi </w:t>
      </w:r>
      <w:r w:rsidR="00AE2341" w:rsidRPr="006414E6">
        <w:rPr>
          <w:rFonts w:eastAsia="Times New Roman" w:cs="Times New Roman"/>
          <w:szCs w:val="24"/>
          <w:lang w:eastAsia="hr-HR"/>
        </w:rPr>
        <w:t xml:space="preserve">sektor </w:t>
      </w:r>
      <w:r w:rsidRPr="006414E6">
        <w:rPr>
          <w:rFonts w:eastAsia="Times New Roman" w:cs="Times New Roman"/>
          <w:szCs w:val="24"/>
          <w:lang w:eastAsia="hr-HR"/>
        </w:rPr>
        <w:t>p</w:t>
      </w:r>
      <w:r w:rsidR="00AE2341" w:rsidRPr="006414E6">
        <w:rPr>
          <w:rFonts w:eastAsia="Times New Roman" w:cs="Times New Roman"/>
          <w:szCs w:val="24"/>
          <w:lang w:eastAsia="hr-HR"/>
        </w:rPr>
        <w:t>oljoprivreda s</w:t>
      </w:r>
      <w:r w:rsidRPr="006414E6">
        <w:rPr>
          <w:rFonts w:eastAsia="Times New Roman" w:cs="Times New Roman"/>
          <w:szCs w:val="24"/>
          <w:lang w:eastAsia="hr-HR"/>
        </w:rPr>
        <w:t xml:space="preserve"> 11,2%, industrijsk</w:t>
      </w:r>
      <w:r w:rsidR="00AE2341" w:rsidRPr="006414E6">
        <w:rPr>
          <w:rFonts w:eastAsia="Times New Roman" w:cs="Times New Roman"/>
          <w:szCs w:val="24"/>
          <w:lang w:eastAsia="hr-HR"/>
        </w:rPr>
        <w:t>i procesi i uporaba proizvoda s</w:t>
      </w:r>
      <w:r w:rsidRPr="006414E6">
        <w:rPr>
          <w:rFonts w:eastAsia="Times New Roman" w:cs="Times New Roman"/>
          <w:szCs w:val="24"/>
          <w:lang w:eastAsia="hr-HR"/>
        </w:rPr>
        <w:t xml:space="preserve"> 10.9% i </w:t>
      </w:r>
      <w:r w:rsidR="00AE2341" w:rsidRPr="006414E6">
        <w:rPr>
          <w:rFonts w:eastAsia="Times New Roman" w:cs="Times New Roman"/>
          <w:szCs w:val="24"/>
          <w:lang w:eastAsia="hr-HR"/>
        </w:rPr>
        <w:t xml:space="preserve">sektor gospodarenje </w:t>
      </w:r>
      <w:r w:rsidRPr="006414E6">
        <w:rPr>
          <w:rFonts w:eastAsia="Times New Roman" w:cs="Times New Roman"/>
          <w:szCs w:val="24"/>
          <w:lang w:eastAsia="hr-HR"/>
        </w:rPr>
        <w:t>o</w:t>
      </w:r>
      <w:r w:rsidR="00AE2341" w:rsidRPr="006414E6">
        <w:rPr>
          <w:rFonts w:eastAsia="Times New Roman" w:cs="Times New Roman"/>
          <w:szCs w:val="24"/>
          <w:lang w:eastAsia="hr-HR"/>
        </w:rPr>
        <w:t>tpadom s</w:t>
      </w:r>
      <w:r w:rsidRPr="006414E6">
        <w:rPr>
          <w:rFonts w:eastAsia="Times New Roman" w:cs="Times New Roman"/>
          <w:szCs w:val="24"/>
          <w:lang w:eastAsia="hr-HR"/>
        </w:rPr>
        <w:t xml:space="preserve"> 8,6%. Ova struktura je, uz neznatne promjene, zadržana tijekom cijelog razdoblja 1990.-2018. godine. U 2018. godini ukupna emisija stakleničkih plinova u Hrvatskoj je iznosila 23.792,8 </w:t>
      </w:r>
      <w:proofErr w:type="spellStart"/>
      <w:r w:rsidRPr="006414E6">
        <w:rPr>
          <w:rFonts w:eastAsia="Times New Roman" w:cs="Times New Roman"/>
          <w:szCs w:val="24"/>
          <w:lang w:eastAsia="hr-HR"/>
        </w:rPr>
        <w:t>kt</w:t>
      </w:r>
      <w:proofErr w:type="spellEnd"/>
      <w:r w:rsidRPr="006414E6">
        <w:rPr>
          <w:rFonts w:eastAsia="Times New Roman" w:cs="Times New Roman"/>
          <w:szCs w:val="24"/>
          <w:lang w:eastAsia="hr-HR"/>
        </w:rPr>
        <w:t xml:space="preserve"> CO</w:t>
      </w:r>
      <w:r w:rsidRPr="006414E6">
        <w:rPr>
          <w:rFonts w:eastAsia="Times New Roman" w:cs="Times New Roman"/>
          <w:szCs w:val="24"/>
          <w:vertAlign w:val="subscript"/>
          <w:lang w:eastAsia="hr-HR"/>
        </w:rPr>
        <w:t>2</w:t>
      </w:r>
      <w:r w:rsidRPr="006414E6">
        <w:rPr>
          <w:rFonts w:eastAsia="Times New Roman" w:cs="Times New Roman"/>
          <w:szCs w:val="24"/>
          <w:lang w:eastAsia="hr-HR"/>
        </w:rPr>
        <w:t xml:space="preserve">-eq </w:t>
      </w:r>
      <w:r w:rsidR="00AE2341" w:rsidRPr="006414E6">
        <w:rPr>
          <w:rFonts w:eastAsia="Times New Roman" w:cs="Times New Roman"/>
          <w:szCs w:val="24"/>
          <w:lang w:eastAsia="hr-HR"/>
        </w:rPr>
        <w:t>isk</w:t>
      </w:r>
      <w:r w:rsidRPr="006414E6">
        <w:rPr>
          <w:rFonts w:eastAsia="Times New Roman" w:cs="Times New Roman"/>
          <w:szCs w:val="24"/>
          <w:lang w:eastAsia="hr-HR"/>
        </w:rPr>
        <w:t xml:space="preserve">ljučujući </w:t>
      </w:r>
      <w:r w:rsidR="00AE2341" w:rsidRPr="006414E6">
        <w:rPr>
          <w:rFonts w:eastAsia="Times New Roman" w:cs="Times New Roman"/>
          <w:szCs w:val="24"/>
          <w:lang w:eastAsia="hr-HR"/>
        </w:rPr>
        <w:t>odlive (</w:t>
      </w:r>
      <w:r w:rsidRPr="006414E6">
        <w:rPr>
          <w:rFonts w:eastAsia="Times New Roman" w:cs="Times New Roman"/>
          <w:szCs w:val="24"/>
          <w:lang w:eastAsia="hr-HR"/>
        </w:rPr>
        <w:t>LULUCF sektor</w:t>
      </w:r>
      <w:r w:rsidR="00AE2341" w:rsidRPr="006414E6">
        <w:rPr>
          <w:rFonts w:eastAsia="Times New Roman" w:cs="Times New Roman"/>
          <w:szCs w:val="24"/>
          <w:lang w:eastAsia="hr-HR"/>
        </w:rPr>
        <w:t>)</w:t>
      </w:r>
      <w:r w:rsidRPr="006414E6">
        <w:rPr>
          <w:rFonts w:eastAsia="Times New Roman" w:cs="Times New Roman"/>
          <w:szCs w:val="24"/>
          <w:lang w:eastAsia="hr-HR"/>
        </w:rPr>
        <w:t xml:space="preserve">, dok je ukupna emisija kada se uključujući LULUCF sektor iznosila 18.698,6 </w:t>
      </w:r>
      <w:proofErr w:type="spellStart"/>
      <w:r w:rsidRPr="006414E6">
        <w:rPr>
          <w:rFonts w:eastAsia="Times New Roman" w:cs="Times New Roman"/>
          <w:szCs w:val="24"/>
          <w:lang w:eastAsia="hr-HR"/>
        </w:rPr>
        <w:t>kt</w:t>
      </w:r>
      <w:proofErr w:type="spellEnd"/>
      <w:r w:rsidRPr="006414E6">
        <w:rPr>
          <w:rFonts w:eastAsia="Times New Roman" w:cs="Times New Roman"/>
          <w:szCs w:val="24"/>
          <w:lang w:eastAsia="hr-HR"/>
        </w:rPr>
        <w:t xml:space="preserve"> CO</w:t>
      </w:r>
      <w:r w:rsidRPr="006414E6">
        <w:rPr>
          <w:rFonts w:eastAsia="Times New Roman" w:cs="Times New Roman"/>
          <w:szCs w:val="24"/>
          <w:vertAlign w:val="subscript"/>
          <w:lang w:eastAsia="hr-HR"/>
        </w:rPr>
        <w:t>2</w:t>
      </w:r>
      <w:r w:rsidRPr="006414E6">
        <w:rPr>
          <w:rFonts w:eastAsia="Times New Roman" w:cs="Times New Roman"/>
          <w:szCs w:val="24"/>
          <w:lang w:eastAsia="hr-HR"/>
        </w:rPr>
        <w:t>-eq, što predstavlja odliv od 21,4% u 2018. godini.</w:t>
      </w:r>
    </w:p>
    <w:p w14:paraId="3C3C56B6" w14:textId="77777777" w:rsidR="00FD32DE" w:rsidRPr="006414E6" w:rsidRDefault="00FD32DE" w:rsidP="00FD32DE">
      <w:pPr>
        <w:rPr>
          <w:rFonts w:cs="Times New Roman"/>
        </w:rPr>
      </w:pPr>
      <w:r w:rsidRPr="006414E6">
        <w:rPr>
          <w:rFonts w:cs="Times New Roman"/>
        </w:rPr>
        <w:lastRenderedPageBreak/>
        <w:t xml:space="preserve">Opći pad ekonomskih aktivnosti i potrošnje energije u razdoblju od 1991. do 1994. godine u Republici Hrvatskoj, primarno zbog ratnih zbivanja, uzrokovao je pad ukupnih emisija stakleničkih plinova u tom razdoblju. Budući je čitava nacionalna ekonomija tada bila u procesu tranzicije, neke energetski intenzivne industrije smanjile su svoje aktivnosti ili su čak prekinule s proizvodnjom što se značajno odrazilo na smanjenje emisija stakleničkih plinova. Emisije su počele rasti 1995. godine, s prosječnom stopom od 3% godišnje do 2008. godine. Zbog smanjenja gospodarske aktivnosti u razdoblju od 2008. godine emisije stakleničkih plinova su se konstantno smanjivale do 2014. godine kada su počele sporo rasti. </w:t>
      </w:r>
    </w:p>
    <w:p w14:paraId="6CF7804A" w14:textId="78A2D03E" w:rsidR="003C016B" w:rsidRPr="006414E6" w:rsidRDefault="00A61347" w:rsidP="003C016B">
      <w:pPr>
        <w:rPr>
          <w:rFonts w:cs="Times New Roman"/>
        </w:rPr>
      </w:pPr>
      <w:r w:rsidRPr="006414E6">
        <w:rPr>
          <w:rFonts w:cs="Times New Roman"/>
        </w:rPr>
        <w:t xml:space="preserve">Najveći razlog porastu emisija u razdoblju od 1995. do 2008. godine je sektor energetika (proizvodnja električne energije i topline, promet te potrošnja energije za grijanje i hlađenje zgrada), industrijski procesi i uporaba proizvoda (proizvodnja cementa, proizvodnja vapna, proizvodnja amonijaka, proizvodnja dušične kiseline, potrošnja </w:t>
      </w:r>
      <w:proofErr w:type="spellStart"/>
      <w:r w:rsidRPr="006414E6">
        <w:rPr>
          <w:rFonts w:cs="Times New Roman"/>
        </w:rPr>
        <w:t>halogeniranih</w:t>
      </w:r>
      <w:proofErr w:type="spellEnd"/>
      <w:r w:rsidRPr="006414E6">
        <w:rPr>
          <w:rFonts w:cs="Times New Roman"/>
        </w:rPr>
        <w:t xml:space="preserve"> ugljikovodika) te sektor gospodarenje otpadom. </w:t>
      </w:r>
      <w:r w:rsidR="003C016B" w:rsidRPr="006414E6">
        <w:rPr>
          <w:rFonts w:cs="Times New Roman"/>
        </w:rPr>
        <w:t xml:space="preserve"> </w:t>
      </w:r>
    </w:p>
    <w:p w14:paraId="490BF26B" w14:textId="77777777" w:rsidR="003C016B" w:rsidRPr="006414E6" w:rsidRDefault="003C016B" w:rsidP="003C016B">
      <w:pPr>
        <w:rPr>
          <w:rFonts w:cs="Times New Roman"/>
        </w:rPr>
      </w:pPr>
      <w:r w:rsidRPr="006414E6">
        <w:rPr>
          <w:rFonts w:cs="Times New Roman"/>
        </w:rPr>
        <w:t xml:space="preserve">Osnovni razlozi smanjenja emisija stakleničkih plinova u razdoblju od 2008. do 2016. godine su ekonomska kriza kao i početak </w:t>
      </w:r>
      <w:r w:rsidR="00AE2341" w:rsidRPr="006414E6">
        <w:rPr>
          <w:rFonts w:cs="Times New Roman"/>
        </w:rPr>
        <w:t>primjene</w:t>
      </w:r>
      <w:r w:rsidRPr="006414E6">
        <w:rPr>
          <w:rFonts w:cs="Times New Roman"/>
        </w:rPr>
        <w:t xml:space="preserve"> mjera za smanjenje emisije CO</w:t>
      </w:r>
      <w:r w:rsidRPr="006414E6">
        <w:rPr>
          <w:rFonts w:cs="Times New Roman"/>
          <w:vertAlign w:val="subscript"/>
        </w:rPr>
        <w:t>2</w:t>
      </w:r>
      <w:r w:rsidRPr="006414E6">
        <w:rPr>
          <w:rFonts w:cs="Times New Roman"/>
        </w:rPr>
        <w:t xml:space="preserve"> prema Nacionalnom akcijskom planu energetske </w:t>
      </w:r>
      <w:r w:rsidR="00AE2341" w:rsidRPr="006414E6">
        <w:rPr>
          <w:rFonts w:cs="Times New Roman"/>
        </w:rPr>
        <w:t xml:space="preserve">učinkovitosti </w:t>
      </w:r>
      <w:r w:rsidRPr="006414E6">
        <w:rPr>
          <w:rFonts w:cs="Times New Roman"/>
        </w:rPr>
        <w:t xml:space="preserve">za </w:t>
      </w:r>
      <w:r w:rsidR="00A16533" w:rsidRPr="006414E6">
        <w:rPr>
          <w:rFonts w:cs="Times New Roman"/>
        </w:rPr>
        <w:t xml:space="preserve">razdoblje </w:t>
      </w:r>
      <w:r w:rsidRPr="006414E6">
        <w:rPr>
          <w:rFonts w:cs="Times New Roman"/>
        </w:rPr>
        <w:t xml:space="preserve">od 2014. do 2016. godine. </w:t>
      </w:r>
    </w:p>
    <w:p w14:paraId="78B5EE5B" w14:textId="77777777" w:rsidR="006538A3" w:rsidRPr="006414E6" w:rsidRDefault="006538A3" w:rsidP="006538A3">
      <w:pPr>
        <w:rPr>
          <w:rFonts w:cs="Times New Roman"/>
        </w:rPr>
      </w:pPr>
      <w:r w:rsidRPr="006414E6">
        <w:rPr>
          <w:rFonts w:cs="Times New Roman"/>
        </w:rPr>
        <w:t>Trend kretanja emisije pojedinih stakleničkih plinova prikazan je na slici 2-2.</w:t>
      </w:r>
    </w:p>
    <w:p w14:paraId="46C11DF1" w14:textId="6A8F14CF" w:rsidR="004B2CFF" w:rsidRDefault="0080550E" w:rsidP="00160456">
      <w:pPr>
        <w:pStyle w:val="Slika"/>
        <w:spacing w:before="120"/>
        <w:jc w:val="center"/>
        <w:rPr>
          <w:rFonts w:ascii="Times New Roman" w:hAnsi="Times New Roman"/>
          <w:i/>
        </w:rPr>
      </w:pPr>
      <w:bookmarkStart w:id="146" w:name="_Toc33417096"/>
      <w:r w:rsidRPr="0080550E">
        <w:rPr>
          <w:rFonts w:ascii="Times New Roman" w:hAnsi="Times New Roman"/>
          <w:noProof/>
          <w:lang w:eastAsia="hr-HR"/>
        </w:rPr>
        <w:drawing>
          <wp:inline distT="0" distB="0" distL="0" distR="0" wp14:anchorId="0E1E443C" wp14:editId="3670849F">
            <wp:extent cx="3761232" cy="2468880"/>
            <wp:effectExtent l="0" t="0" r="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jpg"/>
                    <pic:cNvPicPr/>
                  </pic:nvPicPr>
                  <pic:blipFill>
                    <a:blip r:embed="rId14">
                      <a:extLst>
                        <a:ext uri="{28A0092B-C50C-407E-A947-70E740481C1C}">
                          <a14:useLocalDpi xmlns:a14="http://schemas.microsoft.com/office/drawing/2010/main" val="0"/>
                        </a:ext>
                      </a:extLst>
                    </a:blip>
                    <a:stretch>
                      <a:fillRect/>
                    </a:stretch>
                  </pic:blipFill>
                  <pic:spPr>
                    <a:xfrm>
                      <a:off x="0" y="0"/>
                      <a:ext cx="3761232" cy="2468880"/>
                    </a:xfrm>
                    <a:prstGeom prst="rect">
                      <a:avLst/>
                    </a:prstGeom>
                  </pic:spPr>
                </pic:pic>
              </a:graphicData>
            </a:graphic>
          </wp:inline>
        </w:drawing>
      </w:r>
    </w:p>
    <w:p w14:paraId="1C0DDEBB" w14:textId="168D534B" w:rsidR="003C016B" w:rsidRPr="006414E6" w:rsidRDefault="003C016B" w:rsidP="00160456">
      <w:pPr>
        <w:pStyle w:val="Slika"/>
        <w:spacing w:before="120"/>
        <w:jc w:val="center"/>
        <w:rPr>
          <w:rFonts w:ascii="Times New Roman" w:hAnsi="Times New Roman"/>
          <w:i/>
        </w:rPr>
      </w:pPr>
      <w:r w:rsidRPr="006414E6">
        <w:rPr>
          <w:rFonts w:ascii="Times New Roman" w:hAnsi="Times New Roman"/>
          <w:i/>
        </w:rPr>
        <w:t xml:space="preserve">Slika </w:t>
      </w:r>
      <w:r w:rsidR="00160456" w:rsidRPr="006414E6">
        <w:rPr>
          <w:rFonts w:ascii="Times New Roman" w:hAnsi="Times New Roman"/>
          <w:i/>
        </w:rPr>
        <w:t>2</w:t>
      </w:r>
      <w:r w:rsidRPr="006414E6">
        <w:rPr>
          <w:rFonts w:ascii="Times New Roman" w:hAnsi="Times New Roman"/>
          <w:i/>
        </w:rPr>
        <w:t>-2: Trend emisija stakleničkih plinova po plinovima</w:t>
      </w:r>
      <w:bookmarkEnd w:id="146"/>
    </w:p>
    <w:p w14:paraId="6B0A2699" w14:textId="77777777" w:rsidR="006538A3" w:rsidRPr="006414E6" w:rsidRDefault="006538A3" w:rsidP="006538A3">
      <w:pPr>
        <w:rPr>
          <w:rFonts w:cs="Times New Roman"/>
        </w:rPr>
      </w:pPr>
      <w:r w:rsidRPr="006414E6">
        <w:rPr>
          <w:rFonts w:cs="Times New Roman"/>
        </w:rPr>
        <w:t>Najveći doprinos emisiji stakleničkih plinova u 201</w:t>
      </w:r>
      <w:r w:rsidR="00C54882" w:rsidRPr="006414E6">
        <w:rPr>
          <w:rFonts w:cs="Times New Roman"/>
        </w:rPr>
        <w:t>8</w:t>
      </w:r>
      <w:r w:rsidRPr="006414E6">
        <w:rPr>
          <w:rFonts w:cs="Times New Roman"/>
        </w:rPr>
        <w:t>. godini, imala je emisija ugljikova dioksida (CO</w:t>
      </w:r>
      <w:r w:rsidRPr="006414E6">
        <w:rPr>
          <w:rFonts w:cs="Times New Roman"/>
          <w:vertAlign w:val="subscript"/>
        </w:rPr>
        <w:t>2</w:t>
      </w:r>
      <w:r w:rsidRPr="006414E6">
        <w:rPr>
          <w:rFonts w:cs="Times New Roman"/>
        </w:rPr>
        <w:t>)</w:t>
      </w:r>
      <w:r w:rsidR="00AE2341" w:rsidRPr="006414E6">
        <w:rPr>
          <w:rFonts w:cs="Times New Roman"/>
        </w:rPr>
        <w:t xml:space="preserve"> sa 74,5</w:t>
      </w:r>
      <w:r w:rsidRPr="006414E6">
        <w:rPr>
          <w:rFonts w:cs="Times New Roman"/>
        </w:rPr>
        <w:t>%. Slijedi emisija metana (CH</w:t>
      </w:r>
      <w:r w:rsidRPr="006414E6">
        <w:rPr>
          <w:rFonts w:cs="Times New Roman"/>
          <w:vertAlign w:val="subscript"/>
        </w:rPr>
        <w:t>4</w:t>
      </w:r>
      <w:r w:rsidRPr="006414E6">
        <w:rPr>
          <w:rFonts w:cs="Times New Roman"/>
        </w:rPr>
        <w:t>)</w:t>
      </w:r>
      <w:r w:rsidR="00AE2341" w:rsidRPr="006414E6">
        <w:rPr>
          <w:rFonts w:cs="Times New Roman"/>
        </w:rPr>
        <w:t xml:space="preserve"> s</w:t>
      </w:r>
      <w:r w:rsidRPr="006414E6">
        <w:rPr>
          <w:rFonts w:cs="Times New Roman"/>
        </w:rPr>
        <w:t xml:space="preserve"> 1</w:t>
      </w:r>
      <w:r w:rsidR="00AE2341" w:rsidRPr="006414E6">
        <w:rPr>
          <w:rFonts w:cs="Times New Roman"/>
        </w:rPr>
        <w:t>6</w:t>
      </w:r>
      <w:r w:rsidRPr="006414E6">
        <w:rPr>
          <w:rFonts w:cs="Times New Roman"/>
        </w:rPr>
        <w:t xml:space="preserve">,3%, </w:t>
      </w:r>
      <w:proofErr w:type="spellStart"/>
      <w:r w:rsidRPr="006414E6">
        <w:rPr>
          <w:rFonts w:cs="Times New Roman"/>
        </w:rPr>
        <w:t>didušikova</w:t>
      </w:r>
      <w:proofErr w:type="spellEnd"/>
      <w:r w:rsidRPr="006414E6">
        <w:rPr>
          <w:rFonts w:cs="Times New Roman"/>
        </w:rPr>
        <w:t xml:space="preserve"> oksida (N</w:t>
      </w:r>
      <w:r w:rsidRPr="006414E6">
        <w:rPr>
          <w:rFonts w:cs="Times New Roman"/>
          <w:vertAlign w:val="subscript"/>
        </w:rPr>
        <w:t>2</w:t>
      </w:r>
      <w:r w:rsidRPr="006414E6">
        <w:rPr>
          <w:rFonts w:cs="Times New Roman"/>
        </w:rPr>
        <w:t xml:space="preserve">O) s </w:t>
      </w:r>
      <w:r w:rsidR="00AE2341" w:rsidRPr="006414E6">
        <w:rPr>
          <w:rFonts w:cs="Times New Roman"/>
        </w:rPr>
        <w:t>7,1</w:t>
      </w:r>
      <w:r w:rsidRPr="006414E6">
        <w:rPr>
          <w:rFonts w:cs="Times New Roman"/>
        </w:rPr>
        <w:t xml:space="preserve">% te emisija </w:t>
      </w:r>
      <w:proofErr w:type="spellStart"/>
      <w:r w:rsidRPr="006414E6">
        <w:rPr>
          <w:rFonts w:cs="Times New Roman"/>
        </w:rPr>
        <w:t>fluoriranih</w:t>
      </w:r>
      <w:proofErr w:type="spellEnd"/>
      <w:r w:rsidRPr="006414E6">
        <w:rPr>
          <w:rFonts w:cs="Times New Roman"/>
        </w:rPr>
        <w:t xml:space="preserve"> ugljikovodika s 2</w:t>
      </w:r>
      <w:r w:rsidR="00AE2341" w:rsidRPr="006414E6">
        <w:rPr>
          <w:rFonts w:cs="Times New Roman"/>
        </w:rPr>
        <w:t>,1</w:t>
      </w:r>
      <w:r w:rsidRPr="006414E6">
        <w:rPr>
          <w:rFonts w:cs="Times New Roman"/>
        </w:rPr>
        <w:t>%. Opisana struktura prisutna je, uz neznatne promjene, tijekom cijelog razdoblja od 1990. godine.</w:t>
      </w:r>
    </w:p>
    <w:p w14:paraId="2C8EE0AC" w14:textId="77777777" w:rsidR="00C72233" w:rsidRPr="006414E6" w:rsidRDefault="000E5653" w:rsidP="00EE3488">
      <w:pPr>
        <w:pStyle w:val="Heading3"/>
      </w:pPr>
      <w:bookmarkStart w:id="147" w:name="_Toc39133263"/>
      <w:r w:rsidRPr="006414E6">
        <w:t>2.3.2.</w:t>
      </w:r>
      <w:r w:rsidR="00C54882" w:rsidRPr="006414E6">
        <w:tab/>
      </w:r>
      <w:r w:rsidR="00C72233" w:rsidRPr="006414E6">
        <w:t>Trend emisija s obzirom na sustav trgovanja emisijskim jedinicama (ETS)</w:t>
      </w:r>
      <w:bookmarkEnd w:id="147"/>
    </w:p>
    <w:p w14:paraId="47E2EAB1" w14:textId="77777777" w:rsidR="00665E5A" w:rsidRPr="006414E6" w:rsidRDefault="002B3FC0" w:rsidP="00665E5A">
      <w:pPr>
        <w:rPr>
          <w:rFonts w:cs="Times New Roman"/>
          <w:szCs w:val="24"/>
        </w:rPr>
      </w:pPr>
      <w:r w:rsidRPr="006414E6">
        <w:rPr>
          <w:rFonts w:cs="Times New Roman"/>
        </w:rPr>
        <w:t xml:space="preserve">Republika </w:t>
      </w:r>
      <w:r w:rsidR="003C016B" w:rsidRPr="006414E6">
        <w:rPr>
          <w:rFonts w:cs="Times New Roman"/>
        </w:rPr>
        <w:t xml:space="preserve">Hrvatska postala </w:t>
      </w:r>
      <w:r w:rsidRPr="006414E6">
        <w:rPr>
          <w:rFonts w:cs="Times New Roman"/>
        </w:rPr>
        <w:t xml:space="preserve">je </w:t>
      </w:r>
      <w:r w:rsidR="003C016B" w:rsidRPr="006414E6">
        <w:rPr>
          <w:rFonts w:cs="Times New Roman"/>
        </w:rPr>
        <w:t xml:space="preserve">obveznica ETS sustava </w:t>
      </w:r>
      <w:r w:rsidR="00AF22B0" w:rsidRPr="006414E6">
        <w:rPr>
          <w:rFonts w:cs="Times New Roman"/>
        </w:rPr>
        <w:t xml:space="preserve">od 1. siječnja </w:t>
      </w:r>
      <w:r w:rsidR="003C016B" w:rsidRPr="006414E6">
        <w:rPr>
          <w:rFonts w:cs="Times New Roman"/>
        </w:rPr>
        <w:t xml:space="preserve">2013. godine. </w:t>
      </w:r>
      <w:r w:rsidR="00665E5A" w:rsidRPr="006414E6">
        <w:rPr>
          <w:rFonts w:cs="Times New Roman"/>
          <w:szCs w:val="24"/>
        </w:rPr>
        <w:t xml:space="preserve">Obveznici sustava trgovanja emisijskim jedinicama stakleničkih plinova uključeni su tada u jedinstveni plan raspodjele emisijskih jedinica i obvezu kupovanja cjelokupnog ili djelomičnog iznosa emisijskih jedinica po modelu dražbe. </w:t>
      </w:r>
    </w:p>
    <w:p w14:paraId="5E2A2388" w14:textId="77777777" w:rsidR="003C016B" w:rsidRPr="006414E6" w:rsidRDefault="003C016B" w:rsidP="00CD37AA">
      <w:pPr>
        <w:rPr>
          <w:rFonts w:cs="Times New Roman"/>
        </w:rPr>
      </w:pPr>
      <w:r w:rsidRPr="006414E6">
        <w:rPr>
          <w:rFonts w:cs="Times New Roman"/>
        </w:rPr>
        <w:t xml:space="preserve">U </w:t>
      </w:r>
      <w:r w:rsidR="00665E5A" w:rsidRPr="006414E6">
        <w:rPr>
          <w:rFonts w:cs="Times New Roman"/>
        </w:rPr>
        <w:t xml:space="preserve">Republici </w:t>
      </w:r>
      <w:r w:rsidRPr="006414E6">
        <w:rPr>
          <w:rFonts w:cs="Times New Roman"/>
        </w:rPr>
        <w:t xml:space="preserve">Hrvatskoj zastupljene </w:t>
      </w:r>
      <w:r w:rsidR="00665E5A" w:rsidRPr="006414E6">
        <w:rPr>
          <w:rFonts w:cs="Times New Roman"/>
        </w:rPr>
        <w:t xml:space="preserve">su </w:t>
      </w:r>
      <w:r w:rsidRPr="006414E6">
        <w:rPr>
          <w:rFonts w:cs="Times New Roman"/>
        </w:rPr>
        <w:t xml:space="preserve">sljedeće djelatnosti EU ETS-a: izgaranje goriva, rafiniranje mineralnog ulja, proizvodnja sirovog željeza ili čelika, proizvodnja cementnog </w:t>
      </w:r>
      <w:proofErr w:type="spellStart"/>
      <w:r w:rsidRPr="006414E6">
        <w:rPr>
          <w:rFonts w:cs="Times New Roman"/>
        </w:rPr>
        <w:t>klinkera</w:t>
      </w:r>
      <w:proofErr w:type="spellEnd"/>
      <w:r w:rsidRPr="006414E6">
        <w:rPr>
          <w:rFonts w:cs="Times New Roman"/>
        </w:rPr>
        <w:t xml:space="preserve">, proizvodnja vapna, proizvodnja stakla, proizvodnja keramičkih proizvoda, proizvodnja izolacijskih materijala od mineralne vune, proizvodnja papira i kartona, proizvodnja čađe, proizvodnja dušične kiseline, </w:t>
      </w:r>
      <w:r w:rsidRPr="006414E6">
        <w:rPr>
          <w:rFonts w:cs="Times New Roman"/>
        </w:rPr>
        <w:lastRenderedPageBreak/>
        <w:t xml:space="preserve">proizvodnja amonijaka i zrakoplovna djelatnost. Skoro polovica broja postrojenja uključena je u sustav na temelju djelatnosti izgaranja goriva. Ostala postrojenja su uključena prvenstveno na temelju njihove proizvodne djelatnosti, međutim i ona koriste gorivo za izgaranje. </w:t>
      </w:r>
    </w:p>
    <w:p w14:paraId="0FCE0A6B" w14:textId="77777777" w:rsidR="003C016B" w:rsidRPr="006414E6" w:rsidRDefault="003C016B" w:rsidP="00C72233">
      <w:pPr>
        <w:rPr>
          <w:rFonts w:cs="Times New Roman"/>
        </w:rPr>
      </w:pPr>
      <w:r w:rsidRPr="006414E6">
        <w:rPr>
          <w:rFonts w:cs="Times New Roman"/>
        </w:rPr>
        <w:t xml:space="preserve">Na slici </w:t>
      </w:r>
      <w:r w:rsidR="00C72233" w:rsidRPr="006414E6">
        <w:rPr>
          <w:rFonts w:cs="Times New Roman"/>
        </w:rPr>
        <w:t>2</w:t>
      </w:r>
      <w:r w:rsidRPr="006414E6">
        <w:rPr>
          <w:rFonts w:cs="Times New Roman"/>
        </w:rPr>
        <w:t xml:space="preserve">-3 prikazana je ukupna emisija stakleničkih plinova podijeljena na ETS te sektore izvan ETS-a. </w:t>
      </w:r>
    </w:p>
    <w:p w14:paraId="44E3C30C" w14:textId="325718A6" w:rsidR="004B2CFF" w:rsidRPr="0080550E" w:rsidRDefault="0080550E" w:rsidP="00C72233">
      <w:pPr>
        <w:pStyle w:val="Slika"/>
        <w:spacing w:before="120"/>
        <w:jc w:val="center"/>
        <w:rPr>
          <w:rFonts w:ascii="Times New Roman" w:hAnsi="Times New Roman"/>
        </w:rPr>
      </w:pPr>
      <w:bookmarkStart w:id="148" w:name="_Toc484158366"/>
      <w:bookmarkStart w:id="149" w:name="_Toc436823623"/>
      <w:bookmarkStart w:id="150" w:name="_Toc33417097"/>
      <w:r>
        <w:rPr>
          <w:rFonts w:ascii="Times New Roman" w:hAnsi="Times New Roman"/>
          <w:noProof/>
          <w:lang w:eastAsia="hr-HR"/>
        </w:rPr>
        <w:drawing>
          <wp:inline distT="0" distB="0" distL="0" distR="0" wp14:anchorId="52596029" wp14:editId="0C0D2DAA">
            <wp:extent cx="3858768" cy="2401824"/>
            <wp:effectExtent l="0" t="0" r="889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jpg"/>
                    <pic:cNvPicPr/>
                  </pic:nvPicPr>
                  <pic:blipFill>
                    <a:blip r:embed="rId15">
                      <a:extLst>
                        <a:ext uri="{28A0092B-C50C-407E-A947-70E740481C1C}">
                          <a14:useLocalDpi xmlns:a14="http://schemas.microsoft.com/office/drawing/2010/main" val="0"/>
                        </a:ext>
                      </a:extLst>
                    </a:blip>
                    <a:stretch>
                      <a:fillRect/>
                    </a:stretch>
                  </pic:blipFill>
                  <pic:spPr>
                    <a:xfrm>
                      <a:off x="0" y="0"/>
                      <a:ext cx="3858768" cy="2401824"/>
                    </a:xfrm>
                    <a:prstGeom prst="rect">
                      <a:avLst/>
                    </a:prstGeom>
                  </pic:spPr>
                </pic:pic>
              </a:graphicData>
            </a:graphic>
          </wp:inline>
        </w:drawing>
      </w:r>
    </w:p>
    <w:p w14:paraId="3837E45D" w14:textId="3E184A36" w:rsidR="003C016B" w:rsidRPr="006414E6" w:rsidRDefault="003C016B" w:rsidP="00C72233">
      <w:pPr>
        <w:pStyle w:val="Slika"/>
        <w:spacing w:before="120"/>
        <w:jc w:val="center"/>
        <w:rPr>
          <w:rFonts w:ascii="Times New Roman" w:hAnsi="Times New Roman"/>
          <w:i/>
        </w:rPr>
      </w:pPr>
      <w:r w:rsidRPr="006414E6">
        <w:rPr>
          <w:rFonts w:ascii="Times New Roman" w:hAnsi="Times New Roman"/>
          <w:i/>
        </w:rPr>
        <w:t xml:space="preserve">Slika </w:t>
      </w:r>
      <w:r w:rsidR="00C72233" w:rsidRPr="006414E6">
        <w:rPr>
          <w:rFonts w:ascii="Times New Roman" w:hAnsi="Times New Roman"/>
          <w:i/>
        </w:rPr>
        <w:t>2</w:t>
      </w:r>
      <w:r w:rsidRPr="006414E6">
        <w:rPr>
          <w:rFonts w:ascii="Times New Roman" w:hAnsi="Times New Roman"/>
          <w:i/>
        </w:rPr>
        <w:t>-3: Ukupna emisija stakleničkih plinova u ETS-u i sektorima izvan ETS-a</w:t>
      </w:r>
      <w:bookmarkEnd w:id="148"/>
      <w:bookmarkEnd w:id="149"/>
      <w:bookmarkEnd w:id="150"/>
    </w:p>
    <w:p w14:paraId="6D767CA0" w14:textId="77777777" w:rsidR="003C016B" w:rsidRPr="006414E6" w:rsidRDefault="003C016B" w:rsidP="003C016B">
      <w:pPr>
        <w:rPr>
          <w:rFonts w:cs="Times New Roman"/>
        </w:rPr>
      </w:pPr>
      <w:r w:rsidRPr="006414E6">
        <w:rPr>
          <w:rFonts w:cs="Times New Roman"/>
        </w:rPr>
        <w:t xml:space="preserve">Staklenički plinovi obuhvaćeni EU ETS-om koji su zastupljeni u </w:t>
      </w:r>
      <w:r w:rsidR="002B3FC0" w:rsidRPr="006414E6">
        <w:rPr>
          <w:rFonts w:cs="Times New Roman"/>
        </w:rPr>
        <w:t xml:space="preserve">Republici </w:t>
      </w:r>
      <w:r w:rsidRPr="006414E6">
        <w:rPr>
          <w:rFonts w:cs="Times New Roman"/>
        </w:rPr>
        <w:t>Hrvatskoj su CO</w:t>
      </w:r>
      <w:r w:rsidRPr="006414E6">
        <w:rPr>
          <w:rFonts w:cs="Times New Roman"/>
          <w:vertAlign w:val="subscript"/>
        </w:rPr>
        <w:t>2</w:t>
      </w:r>
      <w:r w:rsidRPr="006414E6">
        <w:rPr>
          <w:rFonts w:cs="Times New Roman"/>
        </w:rPr>
        <w:t xml:space="preserve"> i N</w:t>
      </w:r>
      <w:r w:rsidRPr="006414E6">
        <w:rPr>
          <w:rFonts w:cs="Times New Roman"/>
          <w:vertAlign w:val="subscript"/>
        </w:rPr>
        <w:t>2</w:t>
      </w:r>
      <w:r w:rsidRPr="006414E6">
        <w:rPr>
          <w:rFonts w:cs="Times New Roman"/>
        </w:rPr>
        <w:t xml:space="preserve">O, od kojih ovaj drugi nastaje samo kao rezultat proizvodnje dušične kiseline. U </w:t>
      </w:r>
      <w:r w:rsidR="002B3FC0" w:rsidRPr="006414E6">
        <w:rPr>
          <w:rFonts w:cs="Times New Roman"/>
        </w:rPr>
        <w:t xml:space="preserve">Republici </w:t>
      </w:r>
      <w:r w:rsidRPr="006414E6">
        <w:rPr>
          <w:rFonts w:cs="Times New Roman"/>
        </w:rPr>
        <w:t>Hrvatskoj je 201</w:t>
      </w:r>
      <w:r w:rsidR="00C54882" w:rsidRPr="006414E6">
        <w:rPr>
          <w:rFonts w:cs="Times New Roman"/>
        </w:rPr>
        <w:t>8</w:t>
      </w:r>
      <w:r w:rsidRPr="006414E6">
        <w:rPr>
          <w:rFonts w:cs="Times New Roman"/>
        </w:rPr>
        <w:t>. godine u radu bilo 55 postrojenja</w:t>
      </w:r>
      <w:r w:rsidR="00C72233" w:rsidRPr="006414E6">
        <w:rPr>
          <w:rFonts w:cs="Times New Roman"/>
        </w:rPr>
        <w:t xml:space="preserve"> uključenih u EU ETS</w:t>
      </w:r>
      <w:r w:rsidRPr="006414E6">
        <w:rPr>
          <w:rFonts w:cs="Times New Roman"/>
        </w:rPr>
        <w:t xml:space="preserve"> i jedan operator zrakoplova, koji su odgovorni za </w:t>
      </w:r>
      <w:r w:rsidR="00AE2341" w:rsidRPr="006414E6">
        <w:rPr>
          <w:rFonts w:cs="Times New Roman"/>
        </w:rPr>
        <w:t>31,3</w:t>
      </w:r>
      <w:r w:rsidRPr="006414E6">
        <w:rPr>
          <w:rFonts w:cs="Times New Roman"/>
        </w:rPr>
        <w:t>% ukupne emisije stakleničkih plinova Hrvatske.</w:t>
      </w:r>
    </w:p>
    <w:p w14:paraId="64A4D159" w14:textId="77777777" w:rsidR="00083800" w:rsidRPr="006414E6" w:rsidRDefault="001241B9" w:rsidP="00EE3488">
      <w:pPr>
        <w:pStyle w:val="Heading3"/>
      </w:pPr>
      <w:bookmarkStart w:id="151" w:name="_Toc476226498"/>
      <w:bookmarkStart w:id="152" w:name="_Toc475716124"/>
      <w:bookmarkStart w:id="153" w:name="_Toc475714711"/>
      <w:bookmarkStart w:id="154" w:name="_Toc436823695"/>
      <w:bookmarkStart w:id="155" w:name="_Toc477868465"/>
      <w:bookmarkStart w:id="156" w:name="_Toc478995863"/>
      <w:bookmarkStart w:id="157" w:name="_Toc484158967"/>
      <w:bookmarkStart w:id="158" w:name="_Toc39133264"/>
      <w:r w:rsidRPr="006414E6">
        <w:t>2</w:t>
      </w:r>
      <w:r w:rsidR="00083800" w:rsidRPr="006414E6">
        <w:t xml:space="preserve">.3.3. Odvajanje </w:t>
      </w:r>
      <w:r w:rsidR="002171D5" w:rsidRPr="006414E6">
        <w:t xml:space="preserve">trenda </w:t>
      </w:r>
      <w:r w:rsidR="00083800" w:rsidRPr="006414E6">
        <w:t>gospodarskog rasta od emisije stakleničkih plinova</w:t>
      </w:r>
      <w:bookmarkEnd w:id="151"/>
      <w:bookmarkEnd w:id="152"/>
      <w:bookmarkEnd w:id="153"/>
      <w:bookmarkEnd w:id="154"/>
      <w:bookmarkEnd w:id="155"/>
      <w:bookmarkEnd w:id="156"/>
      <w:bookmarkEnd w:id="157"/>
      <w:bookmarkEnd w:id="158"/>
    </w:p>
    <w:p w14:paraId="79F02CB4" w14:textId="77777777" w:rsidR="002171D5" w:rsidRPr="006414E6" w:rsidRDefault="002171D5" w:rsidP="00083800">
      <w:pPr>
        <w:rPr>
          <w:rFonts w:eastAsia="Calibri" w:cs="Times New Roman"/>
        </w:rPr>
      </w:pPr>
      <w:r w:rsidRPr="006414E6">
        <w:rPr>
          <w:rFonts w:cs="Times New Roman"/>
        </w:rPr>
        <w:t xml:space="preserve">Temeljni cilj </w:t>
      </w:r>
      <w:proofErr w:type="spellStart"/>
      <w:r w:rsidRPr="006414E6">
        <w:rPr>
          <w:rFonts w:cs="Times New Roman"/>
        </w:rPr>
        <w:t>Niskougljične</w:t>
      </w:r>
      <w:proofErr w:type="spellEnd"/>
      <w:r w:rsidRPr="006414E6">
        <w:rPr>
          <w:rFonts w:cs="Times New Roman"/>
        </w:rPr>
        <w:t xml:space="preserve"> strategije je odvajanje trenda gospodarskog rasta od emisija stakleničkih plinova. Na slici </w:t>
      </w:r>
      <w:r w:rsidR="001241B9" w:rsidRPr="006414E6">
        <w:rPr>
          <w:rFonts w:cs="Times New Roman"/>
        </w:rPr>
        <w:t>2</w:t>
      </w:r>
      <w:r w:rsidRPr="006414E6">
        <w:rPr>
          <w:rFonts w:cs="Times New Roman"/>
        </w:rPr>
        <w:t>-</w:t>
      </w:r>
      <w:r w:rsidR="00C72233" w:rsidRPr="006414E6">
        <w:rPr>
          <w:rFonts w:cs="Times New Roman"/>
        </w:rPr>
        <w:t>4</w:t>
      </w:r>
      <w:r w:rsidRPr="006414E6">
        <w:rPr>
          <w:rFonts w:cs="Times New Roman"/>
        </w:rPr>
        <w:t xml:space="preserve"> je prikazan porast BDP-a, krivulja emisije stakleničkih plinova te krivulja intenzi</w:t>
      </w:r>
      <w:r w:rsidR="00665E5A" w:rsidRPr="006414E6">
        <w:rPr>
          <w:rFonts w:cs="Times New Roman"/>
        </w:rPr>
        <w:t xml:space="preserve">teta </w:t>
      </w:r>
      <w:r w:rsidRPr="006414E6">
        <w:rPr>
          <w:rFonts w:cs="Times New Roman"/>
        </w:rPr>
        <w:t xml:space="preserve">emisije stakleničkih plinova kao postotak vrijednosti iz 1995. godine. </w:t>
      </w:r>
    </w:p>
    <w:p w14:paraId="49F296DD" w14:textId="6B2586F5" w:rsidR="002171D5" w:rsidRPr="006414E6" w:rsidRDefault="002171D5" w:rsidP="00061CE3">
      <w:pPr>
        <w:spacing w:line="240" w:lineRule="auto"/>
        <w:jc w:val="center"/>
        <w:rPr>
          <w:rFonts w:eastAsia="Calibri" w:cs="Times New Roman"/>
        </w:rPr>
      </w:pPr>
    </w:p>
    <w:p w14:paraId="1FEC1560" w14:textId="656F4721" w:rsidR="004B2CFF" w:rsidRPr="001F1BE1" w:rsidRDefault="001F1BE1" w:rsidP="00AC46CF">
      <w:pPr>
        <w:pStyle w:val="Slika"/>
        <w:spacing w:before="120"/>
        <w:jc w:val="center"/>
        <w:rPr>
          <w:rFonts w:ascii="Times New Roman" w:hAnsi="Times New Roman"/>
        </w:rPr>
      </w:pPr>
      <w:bookmarkStart w:id="159" w:name="_Toc33417098"/>
      <w:r>
        <w:rPr>
          <w:rFonts w:ascii="Times New Roman" w:hAnsi="Times New Roman"/>
          <w:noProof/>
          <w:lang w:eastAsia="hr-HR"/>
        </w:rPr>
        <w:drawing>
          <wp:inline distT="0" distB="0" distL="0" distR="0" wp14:anchorId="7908AAD4" wp14:editId="1A8453C1">
            <wp:extent cx="4456176" cy="2078736"/>
            <wp:effectExtent l="0" t="0" r="190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jpg"/>
                    <pic:cNvPicPr/>
                  </pic:nvPicPr>
                  <pic:blipFill>
                    <a:blip r:embed="rId16">
                      <a:extLst>
                        <a:ext uri="{28A0092B-C50C-407E-A947-70E740481C1C}">
                          <a14:useLocalDpi xmlns:a14="http://schemas.microsoft.com/office/drawing/2010/main" val="0"/>
                        </a:ext>
                      </a:extLst>
                    </a:blip>
                    <a:stretch>
                      <a:fillRect/>
                    </a:stretch>
                  </pic:blipFill>
                  <pic:spPr>
                    <a:xfrm>
                      <a:off x="0" y="0"/>
                      <a:ext cx="4456176" cy="2078736"/>
                    </a:xfrm>
                    <a:prstGeom prst="rect">
                      <a:avLst/>
                    </a:prstGeom>
                  </pic:spPr>
                </pic:pic>
              </a:graphicData>
            </a:graphic>
          </wp:inline>
        </w:drawing>
      </w:r>
    </w:p>
    <w:p w14:paraId="7A926676" w14:textId="41B38B19" w:rsidR="00AC46CF" w:rsidRPr="006414E6" w:rsidRDefault="00AC46CF" w:rsidP="00AC46CF">
      <w:pPr>
        <w:pStyle w:val="Slika"/>
        <w:spacing w:before="120"/>
        <w:jc w:val="center"/>
        <w:rPr>
          <w:rFonts w:ascii="Times New Roman" w:hAnsi="Times New Roman"/>
          <w:i/>
        </w:rPr>
      </w:pPr>
      <w:r w:rsidRPr="006414E6">
        <w:rPr>
          <w:rFonts w:ascii="Times New Roman" w:hAnsi="Times New Roman"/>
          <w:i/>
        </w:rPr>
        <w:t xml:space="preserve">Slika 2-4: </w:t>
      </w:r>
      <w:r w:rsidR="00665E5A" w:rsidRPr="006414E6">
        <w:rPr>
          <w:rFonts w:ascii="Times New Roman" w:hAnsi="Times New Roman"/>
          <w:i/>
        </w:rPr>
        <w:t xml:space="preserve">Trend </w:t>
      </w:r>
      <w:r w:rsidRPr="006414E6">
        <w:rPr>
          <w:rFonts w:ascii="Times New Roman" w:hAnsi="Times New Roman"/>
          <w:i/>
        </w:rPr>
        <w:t>BDP-a, emisija stakleničkih plinova i krivulja intenzi</w:t>
      </w:r>
      <w:r w:rsidR="00665E5A" w:rsidRPr="006414E6">
        <w:rPr>
          <w:rFonts w:ascii="Times New Roman" w:hAnsi="Times New Roman"/>
          <w:i/>
        </w:rPr>
        <w:t xml:space="preserve">teta </w:t>
      </w:r>
      <w:r w:rsidRPr="006414E6">
        <w:rPr>
          <w:rFonts w:ascii="Times New Roman" w:hAnsi="Times New Roman"/>
          <w:i/>
        </w:rPr>
        <w:t>emisije stakleničkih plinova</w:t>
      </w:r>
      <w:bookmarkEnd w:id="159"/>
      <w:r w:rsidRPr="006414E6">
        <w:rPr>
          <w:rFonts w:ascii="Times New Roman" w:hAnsi="Times New Roman"/>
          <w:i/>
        </w:rPr>
        <w:t xml:space="preserve"> </w:t>
      </w:r>
    </w:p>
    <w:p w14:paraId="6E6C78EC" w14:textId="77777777" w:rsidR="002171D5" w:rsidRPr="006414E6" w:rsidRDefault="002171D5" w:rsidP="00257711">
      <w:pPr>
        <w:rPr>
          <w:rFonts w:cs="Times New Roman"/>
        </w:rPr>
      </w:pPr>
      <w:r w:rsidRPr="006414E6">
        <w:rPr>
          <w:rFonts w:cs="Times New Roman"/>
        </w:rPr>
        <w:t xml:space="preserve">Vidi se početak razdvajanja gospodarskog razvoja od emisija stakleničkih plinova od 2003. godine. Intenzitet emisije po BDP-u se smanjio za </w:t>
      </w:r>
      <w:r w:rsidR="00A53D46" w:rsidRPr="006414E6">
        <w:rPr>
          <w:rFonts w:cs="Times New Roman"/>
        </w:rPr>
        <w:t>34</w:t>
      </w:r>
      <w:r w:rsidRPr="006414E6">
        <w:rPr>
          <w:rFonts w:cs="Times New Roman"/>
        </w:rPr>
        <w:t>% u razdoblju od 2004. do 201</w:t>
      </w:r>
      <w:r w:rsidR="00C54882" w:rsidRPr="006414E6">
        <w:rPr>
          <w:rFonts w:cs="Times New Roman"/>
        </w:rPr>
        <w:t>8</w:t>
      </w:r>
      <w:r w:rsidRPr="006414E6">
        <w:rPr>
          <w:rFonts w:cs="Times New Roman"/>
        </w:rPr>
        <w:t xml:space="preserve">. godine, odnosno za oko </w:t>
      </w:r>
      <w:r w:rsidRPr="006414E6">
        <w:rPr>
          <w:rFonts w:cs="Times New Roman"/>
        </w:rPr>
        <w:lastRenderedPageBreak/>
        <w:t>2</w:t>
      </w:r>
      <w:r w:rsidR="00A53D46" w:rsidRPr="006414E6">
        <w:rPr>
          <w:rFonts w:cs="Times New Roman"/>
        </w:rPr>
        <w:t>,5</w:t>
      </w:r>
      <w:r w:rsidRPr="006414E6">
        <w:rPr>
          <w:rFonts w:cs="Times New Roman"/>
        </w:rPr>
        <w:t>% godišnje. Pritom je visina BDP-a</w:t>
      </w:r>
      <w:r w:rsidR="00007502" w:rsidRPr="006414E6">
        <w:rPr>
          <w:rFonts w:cs="Times New Roman"/>
        </w:rPr>
        <w:t xml:space="preserve"> </w:t>
      </w:r>
      <w:r w:rsidRPr="006414E6">
        <w:rPr>
          <w:rFonts w:cs="Times New Roman"/>
        </w:rPr>
        <w:t>u 201</w:t>
      </w:r>
      <w:r w:rsidR="00C54882" w:rsidRPr="006414E6">
        <w:rPr>
          <w:rFonts w:cs="Times New Roman"/>
        </w:rPr>
        <w:t>8</w:t>
      </w:r>
      <w:r w:rsidRPr="006414E6">
        <w:rPr>
          <w:rFonts w:cs="Times New Roman"/>
        </w:rPr>
        <w:t xml:space="preserve">. bila </w:t>
      </w:r>
      <w:r w:rsidR="00761313" w:rsidRPr="006414E6">
        <w:rPr>
          <w:rFonts w:cs="Times New Roman"/>
        </w:rPr>
        <w:t>22</w:t>
      </w:r>
      <w:r w:rsidRPr="006414E6">
        <w:rPr>
          <w:rFonts w:cs="Times New Roman"/>
        </w:rPr>
        <w:t xml:space="preserve">% iznad one u 2004. godini, </w:t>
      </w:r>
      <w:r w:rsidR="00007502" w:rsidRPr="006414E6">
        <w:rPr>
          <w:rFonts w:cs="Times New Roman"/>
        </w:rPr>
        <w:t>a</w:t>
      </w:r>
      <w:r w:rsidRPr="006414E6">
        <w:rPr>
          <w:rFonts w:cs="Times New Roman"/>
        </w:rPr>
        <w:t xml:space="preserve"> emisije su smanjenje za</w:t>
      </w:r>
      <w:r w:rsidR="00007502" w:rsidRPr="006414E6">
        <w:rPr>
          <w:rFonts w:cs="Times New Roman"/>
        </w:rPr>
        <w:t xml:space="preserve"> 1</w:t>
      </w:r>
      <w:r w:rsidR="00761313" w:rsidRPr="006414E6">
        <w:rPr>
          <w:rFonts w:cs="Times New Roman"/>
        </w:rPr>
        <w:t>9,6</w:t>
      </w:r>
      <w:r w:rsidRPr="006414E6">
        <w:rPr>
          <w:rFonts w:cs="Times New Roman"/>
        </w:rPr>
        <w:t>%.</w:t>
      </w:r>
    </w:p>
    <w:p w14:paraId="779B22EC" w14:textId="0DF325A8" w:rsidR="00991075" w:rsidRPr="006414E6" w:rsidRDefault="002171D5" w:rsidP="008C2A8A">
      <w:pPr>
        <w:rPr>
          <w:rFonts w:cs="Times New Roman"/>
        </w:rPr>
      </w:pPr>
      <w:r w:rsidRPr="006414E6">
        <w:rPr>
          <w:rFonts w:cs="Times New Roman"/>
        </w:rPr>
        <w:t xml:space="preserve">Međutim, ostvareno razdvajanje samo je relativno jer je do smanjenja emisija došlo uz pad BDP-a. </w:t>
      </w:r>
      <w:r w:rsidR="00665E5A" w:rsidRPr="006414E6">
        <w:rPr>
          <w:rFonts w:cs="Times New Roman"/>
        </w:rPr>
        <w:t xml:space="preserve">Kroz </w:t>
      </w:r>
      <w:proofErr w:type="spellStart"/>
      <w:r w:rsidR="00665E5A" w:rsidRPr="006414E6">
        <w:rPr>
          <w:rFonts w:cs="Times New Roman"/>
        </w:rPr>
        <w:t>niskougljični</w:t>
      </w:r>
      <w:proofErr w:type="spellEnd"/>
      <w:r w:rsidR="00665E5A" w:rsidRPr="006414E6">
        <w:rPr>
          <w:rFonts w:cs="Times New Roman"/>
        </w:rPr>
        <w:t xml:space="preserve"> razvoj očekuje se da će doći do razdvajanja BDP-a i emisija, odnosno da će doći do rasta BDP-a, a smanjivanja emisija stakleničkih plinova.</w:t>
      </w:r>
    </w:p>
    <w:p w14:paraId="36807AF4" w14:textId="7303E68B" w:rsidR="0020754B" w:rsidRPr="006414E6" w:rsidRDefault="001241B9" w:rsidP="00EE3488">
      <w:pPr>
        <w:pStyle w:val="Heading1"/>
      </w:pPr>
      <w:bookmarkStart w:id="160" w:name="_Toc39133265"/>
      <w:bookmarkStart w:id="161" w:name="_Toc20841296"/>
      <w:bookmarkStart w:id="162" w:name="_Toc20841402"/>
      <w:r w:rsidRPr="006414E6">
        <w:t>3</w:t>
      </w:r>
      <w:r w:rsidR="00F36F43" w:rsidRPr="006414E6">
        <w:t>.</w:t>
      </w:r>
      <w:r w:rsidR="00D94C95" w:rsidRPr="006414E6">
        <w:t xml:space="preserve"> </w:t>
      </w:r>
      <w:r w:rsidR="005464A7" w:rsidRPr="006414E6">
        <w:tab/>
      </w:r>
      <w:r w:rsidR="0020754B" w:rsidRPr="006414E6">
        <w:t xml:space="preserve">UKUPNO SMANJENJE EMISIJA </w:t>
      </w:r>
      <w:r w:rsidR="00EC06AB" w:rsidRPr="006414E6">
        <w:t>STAKLENIČKIH</w:t>
      </w:r>
      <w:r w:rsidR="0020754B" w:rsidRPr="006414E6">
        <w:t xml:space="preserve"> PLINOVA</w:t>
      </w:r>
      <w:bookmarkEnd w:id="160"/>
      <w:r w:rsidR="0020754B" w:rsidRPr="006414E6">
        <w:t xml:space="preserve"> </w:t>
      </w:r>
      <w:bookmarkEnd w:id="161"/>
      <w:bookmarkEnd w:id="162"/>
    </w:p>
    <w:p w14:paraId="7C7B8F75" w14:textId="3C9DA9E8" w:rsidR="005464A7" w:rsidRPr="006414E6" w:rsidRDefault="001241B9" w:rsidP="00EE3488">
      <w:pPr>
        <w:pStyle w:val="Heading2"/>
      </w:pPr>
      <w:bookmarkStart w:id="163" w:name="_Toc39133266"/>
      <w:r w:rsidRPr="006414E6">
        <w:t>3</w:t>
      </w:r>
      <w:r w:rsidR="005464A7" w:rsidRPr="006414E6">
        <w:t>.1.</w:t>
      </w:r>
      <w:r w:rsidR="005464A7" w:rsidRPr="006414E6">
        <w:tab/>
        <w:t>PREDVIĐENA SMANJENJA EMISIJA DO 2050. GODINE</w:t>
      </w:r>
      <w:bookmarkEnd w:id="163"/>
      <w:r w:rsidR="005464A7" w:rsidRPr="006414E6">
        <w:t xml:space="preserve"> </w:t>
      </w:r>
    </w:p>
    <w:p w14:paraId="218D3CF4" w14:textId="77777777" w:rsidR="008A3723" w:rsidRPr="006414E6" w:rsidRDefault="008A3723" w:rsidP="0014675A">
      <w:pPr>
        <w:rPr>
          <w:rFonts w:cs="Times New Roman"/>
        </w:rPr>
      </w:pPr>
      <w:r w:rsidRPr="006414E6">
        <w:rPr>
          <w:rFonts w:cs="Times New Roman"/>
        </w:rPr>
        <w:t xml:space="preserve">Ukupno smanjenje emisija </w:t>
      </w:r>
      <w:r w:rsidR="00CD0966" w:rsidRPr="006414E6">
        <w:rPr>
          <w:rFonts w:cs="Times New Roman"/>
        </w:rPr>
        <w:t xml:space="preserve">stakleničkih plinova </w:t>
      </w:r>
      <w:r w:rsidRPr="006414E6">
        <w:rPr>
          <w:rFonts w:cs="Times New Roman"/>
        </w:rPr>
        <w:t>scenarija NUR, NU1 i NU2 prikazano je u tablici 3-1</w:t>
      </w:r>
      <w:r w:rsidR="007223CC" w:rsidRPr="006414E6">
        <w:rPr>
          <w:rFonts w:cs="Times New Roman"/>
        </w:rPr>
        <w:t xml:space="preserve"> i na slici 3-1</w:t>
      </w:r>
      <w:r w:rsidRPr="006414E6">
        <w:rPr>
          <w:rFonts w:cs="Times New Roman"/>
        </w:rPr>
        <w:t xml:space="preserve">, usporedba je napravljena s 1990. godinom. </w:t>
      </w:r>
    </w:p>
    <w:p w14:paraId="31DC8B6B" w14:textId="77777777" w:rsidR="008A3723" w:rsidRPr="006414E6" w:rsidRDefault="008A3723" w:rsidP="007B35B6">
      <w:pPr>
        <w:rPr>
          <w:rFonts w:cs="Times New Roman"/>
        </w:rPr>
      </w:pPr>
      <w:r w:rsidRPr="006414E6">
        <w:rPr>
          <w:rFonts w:cs="Times New Roman"/>
        </w:rPr>
        <w:t>Ukupno smanjenje emisije scenarija NUR, NU1 i NU2, s obzirom na ETS i sektore izvan ETS-a, prikazano je u tablici 3-2, usporedba je napravljena s 2005. godinom.</w:t>
      </w:r>
    </w:p>
    <w:p w14:paraId="6B0BBF85" w14:textId="77777777" w:rsidR="008A3723" w:rsidRPr="006414E6" w:rsidRDefault="008A3723" w:rsidP="007B35B6">
      <w:pPr>
        <w:rPr>
          <w:rFonts w:cs="Times New Roman"/>
        </w:rPr>
      </w:pPr>
      <w:r w:rsidRPr="006414E6">
        <w:rPr>
          <w:rFonts w:cs="Times New Roman"/>
        </w:rPr>
        <w:t>Pokazatelji obnovljivih izvora energije i energetske učinkovitosti u NUR, NU1 i NU2 scenarijima prikani su u tablici 3-3.</w:t>
      </w:r>
    </w:p>
    <w:p w14:paraId="121D3346" w14:textId="77777777" w:rsidR="008A3723" w:rsidRPr="006414E6" w:rsidRDefault="008A3723" w:rsidP="003079BB">
      <w:pPr>
        <w:pStyle w:val="Tablicanaslov"/>
        <w:spacing w:after="120"/>
        <w:rPr>
          <w:rFonts w:cs="Times New Roman"/>
          <w:i/>
          <w:sz w:val="24"/>
          <w:szCs w:val="24"/>
        </w:rPr>
      </w:pPr>
      <w:bookmarkStart w:id="164" w:name="_Toc434994798"/>
      <w:bookmarkStart w:id="165" w:name="_Toc484158410"/>
      <w:bookmarkStart w:id="166" w:name="_Toc33417110"/>
      <w:r w:rsidRPr="006414E6">
        <w:rPr>
          <w:rFonts w:cs="Times New Roman"/>
          <w:i/>
          <w:sz w:val="24"/>
          <w:szCs w:val="24"/>
        </w:rPr>
        <w:t xml:space="preserve">Tablica </w:t>
      </w:r>
      <w:r w:rsidR="003079BB" w:rsidRPr="006414E6">
        <w:rPr>
          <w:rFonts w:cs="Times New Roman"/>
          <w:i/>
          <w:sz w:val="24"/>
          <w:szCs w:val="24"/>
        </w:rPr>
        <w:t>3-1</w:t>
      </w:r>
      <w:r w:rsidRPr="006414E6">
        <w:rPr>
          <w:rFonts w:cs="Times New Roman"/>
          <w:i/>
          <w:sz w:val="24"/>
          <w:szCs w:val="24"/>
        </w:rPr>
        <w:t xml:space="preserve">: </w:t>
      </w:r>
      <w:r w:rsidR="00CD0966" w:rsidRPr="006414E6">
        <w:rPr>
          <w:rFonts w:cs="Times New Roman"/>
          <w:i/>
          <w:sz w:val="24"/>
          <w:szCs w:val="24"/>
        </w:rPr>
        <w:t>Projekcije s</w:t>
      </w:r>
      <w:r w:rsidRPr="006414E6">
        <w:rPr>
          <w:rFonts w:cs="Times New Roman"/>
          <w:i/>
          <w:sz w:val="24"/>
          <w:szCs w:val="24"/>
        </w:rPr>
        <w:t>manjenj</w:t>
      </w:r>
      <w:r w:rsidR="00CD0966" w:rsidRPr="006414E6">
        <w:rPr>
          <w:rFonts w:cs="Times New Roman"/>
          <w:i/>
          <w:sz w:val="24"/>
          <w:szCs w:val="24"/>
        </w:rPr>
        <w:t>a</w:t>
      </w:r>
      <w:r w:rsidRPr="006414E6">
        <w:rPr>
          <w:rFonts w:cs="Times New Roman"/>
          <w:i/>
          <w:sz w:val="24"/>
          <w:szCs w:val="24"/>
        </w:rPr>
        <w:t xml:space="preserve"> emisija </w:t>
      </w:r>
      <w:bookmarkEnd w:id="164"/>
      <w:r w:rsidRPr="006414E6">
        <w:rPr>
          <w:rFonts w:cs="Times New Roman"/>
          <w:i/>
          <w:sz w:val="24"/>
          <w:szCs w:val="24"/>
        </w:rPr>
        <w:t xml:space="preserve">u </w:t>
      </w:r>
      <w:proofErr w:type="spellStart"/>
      <w:r w:rsidRPr="006414E6">
        <w:rPr>
          <w:rFonts w:cs="Times New Roman"/>
          <w:i/>
          <w:sz w:val="24"/>
          <w:szCs w:val="24"/>
        </w:rPr>
        <w:t>niskougljičnim</w:t>
      </w:r>
      <w:proofErr w:type="spellEnd"/>
      <w:r w:rsidRPr="006414E6">
        <w:rPr>
          <w:rFonts w:cs="Times New Roman"/>
          <w:i/>
          <w:sz w:val="24"/>
          <w:szCs w:val="24"/>
        </w:rPr>
        <w:t xml:space="preserve"> scenarijima</w:t>
      </w:r>
      <w:bookmarkEnd w:id="165"/>
      <w:bookmarkEnd w:id="166"/>
    </w:p>
    <w:tbl>
      <w:tblPr>
        <w:tblW w:w="9109" w:type="dxa"/>
        <w:tblLook w:val="04A0" w:firstRow="1" w:lastRow="0" w:firstColumn="1" w:lastColumn="0" w:noHBand="0" w:noVBand="1"/>
      </w:tblPr>
      <w:tblGrid>
        <w:gridCol w:w="1716"/>
        <w:gridCol w:w="1139"/>
        <w:gridCol w:w="639"/>
        <w:gridCol w:w="1396"/>
        <w:gridCol w:w="639"/>
        <w:gridCol w:w="1418"/>
        <w:gridCol w:w="639"/>
        <w:gridCol w:w="1523"/>
      </w:tblGrid>
      <w:tr w:rsidR="008A3723" w:rsidRPr="006414E6" w14:paraId="576E3C29" w14:textId="77777777" w:rsidTr="003E5145">
        <w:trPr>
          <w:trHeight w:val="308"/>
        </w:trPr>
        <w:tc>
          <w:tcPr>
            <w:tcW w:w="1716" w:type="dxa"/>
            <w:vMerge w:val="restart"/>
            <w:tcBorders>
              <w:top w:val="single" w:sz="4" w:space="0" w:color="auto"/>
              <w:left w:val="single" w:sz="4" w:space="0" w:color="auto"/>
              <w:right w:val="single" w:sz="4" w:space="0" w:color="auto"/>
            </w:tcBorders>
            <w:shd w:val="clear" w:color="000000" w:fill="F2F2F2"/>
            <w:noWrap/>
            <w:vAlign w:val="center"/>
            <w:hideMark/>
          </w:tcPr>
          <w:p w14:paraId="0544C46C" w14:textId="77777777" w:rsidR="008A3723" w:rsidRPr="006414E6" w:rsidRDefault="008A3723" w:rsidP="003079BB">
            <w:pPr>
              <w:jc w:val="left"/>
              <w:rPr>
                <w:rFonts w:cs="Times New Roman"/>
                <w:b/>
                <w:sz w:val="20"/>
                <w:lang w:eastAsia="hr-HR"/>
              </w:rPr>
            </w:pPr>
            <w:r w:rsidRPr="006414E6">
              <w:rPr>
                <w:rFonts w:cs="Times New Roman"/>
                <w:b/>
                <w:sz w:val="20"/>
                <w:lang w:eastAsia="hr-HR"/>
              </w:rPr>
              <w:t>Emisije u odnosu na emisije u 1990. godini (%)</w:t>
            </w:r>
          </w:p>
        </w:tc>
        <w:tc>
          <w:tcPr>
            <w:tcW w:w="1139" w:type="dxa"/>
            <w:tcBorders>
              <w:top w:val="single" w:sz="4" w:space="0" w:color="auto"/>
              <w:left w:val="nil"/>
              <w:bottom w:val="single" w:sz="4" w:space="0" w:color="auto"/>
              <w:right w:val="single" w:sz="4" w:space="0" w:color="auto"/>
            </w:tcBorders>
            <w:shd w:val="clear" w:color="000000" w:fill="F2F2F2"/>
            <w:noWrap/>
            <w:vAlign w:val="center"/>
            <w:hideMark/>
          </w:tcPr>
          <w:p w14:paraId="3A301B5B" w14:textId="77777777" w:rsidR="008A3723" w:rsidRPr="006414E6" w:rsidRDefault="008A3723" w:rsidP="003079BB">
            <w:pPr>
              <w:jc w:val="center"/>
              <w:rPr>
                <w:rFonts w:cs="Times New Roman"/>
                <w:b/>
                <w:sz w:val="20"/>
                <w:lang w:eastAsia="hr-HR"/>
              </w:rPr>
            </w:pPr>
            <w:r w:rsidRPr="006414E6">
              <w:rPr>
                <w:rFonts w:cs="Times New Roman"/>
                <w:b/>
                <w:sz w:val="20"/>
                <w:lang w:eastAsia="hr-HR"/>
              </w:rPr>
              <w:t>201</w:t>
            </w:r>
            <w:r w:rsidR="003079BB" w:rsidRPr="006414E6">
              <w:rPr>
                <w:rFonts w:cs="Times New Roman"/>
                <w:b/>
                <w:sz w:val="20"/>
                <w:lang w:eastAsia="hr-HR"/>
              </w:rPr>
              <w:t>6</w:t>
            </w:r>
            <w:r w:rsidRPr="006414E6">
              <w:rPr>
                <w:rFonts w:cs="Times New Roman"/>
                <w:b/>
                <w:sz w:val="20"/>
                <w:lang w:eastAsia="hr-HR"/>
              </w:rPr>
              <w:t>.</w:t>
            </w:r>
          </w:p>
        </w:tc>
        <w:tc>
          <w:tcPr>
            <w:tcW w:w="2035" w:type="dxa"/>
            <w:gridSpan w:val="2"/>
            <w:tcBorders>
              <w:top w:val="single" w:sz="4" w:space="0" w:color="auto"/>
              <w:left w:val="nil"/>
              <w:bottom w:val="single" w:sz="4" w:space="0" w:color="auto"/>
              <w:right w:val="single" w:sz="4" w:space="0" w:color="auto"/>
            </w:tcBorders>
            <w:shd w:val="clear" w:color="000000" w:fill="F2F2F2"/>
            <w:vAlign w:val="center"/>
          </w:tcPr>
          <w:p w14:paraId="62964DC5" w14:textId="77777777" w:rsidR="008A3723" w:rsidRPr="006414E6" w:rsidRDefault="008A3723" w:rsidP="003079BB">
            <w:pPr>
              <w:jc w:val="center"/>
              <w:rPr>
                <w:rFonts w:cs="Times New Roman"/>
                <w:b/>
                <w:sz w:val="20"/>
                <w:lang w:eastAsia="hr-HR"/>
              </w:rPr>
            </w:pPr>
            <w:r w:rsidRPr="006414E6">
              <w:rPr>
                <w:rFonts w:cs="Times New Roman"/>
                <w:b/>
                <w:sz w:val="20"/>
                <w:lang w:eastAsia="hr-HR"/>
              </w:rPr>
              <w:t>20</w:t>
            </w:r>
            <w:r w:rsidR="003079BB" w:rsidRPr="006414E6">
              <w:rPr>
                <w:rFonts w:cs="Times New Roman"/>
                <w:b/>
                <w:sz w:val="20"/>
                <w:lang w:eastAsia="hr-HR"/>
              </w:rPr>
              <w:t>3</w:t>
            </w:r>
            <w:r w:rsidRPr="006414E6">
              <w:rPr>
                <w:rFonts w:cs="Times New Roman"/>
                <w:b/>
                <w:sz w:val="20"/>
                <w:lang w:eastAsia="hr-HR"/>
              </w:rPr>
              <w:t>0.</w:t>
            </w:r>
          </w:p>
        </w:tc>
        <w:tc>
          <w:tcPr>
            <w:tcW w:w="2057"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3B3264FE" w14:textId="77777777" w:rsidR="008A3723" w:rsidRPr="006414E6" w:rsidRDefault="008A3723" w:rsidP="003079BB">
            <w:pPr>
              <w:jc w:val="center"/>
              <w:rPr>
                <w:rFonts w:cs="Times New Roman"/>
                <w:b/>
                <w:sz w:val="20"/>
                <w:lang w:eastAsia="hr-HR"/>
              </w:rPr>
            </w:pPr>
            <w:r w:rsidRPr="006414E6">
              <w:rPr>
                <w:rFonts w:cs="Times New Roman"/>
                <w:b/>
                <w:sz w:val="20"/>
                <w:lang w:eastAsia="hr-HR"/>
              </w:rPr>
              <w:t>20</w:t>
            </w:r>
            <w:r w:rsidR="003079BB" w:rsidRPr="006414E6">
              <w:rPr>
                <w:rFonts w:cs="Times New Roman"/>
                <w:b/>
                <w:sz w:val="20"/>
                <w:lang w:eastAsia="hr-HR"/>
              </w:rPr>
              <w:t>4</w:t>
            </w:r>
            <w:r w:rsidRPr="006414E6">
              <w:rPr>
                <w:rFonts w:cs="Times New Roman"/>
                <w:b/>
                <w:sz w:val="20"/>
                <w:lang w:eastAsia="hr-HR"/>
              </w:rPr>
              <w:t>0.</w:t>
            </w:r>
          </w:p>
        </w:tc>
        <w:tc>
          <w:tcPr>
            <w:tcW w:w="2162"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175949BB" w14:textId="77777777" w:rsidR="008A3723" w:rsidRPr="006414E6" w:rsidRDefault="008A3723" w:rsidP="003079BB">
            <w:pPr>
              <w:jc w:val="center"/>
              <w:rPr>
                <w:rFonts w:cs="Times New Roman"/>
                <w:b/>
                <w:sz w:val="20"/>
                <w:lang w:eastAsia="hr-HR"/>
              </w:rPr>
            </w:pPr>
            <w:r w:rsidRPr="006414E6">
              <w:rPr>
                <w:rFonts w:cs="Times New Roman"/>
                <w:b/>
                <w:sz w:val="20"/>
                <w:lang w:eastAsia="hr-HR"/>
              </w:rPr>
              <w:t>2050.</w:t>
            </w:r>
          </w:p>
        </w:tc>
      </w:tr>
      <w:tr w:rsidR="008A3723" w:rsidRPr="006414E6" w14:paraId="7E87EF6C" w14:textId="77777777" w:rsidTr="003E5145">
        <w:trPr>
          <w:trHeight w:val="308"/>
        </w:trPr>
        <w:tc>
          <w:tcPr>
            <w:tcW w:w="1716" w:type="dxa"/>
            <w:vMerge/>
            <w:tcBorders>
              <w:left w:val="single" w:sz="4" w:space="0" w:color="auto"/>
              <w:bottom w:val="single" w:sz="4" w:space="0" w:color="auto"/>
              <w:right w:val="single" w:sz="4" w:space="0" w:color="auto"/>
            </w:tcBorders>
            <w:shd w:val="clear" w:color="000000" w:fill="F2F2F2"/>
            <w:noWrap/>
            <w:vAlign w:val="center"/>
          </w:tcPr>
          <w:p w14:paraId="3B06D7B2" w14:textId="77777777" w:rsidR="008A3723" w:rsidRPr="006414E6" w:rsidRDefault="008A3723" w:rsidP="003079BB">
            <w:pPr>
              <w:jc w:val="left"/>
              <w:rPr>
                <w:rFonts w:cs="Times New Roman"/>
                <w:sz w:val="20"/>
                <w:lang w:eastAsia="hr-HR"/>
              </w:rPr>
            </w:pPr>
          </w:p>
        </w:tc>
        <w:tc>
          <w:tcPr>
            <w:tcW w:w="1139" w:type="dxa"/>
            <w:tcBorders>
              <w:top w:val="nil"/>
              <w:left w:val="nil"/>
              <w:bottom w:val="single" w:sz="4" w:space="0" w:color="auto"/>
              <w:right w:val="single" w:sz="4" w:space="0" w:color="auto"/>
            </w:tcBorders>
            <w:shd w:val="clear" w:color="auto" w:fill="F2F2F2" w:themeFill="background1" w:themeFillShade="F2"/>
            <w:noWrap/>
            <w:vAlign w:val="center"/>
          </w:tcPr>
          <w:p w14:paraId="108DA999" w14:textId="77777777" w:rsidR="008A3723" w:rsidRPr="006414E6" w:rsidRDefault="008A3723" w:rsidP="003079BB">
            <w:pPr>
              <w:jc w:val="center"/>
              <w:rPr>
                <w:rFonts w:cs="Times New Roman"/>
                <w:sz w:val="20"/>
                <w:lang w:eastAsia="hr-HR"/>
              </w:rPr>
            </w:pPr>
            <w:r w:rsidRPr="006414E6">
              <w:rPr>
                <w:rFonts w:cs="Times New Roman"/>
                <w:sz w:val="20"/>
                <w:lang w:eastAsia="hr-HR"/>
              </w:rPr>
              <w:t>Ostvareno</w:t>
            </w:r>
          </w:p>
        </w:tc>
        <w:tc>
          <w:tcPr>
            <w:tcW w:w="63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5B01592" w14:textId="77777777" w:rsidR="008A3723" w:rsidRPr="006414E6" w:rsidRDefault="008A3723" w:rsidP="003079BB">
            <w:pPr>
              <w:jc w:val="center"/>
              <w:rPr>
                <w:rFonts w:cs="Times New Roman"/>
                <w:sz w:val="20"/>
                <w:lang w:eastAsia="hr-HR"/>
              </w:rPr>
            </w:pPr>
            <w:r w:rsidRPr="006414E6">
              <w:rPr>
                <w:rFonts w:cs="Times New Roman"/>
                <w:sz w:val="20"/>
                <w:lang w:eastAsia="hr-HR"/>
              </w:rPr>
              <w:t>NUR</w:t>
            </w:r>
          </w:p>
        </w:tc>
        <w:tc>
          <w:tcPr>
            <w:tcW w:w="1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384459" w14:textId="77777777" w:rsidR="008A3723" w:rsidRPr="006414E6" w:rsidRDefault="008A3723" w:rsidP="003079BB">
            <w:pPr>
              <w:jc w:val="center"/>
              <w:rPr>
                <w:rFonts w:cs="Times New Roman"/>
                <w:b/>
                <w:sz w:val="20"/>
                <w:lang w:eastAsia="hr-HR"/>
              </w:rPr>
            </w:pPr>
            <w:r w:rsidRPr="006414E6">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A30104" w14:textId="77777777" w:rsidR="008A3723" w:rsidRPr="006414E6" w:rsidRDefault="008A3723" w:rsidP="003079BB">
            <w:pPr>
              <w:jc w:val="center"/>
              <w:rPr>
                <w:rFonts w:cs="Times New Roman"/>
                <w:sz w:val="20"/>
                <w:lang w:eastAsia="hr-HR"/>
              </w:rPr>
            </w:pPr>
            <w:r w:rsidRPr="006414E6">
              <w:rPr>
                <w:rFonts w:cs="Times New Roman"/>
                <w:sz w:val="20"/>
                <w:lang w:eastAsia="hr-HR"/>
              </w:rPr>
              <w:t>NUR</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6AEBDD" w14:textId="77777777" w:rsidR="008A3723" w:rsidRPr="006414E6" w:rsidRDefault="008A3723" w:rsidP="003079BB">
            <w:pPr>
              <w:jc w:val="center"/>
              <w:rPr>
                <w:rFonts w:cs="Times New Roman"/>
                <w:b/>
                <w:sz w:val="20"/>
                <w:lang w:eastAsia="hr-HR"/>
              </w:rPr>
            </w:pPr>
            <w:r w:rsidRPr="006414E6">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E76F53" w14:textId="77777777" w:rsidR="008A3723" w:rsidRPr="006414E6" w:rsidRDefault="008A3723" w:rsidP="003079BB">
            <w:pPr>
              <w:jc w:val="center"/>
              <w:rPr>
                <w:rFonts w:cs="Times New Roman"/>
                <w:sz w:val="20"/>
                <w:lang w:eastAsia="hr-HR"/>
              </w:rPr>
            </w:pPr>
            <w:r w:rsidRPr="006414E6">
              <w:rPr>
                <w:rFonts w:cs="Times New Roman"/>
                <w:sz w:val="20"/>
                <w:lang w:eastAsia="hr-HR"/>
              </w:rPr>
              <w:t>NUR</w:t>
            </w:r>
          </w:p>
        </w:tc>
        <w:tc>
          <w:tcPr>
            <w:tcW w:w="15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DA6AEAC" w14:textId="77777777" w:rsidR="008A3723" w:rsidRPr="006414E6" w:rsidRDefault="008A3723" w:rsidP="003079BB">
            <w:pPr>
              <w:jc w:val="center"/>
              <w:rPr>
                <w:rFonts w:cs="Times New Roman"/>
                <w:b/>
                <w:sz w:val="20"/>
                <w:lang w:eastAsia="hr-HR"/>
              </w:rPr>
            </w:pPr>
            <w:r w:rsidRPr="006414E6">
              <w:rPr>
                <w:rFonts w:cs="Times New Roman"/>
                <w:b/>
                <w:sz w:val="20"/>
                <w:lang w:eastAsia="hr-HR"/>
              </w:rPr>
              <w:t>NU1 do NU2</w:t>
            </w:r>
          </w:p>
        </w:tc>
      </w:tr>
      <w:tr w:rsidR="008A3723" w:rsidRPr="006414E6" w14:paraId="74EE4EFB" w14:textId="77777777" w:rsidTr="003E5145">
        <w:trPr>
          <w:trHeight w:val="308"/>
        </w:trPr>
        <w:tc>
          <w:tcPr>
            <w:tcW w:w="1716" w:type="dxa"/>
            <w:tcBorders>
              <w:top w:val="nil"/>
              <w:left w:val="single" w:sz="4" w:space="0" w:color="auto"/>
              <w:bottom w:val="single" w:sz="4" w:space="0" w:color="auto"/>
              <w:right w:val="single" w:sz="4" w:space="0" w:color="auto"/>
            </w:tcBorders>
            <w:shd w:val="clear" w:color="000000" w:fill="F2F2F2"/>
            <w:noWrap/>
            <w:vAlign w:val="center"/>
            <w:hideMark/>
          </w:tcPr>
          <w:p w14:paraId="3FF8F4A6" w14:textId="77777777" w:rsidR="008A3723" w:rsidRPr="006414E6" w:rsidRDefault="00321394" w:rsidP="003079BB">
            <w:pPr>
              <w:jc w:val="left"/>
              <w:rPr>
                <w:rFonts w:cs="Times New Roman"/>
                <w:sz w:val="20"/>
                <w:lang w:eastAsia="hr-HR"/>
              </w:rPr>
            </w:pPr>
            <w:r w:rsidRPr="006414E6">
              <w:rPr>
                <w:rFonts w:cs="Times New Roman"/>
                <w:sz w:val="20"/>
                <w:lang w:eastAsia="hr-HR"/>
              </w:rPr>
              <w:t>Proizvodnja električne energije i topline</w:t>
            </w:r>
          </w:p>
        </w:tc>
        <w:tc>
          <w:tcPr>
            <w:tcW w:w="1139" w:type="dxa"/>
            <w:tcBorders>
              <w:top w:val="nil"/>
              <w:left w:val="nil"/>
              <w:bottom w:val="single" w:sz="4" w:space="0" w:color="auto"/>
              <w:right w:val="single" w:sz="4" w:space="0" w:color="auto"/>
            </w:tcBorders>
            <w:shd w:val="clear" w:color="auto" w:fill="auto"/>
            <w:noWrap/>
            <w:vAlign w:val="center"/>
            <w:hideMark/>
          </w:tcPr>
          <w:p w14:paraId="4CCE6C3B" w14:textId="77777777" w:rsidR="008A3723" w:rsidRPr="006414E6" w:rsidRDefault="008A3723" w:rsidP="00222F98">
            <w:pPr>
              <w:jc w:val="center"/>
              <w:rPr>
                <w:rFonts w:cs="Times New Roman"/>
                <w:sz w:val="20"/>
                <w:lang w:eastAsia="hr-HR"/>
              </w:rPr>
            </w:pPr>
            <w:r w:rsidRPr="006414E6">
              <w:rPr>
                <w:rFonts w:cs="Times New Roman"/>
                <w:sz w:val="20"/>
                <w:lang w:eastAsia="hr-HR"/>
              </w:rPr>
              <w:t>-</w:t>
            </w:r>
            <w:r w:rsidR="00222F98" w:rsidRPr="006414E6">
              <w:rPr>
                <w:rFonts w:cs="Times New Roman"/>
                <w:sz w:val="20"/>
                <w:lang w:eastAsia="hr-HR"/>
              </w:rPr>
              <w:t>9,9</w:t>
            </w:r>
          </w:p>
        </w:tc>
        <w:tc>
          <w:tcPr>
            <w:tcW w:w="639" w:type="dxa"/>
            <w:tcBorders>
              <w:top w:val="single" w:sz="4" w:space="0" w:color="auto"/>
              <w:left w:val="nil"/>
              <w:bottom w:val="single" w:sz="4" w:space="0" w:color="auto"/>
              <w:right w:val="single" w:sz="4" w:space="0" w:color="auto"/>
            </w:tcBorders>
            <w:vAlign w:val="center"/>
          </w:tcPr>
          <w:p w14:paraId="261AEACD" w14:textId="77777777" w:rsidR="008A3723" w:rsidRPr="006414E6" w:rsidRDefault="003E5145" w:rsidP="00321394">
            <w:pPr>
              <w:jc w:val="center"/>
              <w:rPr>
                <w:rFonts w:cs="Times New Roman"/>
                <w:sz w:val="20"/>
                <w:lang w:eastAsia="hr-HR"/>
              </w:rPr>
            </w:pPr>
            <w:r w:rsidRPr="006414E6">
              <w:rPr>
                <w:rFonts w:cs="Times New Roman"/>
                <w:sz w:val="20"/>
                <w:lang w:eastAsia="hr-HR"/>
              </w:rPr>
              <w:t>-4</w:t>
            </w:r>
            <w:r w:rsidR="00321394" w:rsidRPr="006414E6">
              <w:rPr>
                <w:rFonts w:cs="Times New Roman"/>
                <w:sz w:val="20"/>
                <w:lang w:eastAsia="hr-HR"/>
              </w:rPr>
              <w:t>2,8</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E8C5E" w14:textId="77777777" w:rsidR="008A3723" w:rsidRPr="006414E6" w:rsidRDefault="008A3723" w:rsidP="00321394">
            <w:pPr>
              <w:jc w:val="center"/>
              <w:rPr>
                <w:rFonts w:cs="Times New Roman"/>
                <w:b/>
                <w:sz w:val="20"/>
                <w:lang w:eastAsia="hr-HR"/>
              </w:rPr>
            </w:pPr>
            <w:r w:rsidRPr="006414E6">
              <w:rPr>
                <w:rFonts w:cs="Times New Roman"/>
                <w:b/>
                <w:sz w:val="20"/>
                <w:lang w:eastAsia="hr-HR"/>
              </w:rPr>
              <w:t>-</w:t>
            </w:r>
            <w:r w:rsidR="00321394" w:rsidRPr="006414E6">
              <w:rPr>
                <w:rFonts w:cs="Times New Roman"/>
                <w:b/>
                <w:sz w:val="20"/>
                <w:lang w:eastAsia="hr-HR"/>
              </w:rPr>
              <w:t>49,7</w:t>
            </w:r>
            <w:r w:rsidRPr="006414E6">
              <w:rPr>
                <w:rFonts w:cs="Times New Roman"/>
                <w:b/>
                <w:sz w:val="20"/>
                <w:lang w:eastAsia="hr-HR"/>
              </w:rPr>
              <w:t xml:space="preserve"> do -</w:t>
            </w:r>
            <w:r w:rsidR="00321394" w:rsidRPr="006414E6">
              <w:rPr>
                <w:rFonts w:cs="Times New Roman"/>
                <w:b/>
                <w:sz w:val="20"/>
                <w:lang w:eastAsia="hr-HR"/>
              </w:rPr>
              <w:t>53,3</w:t>
            </w:r>
          </w:p>
        </w:tc>
        <w:tc>
          <w:tcPr>
            <w:tcW w:w="639" w:type="dxa"/>
            <w:tcBorders>
              <w:top w:val="single" w:sz="4" w:space="0" w:color="auto"/>
              <w:left w:val="single" w:sz="4" w:space="0" w:color="auto"/>
              <w:bottom w:val="single" w:sz="4" w:space="0" w:color="auto"/>
              <w:right w:val="single" w:sz="4" w:space="0" w:color="auto"/>
            </w:tcBorders>
            <w:vAlign w:val="center"/>
          </w:tcPr>
          <w:p w14:paraId="504BE071" w14:textId="77777777" w:rsidR="008A3723" w:rsidRPr="006414E6" w:rsidRDefault="003E5145" w:rsidP="00321394">
            <w:pPr>
              <w:jc w:val="center"/>
              <w:rPr>
                <w:rFonts w:cs="Times New Roman"/>
                <w:sz w:val="20"/>
                <w:lang w:eastAsia="hr-HR"/>
              </w:rPr>
            </w:pPr>
            <w:r w:rsidRPr="006414E6">
              <w:rPr>
                <w:rFonts w:cs="Times New Roman"/>
                <w:sz w:val="20"/>
                <w:lang w:eastAsia="hr-HR"/>
              </w:rPr>
              <w:t>-</w:t>
            </w:r>
            <w:r w:rsidR="00321394" w:rsidRPr="006414E6">
              <w:rPr>
                <w:rFonts w:cs="Times New Roman"/>
                <w:sz w:val="20"/>
                <w:lang w:eastAsia="hr-HR"/>
              </w:rPr>
              <w:t>53,3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E3748" w14:textId="77777777" w:rsidR="008A3723" w:rsidRPr="006414E6" w:rsidRDefault="008A3723" w:rsidP="00321394">
            <w:pPr>
              <w:jc w:val="center"/>
              <w:rPr>
                <w:rFonts w:cs="Times New Roman"/>
                <w:b/>
                <w:sz w:val="20"/>
                <w:lang w:eastAsia="hr-HR"/>
              </w:rPr>
            </w:pPr>
            <w:r w:rsidRPr="006414E6">
              <w:rPr>
                <w:rFonts w:cs="Times New Roman"/>
                <w:b/>
                <w:sz w:val="20"/>
                <w:lang w:eastAsia="hr-HR"/>
              </w:rPr>
              <w:t>-</w:t>
            </w:r>
            <w:r w:rsidR="00321394" w:rsidRPr="006414E6">
              <w:rPr>
                <w:rFonts w:cs="Times New Roman"/>
                <w:b/>
                <w:sz w:val="20"/>
                <w:lang w:eastAsia="hr-HR"/>
              </w:rPr>
              <w:t>65,6</w:t>
            </w:r>
            <w:r w:rsidR="003E5145" w:rsidRPr="006414E6">
              <w:rPr>
                <w:rFonts w:cs="Times New Roman"/>
                <w:b/>
                <w:sz w:val="20"/>
                <w:lang w:eastAsia="hr-HR"/>
              </w:rPr>
              <w:t xml:space="preserve"> do -</w:t>
            </w:r>
            <w:r w:rsidR="00321394" w:rsidRPr="006414E6">
              <w:rPr>
                <w:rFonts w:cs="Times New Roman"/>
                <w:b/>
                <w:sz w:val="20"/>
                <w:lang w:eastAsia="hr-HR"/>
              </w:rPr>
              <w:t>79,3</w:t>
            </w:r>
          </w:p>
        </w:tc>
        <w:tc>
          <w:tcPr>
            <w:tcW w:w="639" w:type="dxa"/>
            <w:tcBorders>
              <w:top w:val="single" w:sz="4" w:space="0" w:color="auto"/>
              <w:left w:val="single" w:sz="4" w:space="0" w:color="auto"/>
              <w:bottom w:val="single" w:sz="4" w:space="0" w:color="auto"/>
              <w:right w:val="single" w:sz="4" w:space="0" w:color="auto"/>
            </w:tcBorders>
            <w:vAlign w:val="center"/>
          </w:tcPr>
          <w:p w14:paraId="12CB6BAC" w14:textId="77777777" w:rsidR="008A3723" w:rsidRPr="006414E6" w:rsidRDefault="003E5145" w:rsidP="00166BCA">
            <w:pPr>
              <w:jc w:val="center"/>
              <w:rPr>
                <w:rFonts w:cs="Times New Roman"/>
                <w:sz w:val="20"/>
                <w:lang w:eastAsia="hr-HR"/>
              </w:rPr>
            </w:pPr>
            <w:r w:rsidRPr="006414E6">
              <w:rPr>
                <w:rFonts w:cs="Times New Roman"/>
                <w:sz w:val="20"/>
                <w:lang w:eastAsia="hr-HR"/>
              </w:rPr>
              <w:t>-</w:t>
            </w:r>
            <w:r w:rsidR="00166BCA" w:rsidRPr="006414E6">
              <w:rPr>
                <w:rFonts w:cs="Times New Roman"/>
                <w:sz w:val="20"/>
                <w:lang w:eastAsia="hr-HR"/>
              </w:rPr>
              <w:t>56,7</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E66E6" w14:textId="77777777" w:rsidR="008A3723" w:rsidRPr="006414E6" w:rsidRDefault="008A3723" w:rsidP="00166BCA">
            <w:pPr>
              <w:jc w:val="center"/>
              <w:rPr>
                <w:rFonts w:cs="Times New Roman"/>
                <w:b/>
                <w:sz w:val="20"/>
                <w:lang w:eastAsia="hr-HR"/>
              </w:rPr>
            </w:pPr>
            <w:r w:rsidRPr="006414E6">
              <w:rPr>
                <w:rFonts w:cs="Times New Roman"/>
                <w:b/>
                <w:sz w:val="20"/>
                <w:lang w:eastAsia="hr-HR"/>
              </w:rPr>
              <w:t>-</w:t>
            </w:r>
            <w:r w:rsidR="00166BCA" w:rsidRPr="006414E6">
              <w:rPr>
                <w:rFonts w:cs="Times New Roman"/>
                <w:b/>
                <w:sz w:val="20"/>
                <w:lang w:eastAsia="hr-HR"/>
              </w:rPr>
              <w:t xml:space="preserve">61,0 </w:t>
            </w:r>
            <w:r w:rsidRPr="006414E6">
              <w:rPr>
                <w:rFonts w:cs="Times New Roman"/>
                <w:b/>
                <w:sz w:val="20"/>
                <w:lang w:eastAsia="hr-HR"/>
              </w:rPr>
              <w:t>do -9</w:t>
            </w:r>
            <w:r w:rsidR="00166BCA" w:rsidRPr="006414E6">
              <w:rPr>
                <w:rFonts w:cs="Times New Roman"/>
                <w:b/>
                <w:sz w:val="20"/>
                <w:lang w:eastAsia="hr-HR"/>
              </w:rPr>
              <w:t>3,3</w:t>
            </w:r>
          </w:p>
        </w:tc>
      </w:tr>
      <w:tr w:rsidR="00166BCA" w:rsidRPr="006414E6" w14:paraId="52C0A4EF" w14:textId="77777777" w:rsidTr="003E5145">
        <w:trPr>
          <w:trHeight w:val="308"/>
        </w:trPr>
        <w:tc>
          <w:tcPr>
            <w:tcW w:w="1716" w:type="dxa"/>
            <w:tcBorders>
              <w:top w:val="nil"/>
              <w:left w:val="single" w:sz="4" w:space="0" w:color="auto"/>
              <w:bottom w:val="single" w:sz="4" w:space="0" w:color="auto"/>
              <w:right w:val="single" w:sz="4" w:space="0" w:color="auto"/>
            </w:tcBorders>
            <w:shd w:val="clear" w:color="000000" w:fill="F2F2F2"/>
            <w:noWrap/>
            <w:vAlign w:val="center"/>
          </w:tcPr>
          <w:p w14:paraId="7558F3AF" w14:textId="77777777" w:rsidR="00166BCA" w:rsidRPr="006414E6" w:rsidRDefault="00166BCA" w:rsidP="00166BCA">
            <w:pPr>
              <w:jc w:val="left"/>
              <w:rPr>
                <w:rFonts w:cs="Times New Roman"/>
                <w:sz w:val="20"/>
                <w:lang w:eastAsia="hr-HR"/>
              </w:rPr>
            </w:pPr>
            <w:r w:rsidRPr="006414E6">
              <w:rPr>
                <w:rFonts w:cs="Times New Roman"/>
                <w:sz w:val="20"/>
                <w:lang w:eastAsia="hr-HR"/>
              </w:rPr>
              <w:t>Proizvodnja i prerada goriva</w:t>
            </w:r>
          </w:p>
        </w:tc>
        <w:tc>
          <w:tcPr>
            <w:tcW w:w="1139" w:type="dxa"/>
            <w:tcBorders>
              <w:top w:val="nil"/>
              <w:left w:val="nil"/>
              <w:bottom w:val="single" w:sz="4" w:space="0" w:color="auto"/>
              <w:right w:val="single" w:sz="4" w:space="0" w:color="auto"/>
            </w:tcBorders>
            <w:shd w:val="clear" w:color="auto" w:fill="auto"/>
            <w:noWrap/>
            <w:vAlign w:val="center"/>
          </w:tcPr>
          <w:p w14:paraId="70896E31" w14:textId="77777777" w:rsidR="00166BCA" w:rsidRPr="006414E6" w:rsidRDefault="00166BCA" w:rsidP="00870FA2">
            <w:pPr>
              <w:jc w:val="center"/>
              <w:rPr>
                <w:rFonts w:cs="Times New Roman"/>
                <w:sz w:val="20"/>
                <w:lang w:eastAsia="hr-HR"/>
              </w:rPr>
            </w:pPr>
            <w:r w:rsidRPr="006414E6">
              <w:rPr>
                <w:rFonts w:cs="Times New Roman"/>
                <w:sz w:val="20"/>
                <w:lang w:eastAsia="hr-HR"/>
              </w:rPr>
              <w:t>-</w:t>
            </w:r>
            <w:r w:rsidR="00870FA2" w:rsidRPr="006414E6">
              <w:rPr>
                <w:rFonts w:cs="Times New Roman"/>
                <w:sz w:val="20"/>
                <w:lang w:eastAsia="hr-HR"/>
              </w:rPr>
              <w:t>55,7</w:t>
            </w:r>
          </w:p>
        </w:tc>
        <w:tc>
          <w:tcPr>
            <w:tcW w:w="639" w:type="dxa"/>
            <w:tcBorders>
              <w:top w:val="single" w:sz="4" w:space="0" w:color="auto"/>
              <w:left w:val="nil"/>
              <w:bottom w:val="single" w:sz="4" w:space="0" w:color="auto"/>
              <w:right w:val="single" w:sz="4" w:space="0" w:color="auto"/>
            </w:tcBorders>
            <w:vAlign w:val="center"/>
          </w:tcPr>
          <w:p w14:paraId="6355441C" w14:textId="77777777" w:rsidR="00166BCA" w:rsidRPr="006414E6" w:rsidRDefault="00166BCA" w:rsidP="00166BCA">
            <w:pPr>
              <w:jc w:val="center"/>
              <w:rPr>
                <w:rFonts w:cs="Times New Roman"/>
                <w:sz w:val="20"/>
                <w:lang w:eastAsia="hr-HR"/>
              </w:rPr>
            </w:pPr>
            <w:r w:rsidRPr="006414E6">
              <w:rPr>
                <w:rFonts w:cs="Times New Roman"/>
                <w:sz w:val="20"/>
                <w:lang w:eastAsia="hr-HR"/>
              </w:rPr>
              <w:t>-55,4</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2DF2E" w14:textId="77777777" w:rsidR="00166BCA" w:rsidRPr="006414E6" w:rsidRDefault="00166BCA" w:rsidP="00166BCA">
            <w:pPr>
              <w:jc w:val="center"/>
              <w:rPr>
                <w:rFonts w:cs="Times New Roman"/>
                <w:b/>
                <w:sz w:val="20"/>
                <w:lang w:eastAsia="hr-HR"/>
              </w:rPr>
            </w:pPr>
            <w:r w:rsidRPr="006414E6">
              <w:rPr>
                <w:rFonts w:cs="Times New Roman"/>
                <w:b/>
                <w:sz w:val="20"/>
                <w:lang w:eastAsia="hr-HR"/>
              </w:rPr>
              <w:t>-55,8 do -56,0</w:t>
            </w:r>
          </w:p>
        </w:tc>
        <w:tc>
          <w:tcPr>
            <w:tcW w:w="639" w:type="dxa"/>
            <w:tcBorders>
              <w:top w:val="single" w:sz="4" w:space="0" w:color="auto"/>
              <w:left w:val="single" w:sz="4" w:space="0" w:color="auto"/>
              <w:bottom w:val="single" w:sz="4" w:space="0" w:color="auto"/>
              <w:right w:val="single" w:sz="4" w:space="0" w:color="auto"/>
            </w:tcBorders>
            <w:vAlign w:val="center"/>
          </w:tcPr>
          <w:p w14:paraId="29D8CEF7" w14:textId="77777777" w:rsidR="00166BCA" w:rsidRPr="006414E6" w:rsidRDefault="00166BCA" w:rsidP="00166BCA">
            <w:pPr>
              <w:jc w:val="center"/>
              <w:rPr>
                <w:rFonts w:cs="Times New Roman"/>
                <w:sz w:val="20"/>
                <w:lang w:eastAsia="hr-HR"/>
              </w:rPr>
            </w:pPr>
            <w:r w:rsidRPr="006414E6">
              <w:rPr>
                <w:rFonts w:cs="Times New Roman"/>
                <w:sz w:val="20"/>
                <w:lang w:eastAsia="hr-HR"/>
              </w:rPr>
              <w:t>-61,5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898BE" w14:textId="77777777" w:rsidR="00166BCA" w:rsidRPr="006414E6" w:rsidRDefault="00166BCA" w:rsidP="00166BCA">
            <w:pPr>
              <w:jc w:val="center"/>
              <w:rPr>
                <w:rFonts w:cs="Times New Roman"/>
                <w:b/>
                <w:sz w:val="20"/>
                <w:lang w:eastAsia="hr-HR"/>
              </w:rPr>
            </w:pPr>
            <w:r w:rsidRPr="006414E6">
              <w:rPr>
                <w:rFonts w:cs="Times New Roman"/>
                <w:b/>
                <w:sz w:val="20"/>
                <w:lang w:eastAsia="hr-HR"/>
              </w:rPr>
              <w:t>-62,8 do -63,7</w:t>
            </w:r>
          </w:p>
        </w:tc>
        <w:tc>
          <w:tcPr>
            <w:tcW w:w="639" w:type="dxa"/>
            <w:tcBorders>
              <w:top w:val="single" w:sz="4" w:space="0" w:color="auto"/>
              <w:left w:val="single" w:sz="4" w:space="0" w:color="auto"/>
              <w:bottom w:val="single" w:sz="4" w:space="0" w:color="auto"/>
              <w:right w:val="single" w:sz="4" w:space="0" w:color="auto"/>
            </w:tcBorders>
            <w:vAlign w:val="center"/>
          </w:tcPr>
          <w:p w14:paraId="7C58A802" w14:textId="77777777" w:rsidR="00166BCA" w:rsidRPr="006414E6" w:rsidRDefault="00166BCA" w:rsidP="00166BCA">
            <w:pPr>
              <w:jc w:val="center"/>
              <w:rPr>
                <w:rFonts w:cs="Times New Roman"/>
                <w:sz w:val="20"/>
                <w:lang w:eastAsia="hr-HR"/>
              </w:rPr>
            </w:pPr>
            <w:r w:rsidRPr="006414E6">
              <w:rPr>
                <w:rFonts w:cs="Times New Roman"/>
                <w:sz w:val="20"/>
                <w:lang w:eastAsia="hr-HR"/>
              </w:rPr>
              <w:t>-72,9</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23FA6" w14:textId="77777777" w:rsidR="00166BCA" w:rsidRPr="006414E6" w:rsidRDefault="00166BCA" w:rsidP="00BD2BC1">
            <w:pPr>
              <w:jc w:val="center"/>
              <w:rPr>
                <w:rFonts w:cs="Times New Roman"/>
                <w:b/>
                <w:sz w:val="20"/>
                <w:lang w:eastAsia="hr-HR"/>
              </w:rPr>
            </w:pPr>
            <w:r w:rsidRPr="006414E6">
              <w:rPr>
                <w:rFonts w:cs="Times New Roman"/>
                <w:b/>
                <w:sz w:val="20"/>
                <w:lang w:eastAsia="hr-HR"/>
              </w:rPr>
              <w:t>-</w:t>
            </w:r>
            <w:r w:rsidR="00BD2BC1" w:rsidRPr="006414E6">
              <w:rPr>
                <w:rFonts w:cs="Times New Roman"/>
                <w:b/>
                <w:sz w:val="20"/>
                <w:lang w:eastAsia="hr-HR"/>
              </w:rPr>
              <w:t>74,7</w:t>
            </w:r>
            <w:r w:rsidRPr="006414E6">
              <w:rPr>
                <w:rFonts w:cs="Times New Roman"/>
                <w:b/>
                <w:sz w:val="20"/>
                <w:lang w:eastAsia="hr-HR"/>
              </w:rPr>
              <w:t xml:space="preserve"> do -</w:t>
            </w:r>
            <w:r w:rsidR="00BD2BC1" w:rsidRPr="006414E6">
              <w:rPr>
                <w:rFonts w:cs="Times New Roman"/>
                <w:b/>
                <w:sz w:val="20"/>
                <w:lang w:eastAsia="hr-HR"/>
              </w:rPr>
              <w:t>75,9</w:t>
            </w:r>
          </w:p>
        </w:tc>
      </w:tr>
      <w:tr w:rsidR="00166BCA" w:rsidRPr="006414E6" w14:paraId="7677FEFB" w14:textId="77777777" w:rsidTr="003E5145">
        <w:trPr>
          <w:trHeight w:val="308"/>
        </w:trPr>
        <w:tc>
          <w:tcPr>
            <w:tcW w:w="1716" w:type="dxa"/>
            <w:tcBorders>
              <w:top w:val="nil"/>
              <w:left w:val="single" w:sz="4" w:space="0" w:color="auto"/>
              <w:bottom w:val="single" w:sz="4" w:space="0" w:color="auto"/>
              <w:right w:val="single" w:sz="4" w:space="0" w:color="auto"/>
            </w:tcBorders>
            <w:shd w:val="clear" w:color="000000" w:fill="F2F2F2"/>
            <w:noWrap/>
            <w:vAlign w:val="center"/>
            <w:hideMark/>
          </w:tcPr>
          <w:p w14:paraId="438458BD" w14:textId="77777777" w:rsidR="00166BCA" w:rsidRPr="006414E6" w:rsidRDefault="00166BCA" w:rsidP="00166BCA">
            <w:pPr>
              <w:jc w:val="left"/>
              <w:rPr>
                <w:rFonts w:cs="Times New Roman"/>
                <w:sz w:val="20"/>
                <w:lang w:eastAsia="hr-HR"/>
              </w:rPr>
            </w:pPr>
            <w:r w:rsidRPr="006414E6">
              <w:rPr>
                <w:rFonts w:cs="Times New Roman"/>
                <w:sz w:val="20"/>
                <w:lang w:eastAsia="hr-HR"/>
              </w:rPr>
              <w:t>Promet</w:t>
            </w:r>
          </w:p>
        </w:tc>
        <w:tc>
          <w:tcPr>
            <w:tcW w:w="1139" w:type="dxa"/>
            <w:tcBorders>
              <w:top w:val="nil"/>
              <w:left w:val="nil"/>
              <w:bottom w:val="single" w:sz="4" w:space="0" w:color="auto"/>
              <w:right w:val="single" w:sz="4" w:space="0" w:color="auto"/>
            </w:tcBorders>
            <w:shd w:val="clear" w:color="auto" w:fill="auto"/>
            <w:noWrap/>
            <w:vAlign w:val="center"/>
            <w:hideMark/>
          </w:tcPr>
          <w:p w14:paraId="474D246D" w14:textId="77777777" w:rsidR="00166BCA" w:rsidRPr="006414E6" w:rsidRDefault="00166BCA" w:rsidP="00166BCA">
            <w:pPr>
              <w:jc w:val="center"/>
              <w:rPr>
                <w:rFonts w:cs="Times New Roman"/>
                <w:sz w:val="20"/>
                <w:lang w:eastAsia="hr-HR"/>
              </w:rPr>
            </w:pPr>
            <w:r w:rsidRPr="006414E6">
              <w:rPr>
                <w:rFonts w:cs="Times New Roman"/>
                <w:sz w:val="20"/>
                <w:lang w:eastAsia="hr-HR"/>
              </w:rPr>
              <w:t>59,1</w:t>
            </w:r>
          </w:p>
        </w:tc>
        <w:tc>
          <w:tcPr>
            <w:tcW w:w="639" w:type="dxa"/>
            <w:tcBorders>
              <w:top w:val="single" w:sz="4" w:space="0" w:color="auto"/>
              <w:left w:val="nil"/>
              <w:bottom w:val="single" w:sz="4" w:space="0" w:color="auto"/>
              <w:right w:val="single" w:sz="4" w:space="0" w:color="auto"/>
            </w:tcBorders>
            <w:vAlign w:val="center"/>
          </w:tcPr>
          <w:p w14:paraId="757B344C" w14:textId="77777777" w:rsidR="00166BCA" w:rsidRPr="006414E6" w:rsidRDefault="00166BCA" w:rsidP="00166BCA">
            <w:pPr>
              <w:jc w:val="center"/>
              <w:rPr>
                <w:rFonts w:cs="Times New Roman"/>
                <w:sz w:val="20"/>
                <w:lang w:eastAsia="hr-HR"/>
              </w:rPr>
            </w:pPr>
            <w:r w:rsidRPr="006414E6">
              <w:rPr>
                <w:rFonts w:cs="Times New Roman"/>
                <w:sz w:val="20"/>
                <w:lang w:eastAsia="hr-HR"/>
              </w:rPr>
              <w:t>63,8</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24B7C" w14:textId="77777777" w:rsidR="00166BCA" w:rsidRPr="006414E6" w:rsidRDefault="00166BCA" w:rsidP="00166BCA">
            <w:pPr>
              <w:jc w:val="center"/>
              <w:rPr>
                <w:rFonts w:cs="Times New Roman"/>
                <w:b/>
                <w:sz w:val="20"/>
                <w:lang w:eastAsia="hr-HR"/>
              </w:rPr>
            </w:pPr>
            <w:r w:rsidRPr="006414E6">
              <w:rPr>
                <w:rFonts w:cs="Times New Roman"/>
                <w:b/>
                <w:sz w:val="20"/>
                <w:lang w:eastAsia="hr-HR"/>
              </w:rPr>
              <w:t>51,4 do 44,0</w:t>
            </w:r>
          </w:p>
        </w:tc>
        <w:tc>
          <w:tcPr>
            <w:tcW w:w="639" w:type="dxa"/>
            <w:tcBorders>
              <w:top w:val="single" w:sz="4" w:space="0" w:color="auto"/>
              <w:left w:val="single" w:sz="4" w:space="0" w:color="auto"/>
              <w:bottom w:val="single" w:sz="4" w:space="0" w:color="auto"/>
              <w:right w:val="single" w:sz="4" w:space="0" w:color="auto"/>
            </w:tcBorders>
            <w:vAlign w:val="center"/>
          </w:tcPr>
          <w:p w14:paraId="1166A1E7" w14:textId="77777777" w:rsidR="00166BCA" w:rsidRPr="006414E6" w:rsidRDefault="00166BCA" w:rsidP="00166BCA">
            <w:pPr>
              <w:jc w:val="center"/>
              <w:rPr>
                <w:rFonts w:cs="Times New Roman"/>
                <w:sz w:val="20"/>
                <w:lang w:eastAsia="hr-HR"/>
              </w:rPr>
            </w:pPr>
            <w:r w:rsidRPr="006414E6">
              <w:rPr>
                <w:rFonts w:cs="Times New Roman"/>
                <w:sz w:val="20"/>
                <w:lang w:eastAsia="hr-HR"/>
              </w:rPr>
              <w:t>31,7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DC3D5" w14:textId="77777777" w:rsidR="00166BCA" w:rsidRPr="006414E6" w:rsidRDefault="00166BCA" w:rsidP="00166BCA">
            <w:pPr>
              <w:jc w:val="center"/>
              <w:rPr>
                <w:rFonts w:cs="Times New Roman"/>
                <w:b/>
                <w:sz w:val="20"/>
                <w:lang w:eastAsia="hr-HR"/>
              </w:rPr>
            </w:pPr>
            <w:r w:rsidRPr="006414E6">
              <w:rPr>
                <w:rFonts w:cs="Times New Roman"/>
                <w:b/>
                <w:sz w:val="20"/>
                <w:lang w:eastAsia="hr-HR"/>
              </w:rPr>
              <w:t>20,7 do 16,8</w:t>
            </w:r>
          </w:p>
        </w:tc>
        <w:tc>
          <w:tcPr>
            <w:tcW w:w="639" w:type="dxa"/>
            <w:tcBorders>
              <w:top w:val="single" w:sz="4" w:space="0" w:color="auto"/>
              <w:left w:val="single" w:sz="4" w:space="0" w:color="auto"/>
              <w:bottom w:val="single" w:sz="4" w:space="0" w:color="auto"/>
              <w:right w:val="single" w:sz="4" w:space="0" w:color="auto"/>
            </w:tcBorders>
            <w:vAlign w:val="center"/>
          </w:tcPr>
          <w:p w14:paraId="0D2E7C9A" w14:textId="77777777" w:rsidR="00166BCA" w:rsidRPr="006414E6" w:rsidRDefault="00166BCA" w:rsidP="00166BCA">
            <w:pPr>
              <w:jc w:val="center"/>
              <w:rPr>
                <w:rFonts w:cs="Times New Roman"/>
                <w:sz w:val="20"/>
                <w:lang w:eastAsia="hr-HR"/>
              </w:rPr>
            </w:pPr>
            <w:r w:rsidRPr="006414E6">
              <w:rPr>
                <w:rFonts w:cs="Times New Roman"/>
                <w:sz w:val="20"/>
                <w:lang w:eastAsia="hr-HR"/>
              </w:rPr>
              <w:t>-1,4</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ED897" w14:textId="77777777" w:rsidR="00166BCA" w:rsidRPr="006414E6" w:rsidRDefault="00166BCA" w:rsidP="00166BCA">
            <w:pPr>
              <w:jc w:val="center"/>
              <w:rPr>
                <w:rFonts w:cs="Times New Roman"/>
                <w:b/>
                <w:sz w:val="20"/>
                <w:lang w:eastAsia="hr-HR"/>
              </w:rPr>
            </w:pPr>
            <w:r w:rsidRPr="006414E6">
              <w:rPr>
                <w:rFonts w:cs="Times New Roman"/>
                <w:b/>
                <w:sz w:val="20"/>
                <w:lang w:eastAsia="hr-HR"/>
              </w:rPr>
              <w:t>-28,3 do -55,4</w:t>
            </w:r>
          </w:p>
        </w:tc>
      </w:tr>
      <w:tr w:rsidR="00166BCA" w:rsidRPr="006414E6" w14:paraId="5DF29D8E" w14:textId="77777777" w:rsidTr="003E5145">
        <w:trPr>
          <w:trHeight w:val="308"/>
        </w:trPr>
        <w:tc>
          <w:tcPr>
            <w:tcW w:w="1716" w:type="dxa"/>
            <w:tcBorders>
              <w:top w:val="nil"/>
              <w:left w:val="single" w:sz="4" w:space="0" w:color="auto"/>
              <w:bottom w:val="single" w:sz="4" w:space="0" w:color="auto"/>
              <w:right w:val="single" w:sz="4" w:space="0" w:color="auto"/>
            </w:tcBorders>
            <w:shd w:val="clear" w:color="000000" w:fill="F2F2F2"/>
            <w:noWrap/>
            <w:vAlign w:val="center"/>
            <w:hideMark/>
          </w:tcPr>
          <w:p w14:paraId="747DD320" w14:textId="77777777" w:rsidR="00166BCA" w:rsidRPr="006414E6" w:rsidRDefault="00166BCA" w:rsidP="00166BCA">
            <w:pPr>
              <w:jc w:val="left"/>
              <w:rPr>
                <w:rFonts w:cs="Times New Roman"/>
                <w:sz w:val="20"/>
                <w:lang w:eastAsia="hr-HR"/>
              </w:rPr>
            </w:pPr>
            <w:r w:rsidRPr="006414E6">
              <w:rPr>
                <w:rFonts w:cs="Times New Roman"/>
                <w:sz w:val="20"/>
                <w:lang w:eastAsia="hr-HR"/>
              </w:rPr>
              <w:t xml:space="preserve">Sektor opće potrošnje </w:t>
            </w:r>
          </w:p>
        </w:tc>
        <w:tc>
          <w:tcPr>
            <w:tcW w:w="1139" w:type="dxa"/>
            <w:tcBorders>
              <w:top w:val="nil"/>
              <w:left w:val="nil"/>
              <w:bottom w:val="single" w:sz="4" w:space="0" w:color="auto"/>
              <w:right w:val="single" w:sz="4" w:space="0" w:color="auto"/>
            </w:tcBorders>
            <w:shd w:val="clear" w:color="auto" w:fill="auto"/>
            <w:noWrap/>
            <w:vAlign w:val="center"/>
            <w:hideMark/>
          </w:tcPr>
          <w:p w14:paraId="1A195ADA" w14:textId="77777777" w:rsidR="00166BCA" w:rsidRPr="006414E6" w:rsidRDefault="00870FA2" w:rsidP="00166BCA">
            <w:pPr>
              <w:jc w:val="center"/>
              <w:rPr>
                <w:rFonts w:cs="Times New Roman"/>
                <w:sz w:val="20"/>
                <w:lang w:eastAsia="hr-HR"/>
              </w:rPr>
            </w:pPr>
            <w:r w:rsidRPr="006414E6">
              <w:rPr>
                <w:rFonts w:cs="Times New Roman"/>
                <w:sz w:val="20"/>
                <w:lang w:eastAsia="hr-HR"/>
              </w:rPr>
              <w:t>-22,3</w:t>
            </w:r>
          </w:p>
        </w:tc>
        <w:tc>
          <w:tcPr>
            <w:tcW w:w="639" w:type="dxa"/>
            <w:tcBorders>
              <w:top w:val="single" w:sz="4" w:space="0" w:color="auto"/>
              <w:left w:val="nil"/>
              <w:bottom w:val="single" w:sz="4" w:space="0" w:color="auto"/>
              <w:right w:val="single" w:sz="4" w:space="0" w:color="auto"/>
            </w:tcBorders>
            <w:vAlign w:val="center"/>
          </w:tcPr>
          <w:p w14:paraId="59BF2A25" w14:textId="77777777" w:rsidR="00166BCA" w:rsidRPr="006414E6" w:rsidRDefault="00166BCA" w:rsidP="00166BCA">
            <w:pPr>
              <w:jc w:val="center"/>
              <w:rPr>
                <w:rFonts w:cs="Times New Roman"/>
                <w:sz w:val="20"/>
                <w:lang w:eastAsia="hr-HR"/>
              </w:rPr>
            </w:pPr>
            <w:r w:rsidRPr="006414E6">
              <w:rPr>
                <w:rFonts w:cs="Times New Roman"/>
                <w:sz w:val="20"/>
                <w:lang w:eastAsia="hr-HR"/>
              </w:rPr>
              <w:t>-22,5</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0BC30" w14:textId="77777777" w:rsidR="00166BCA" w:rsidRPr="006414E6" w:rsidRDefault="00166BCA" w:rsidP="00166BCA">
            <w:pPr>
              <w:jc w:val="center"/>
              <w:rPr>
                <w:rFonts w:cs="Times New Roman"/>
                <w:b/>
                <w:sz w:val="20"/>
                <w:lang w:eastAsia="hr-HR"/>
              </w:rPr>
            </w:pPr>
            <w:r w:rsidRPr="006414E6">
              <w:rPr>
                <w:rFonts w:cs="Times New Roman"/>
                <w:b/>
                <w:sz w:val="20"/>
                <w:lang w:eastAsia="hr-HR"/>
              </w:rPr>
              <w:t>-30,2 do -34,0</w:t>
            </w:r>
          </w:p>
        </w:tc>
        <w:tc>
          <w:tcPr>
            <w:tcW w:w="639" w:type="dxa"/>
            <w:tcBorders>
              <w:top w:val="single" w:sz="4" w:space="0" w:color="auto"/>
              <w:left w:val="single" w:sz="4" w:space="0" w:color="auto"/>
              <w:bottom w:val="single" w:sz="4" w:space="0" w:color="auto"/>
              <w:right w:val="single" w:sz="4" w:space="0" w:color="auto"/>
            </w:tcBorders>
            <w:vAlign w:val="center"/>
          </w:tcPr>
          <w:p w14:paraId="1E0042C0" w14:textId="77777777" w:rsidR="00166BCA" w:rsidRPr="006414E6" w:rsidRDefault="00166BCA" w:rsidP="00166BCA">
            <w:pPr>
              <w:jc w:val="center"/>
              <w:rPr>
                <w:rFonts w:cs="Times New Roman"/>
                <w:sz w:val="20"/>
                <w:lang w:eastAsia="hr-HR"/>
              </w:rPr>
            </w:pPr>
            <w:r w:rsidRPr="006414E6">
              <w:rPr>
                <w:rFonts w:cs="Times New Roman"/>
                <w:sz w:val="20"/>
                <w:lang w:eastAsia="hr-HR"/>
              </w:rPr>
              <w:t>-26,4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D73E7" w14:textId="77777777" w:rsidR="00166BCA" w:rsidRPr="006414E6" w:rsidRDefault="00166BCA" w:rsidP="00166BCA">
            <w:pPr>
              <w:jc w:val="center"/>
              <w:rPr>
                <w:rFonts w:cs="Times New Roman"/>
                <w:b/>
                <w:sz w:val="20"/>
                <w:lang w:eastAsia="hr-HR"/>
              </w:rPr>
            </w:pPr>
            <w:r w:rsidRPr="006414E6">
              <w:rPr>
                <w:rFonts w:cs="Times New Roman"/>
                <w:b/>
                <w:sz w:val="20"/>
                <w:lang w:eastAsia="hr-HR"/>
              </w:rPr>
              <w:t>-40,2 do -53,3</w:t>
            </w:r>
          </w:p>
        </w:tc>
        <w:tc>
          <w:tcPr>
            <w:tcW w:w="639" w:type="dxa"/>
            <w:tcBorders>
              <w:top w:val="single" w:sz="4" w:space="0" w:color="auto"/>
              <w:left w:val="single" w:sz="4" w:space="0" w:color="auto"/>
              <w:bottom w:val="single" w:sz="4" w:space="0" w:color="auto"/>
              <w:right w:val="single" w:sz="4" w:space="0" w:color="auto"/>
            </w:tcBorders>
            <w:vAlign w:val="center"/>
          </w:tcPr>
          <w:p w14:paraId="1E242895" w14:textId="77777777" w:rsidR="00166BCA" w:rsidRPr="006414E6" w:rsidRDefault="00166BCA" w:rsidP="00166BCA">
            <w:pPr>
              <w:jc w:val="center"/>
              <w:rPr>
                <w:rFonts w:cs="Times New Roman"/>
                <w:sz w:val="20"/>
                <w:lang w:eastAsia="hr-HR"/>
              </w:rPr>
            </w:pPr>
            <w:r w:rsidRPr="006414E6">
              <w:rPr>
                <w:rFonts w:cs="Times New Roman"/>
                <w:sz w:val="20"/>
                <w:lang w:eastAsia="hr-HR"/>
              </w:rPr>
              <w:t>-33,2</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5906D" w14:textId="77777777" w:rsidR="00166BCA" w:rsidRPr="006414E6" w:rsidRDefault="00166BCA" w:rsidP="00166BCA">
            <w:pPr>
              <w:jc w:val="center"/>
              <w:rPr>
                <w:rFonts w:cs="Times New Roman"/>
                <w:b/>
                <w:sz w:val="20"/>
                <w:lang w:eastAsia="hr-HR"/>
              </w:rPr>
            </w:pPr>
            <w:r w:rsidRPr="006414E6">
              <w:rPr>
                <w:rFonts w:cs="Times New Roman"/>
                <w:b/>
                <w:sz w:val="20"/>
                <w:lang w:eastAsia="hr-HR"/>
              </w:rPr>
              <w:t>-55,3 do -73,8</w:t>
            </w:r>
          </w:p>
        </w:tc>
      </w:tr>
      <w:tr w:rsidR="00166BCA" w:rsidRPr="006414E6" w14:paraId="71D15B7A" w14:textId="77777777" w:rsidTr="003E5145">
        <w:trPr>
          <w:trHeight w:val="308"/>
        </w:trPr>
        <w:tc>
          <w:tcPr>
            <w:tcW w:w="1716" w:type="dxa"/>
            <w:tcBorders>
              <w:top w:val="nil"/>
              <w:left w:val="single" w:sz="4" w:space="0" w:color="auto"/>
              <w:bottom w:val="single" w:sz="4" w:space="0" w:color="auto"/>
              <w:right w:val="single" w:sz="4" w:space="0" w:color="auto"/>
            </w:tcBorders>
            <w:shd w:val="clear" w:color="000000" w:fill="F2F2F2"/>
            <w:noWrap/>
            <w:vAlign w:val="center"/>
            <w:hideMark/>
          </w:tcPr>
          <w:p w14:paraId="3F934972" w14:textId="77777777" w:rsidR="00166BCA" w:rsidRPr="006414E6" w:rsidRDefault="00166BCA" w:rsidP="00166BCA">
            <w:pPr>
              <w:jc w:val="left"/>
              <w:rPr>
                <w:rFonts w:cs="Times New Roman"/>
                <w:sz w:val="20"/>
                <w:lang w:eastAsia="hr-HR"/>
              </w:rPr>
            </w:pPr>
            <w:r w:rsidRPr="006414E6">
              <w:rPr>
                <w:rFonts w:cs="Times New Roman"/>
                <w:sz w:val="20"/>
                <w:lang w:eastAsia="hr-HR"/>
              </w:rPr>
              <w:t>Industrija</w:t>
            </w:r>
          </w:p>
        </w:tc>
        <w:tc>
          <w:tcPr>
            <w:tcW w:w="1139" w:type="dxa"/>
            <w:tcBorders>
              <w:top w:val="nil"/>
              <w:left w:val="nil"/>
              <w:bottom w:val="single" w:sz="4" w:space="0" w:color="auto"/>
              <w:right w:val="single" w:sz="4" w:space="0" w:color="auto"/>
            </w:tcBorders>
            <w:shd w:val="clear" w:color="auto" w:fill="auto"/>
            <w:noWrap/>
            <w:vAlign w:val="center"/>
          </w:tcPr>
          <w:p w14:paraId="107573BB" w14:textId="77777777" w:rsidR="00166BCA" w:rsidRPr="006414E6" w:rsidRDefault="00166BCA" w:rsidP="00687BB8">
            <w:pPr>
              <w:jc w:val="center"/>
              <w:rPr>
                <w:rFonts w:cs="Times New Roman"/>
                <w:sz w:val="20"/>
                <w:lang w:eastAsia="hr-HR"/>
              </w:rPr>
            </w:pPr>
            <w:r w:rsidRPr="006414E6">
              <w:rPr>
                <w:rFonts w:cs="Times New Roman"/>
                <w:sz w:val="20"/>
                <w:lang w:eastAsia="hr-HR"/>
              </w:rPr>
              <w:t>-5</w:t>
            </w:r>
            <w:r w:rsidR="00870FA2" w:rsidRPr="006414E6">
              <w:rPr>
                <w:rFonts w:cs="Times New Roman"/>
                <w:sz w:val="20"/>
                <w:lang w:eastAsia="hr-HR"/>
              </w:rPr>
              <w:t>3,9</w:t>
            </w:r>
          </w:p>
        </w:tc>
        <w:tc>
          <w:tcPr>
            <w:tcW w:w="639" w:type="dxa"/>
            <w:tcBorders>
              <w:top w:val="single" w:sz="4" w:space="0" w:color="auto"/>
              <w:left w:val="nil"/>
              <w:bottom w:val="single" w:sz="4" w:space="0" w:color="auto"/>
              <w:right w:val="single" w:sz="4" w:space="0" w:color="auto"/>
            </w:tcBorders>
            <w:vAlign w:val="center"/>
          </w:tcPr>
          <w:p w14:paraId="04E59432" w14:textId="77777777" w:rsidR="00166BCA" w:rsidRPr="006414E6" w:rsidRDefault="00166BCA" w:rsidP="00166BCA">
            <w:pPr>
              <w:jc w:val="center"/>
              <w:rPr>
                <w:rFonts w:cs="Times New Roman"/>
                <w:sz w:val="20"/>
                <w:lang w:eastAsia="hr-HR"/>
              </w:rPr>
            </w:pPr>
            <w:r w:rsidRPr="006414E6">
              <w:rPr>
                <w:rFonts w:cs="Times New Roman"/>
                <w:sz w:val="20"/>
                <w:lang w:eastAsia="hr-HR"/>
              </w:rPr>
              <w:t>-51</w:t>
            </w:r>
            <w:r w:rsidR="00687BB8" w:rsidRPr="006414E6">
              <w:rPr>
                <w:rFonts w:cs="Times New Roman"/>
                <w:sz w:val="20"/>
                <w:lang w:eastAsia="hr-HR"/>
              </w:rPr>
              <w:t>,9</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2EBAC" w14:textId="77777777" w:rsidR="00166BCA" w:rsidRPr="006414E6" w:rsidRDefault="00166BCA" w:rsidP="007231F7">
            <w:pPr>
              <w:jc w:val="center"/>
              <w:rPr>
                <w:rFonts w:cs="Times New Roman"/>
                <w:b/>
                <w:sz w:val="20"/>
                <w:lang w:eastAsia="hr-HR"/>
              </w:rPr>
            </w:pPr>
            <w:r w:rsidRPr="006414E6">
              <w:rPr>
                <w:rFonts w:cs="Times New Roman"/>
                <w:b/>
                <w:sz w:val="20"/>
                <w:lang w:eastAsia="hr-HR"/>
              </w:rPr>
              <w:t>-5</w:t>
            </w:r>
            <w:r w:rsidR="00687BB8" w:rsidRPr="006414E6">
              <w:rPr>
                <w:rFonts w:cs="Times New Roman"/>
                <w:b/>
                <w:sz w:val="20"/>
                <w:lang w:eastAsia="hr-HR"/>
              </w:rPr>
              <w:t>4,1</w:t>
            </w:r>
            <w:r w:rsidRPr="006414E6">
              <w:rPr>
                <w:rFonts w:cs="Times New Roman"/>
                <w:b/>
                <w:sz w:val="20"/>
                <w:lang w:eastAsia="hr-HR"/>
              </w:rPr>
              <w:t xml:space="preserve"> do -5</w:t>
            </w:r>
            <w:r w:rsidR="007231F7" w:rsidRPr="006414E6">
              <w:rPr>
                <w:rFonts w:cs="Times New Roman"/>
                <w:b/>
                <w:sz w:val="20"/>
                <w:lang w:eastAsia="hr-HR"/>
              </w:rPr>
              <w:t>7,5</w:t>
            </w:r>
          </w:p>
        </w:tc>
        <w:tc>
          <w:tcPr>
            <w:tcW w:w="639" w:type="dxa"/>
            <w:tcBorders>
              <w:top w:val="single" w:sz="4" w:space="0" w:color="auto"/>
              <w:left w:val="single" w:sz="4" w:space="0" w:color="auto"/>
              <w:bottom w:val="single" w:sz="4" w:space="0" w:color="auto"/>
              <w:right w:val="single" w:sz="4" w:space="0" w:color="auto"/>
            </w:tcBorders>
            <w:vAlign w:val="center"/>
          </w:tcPr>
          <w:p w14:paraId="31C81774" w14:textId="77777777" w:rsidR="00166BCA" w:rsidRPr="006414E6" w:rsidRDefault="00166BCA" w:rsidP="007231F7">
            <w:pPr>
              <w:jc w:val="center"/>
              <w:rPr>
                <w:rFonts w:cs="Times New Roman"/>
                <w:sz w:val="20"/>
                <w:lang w:eastAsia="hr-HR"/>
              </w:rPr>
            </w:pPr>
            <w:r w:rsidRPr="006414E6">
              <w:rPr>
                <w:rFonts w:cs="Times New Roman"/>
                <w:sz w:val="20"/>
                <w:lang w:eastAsia="hr-HR"/>
              </w:rPr>
              <w:t>-5</w:t>
            </w:r>
            <w:r w:rsidR="007231F7" w:rsidRPr="006414E6">
              <w:rPr>
                <w:rFonts w:cs="Times New Roman"/>
                <w:sz w:val="20"/>
                <w:lang w:eastAsia="hr-HR"/>
              </w:rPr>
              <w:t>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87B41" w14:textId="77777777" w:rsidR="00166BCA" w:rsidRPr="006414E6" w:rsidRDefault="00166BCA" w:rsidP="007231F7">
            <w:pPr>
              <w:jc w:val="center"/>
              <w:rPr>
                <w:rFonts w:cs="Times New Roman"/>
                <w:b/>
                <w:sz w:val="20"/>
                <w:lang w:eastAsia="hr-HR"/>
              </w:rPr>
            </w:pPr>
            <w:r w:rsidRPr="006414E6">
              <w:rPr>
                <w:rFonts w:cs="Times New Roman"/>
                <w:b/>
                <w:sz w:val="20"/>
                <w:lang w:eastAsia="hr-HR"/>
              </w:rPr>
              <w:t>-5</w:t>
            </w:r>
            <w:r w:rsidR="007231F7" w:rsidRPr="006414E6">
              <w:rPr>
                <w:rFonts w:cs="Times New Roman"/>
                <w:b/>
                <w:sz w:val="20"/>
                <w:lang w:eastAsia="hr-HR"/>
              </w:rPr>
              <w:t>8,6</w:t>
            </w:r>
            <w:r w:rsidRPr="006414E6">
              <w:rPr>
                <w:rFonts w:cs="Times New Roman"/>
                <w:b/>
                <w:sz w:val="20"/>
                <w:lang w:eastAsia="hr-HR"/>
              </w:rPr>
              <w:t xml:space="preserve"> do -6</w:t>
            </w:r>
            <w:r w:rsidR="007231F7" w:rsidRPr="006414E6">
              <w:rPr>
                <w:rFonts w:cs="Times New Roman"/>
                <w:b/>
                <w:sz w:val="20"/>
                <w:lang w:eastAsia="hr-HR"/>
              </w:rPr>
              <w:t>4,1</w:t>
            </w:r>
          </w:p>
        </w:tc>
        <w:tc>
          <w:tcPr>
            <w:tcW w:w="639" w:type="dxa"/>
            <w:tcBorders>
              <w:top w:val="single" w:sz="4" w:space="0" w:color="auto"/>
              <w:left w:val="single" w:sz="4" w:space="0" w:color="auto"/>
              <w:bottom w:val="single" w:sz="4" w:space="0" w:color="auto"/>
              <w:right w:val="single" w:sz="4" w:space="0" w:color="auto"/>
            </w:tcBorders>
            <w:vAlign w:val="center"/>
          </w:tcPr>
          <w:p w14:paraId="65DD5CB4" w14:textId="77777777" w:rsidR="00166BCA" w:rsidRPr="006414E6" w:rsidRDefault="00166BCA" w:rsidP="007231F7">
            <w:pPr>
              <w:jc w:val="center"/>
              <w:rPr>
                <w:rFonts w:cs="Times New Roman"/>
                <w:sz w:val="20"/>
                <w:lang w:eastAsia="hr-HR"/>
              </w:rPr>
            </w:pPr>
            <w:r w:rsidRPr="006414E6">
              <w:rPr>
                <w:rFonts w:cs="Times New Roman"/>
                <w:sz w:val="20"/>
                <w:lang w:eastAsia="hr-HR"/>
              </w:rPr>
              <w:t>-5</w:t>
            </w:r>
            <w:r w:rsidR="007231F7" w:rsidRPr="006414E6">
              <w:rPr>
                <w:rFonts w:cs="Times New Roman"/>
                <w:sz w:val="20"/>
                <w:lang w:eastAsia="hr-HR"/>
              </w:rPr>
              <w:t>6</w:t>
            </w:r>
            <w:r w:rsidRPr="006414E6">
              <w:rPr>
                <w:rFonts w:cs="Times New Roman"/>
                <w:sz w:val="20"/>
                <w:lang w:eastAsia="hr-HR"/>
              </w:rPr>
              <w:t>,6</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A5B66" w14:textId="77777777" w:rsidR="00166BCA" w:rsidRPr="006414E6" w:rsidRDefault="00166BCA" w:rsidP="00606CD3">
            <w:pPr>
              <w:jc w:val="center"/>
              <w:rPr>
                <w:rFonts w:cs="Times New Roman"/>
                <w:b/>
                <w:sz w:val="20"/>
                <w:lang w:eastAsia="hr-HR"/>
              </w:rPr>
            </w:pPr>
            <w:r w:rsidRPr="006414E6">
              <w:rPr>
                <w:rFonts w:cs="Times New Roman"/>
                <w:b/>
                <w:sz w:val="20"/>
                <w:lang w:eastAsia="hr-HR"/>
              </w:rPr>
              <w:t>-6</w:t>
            </w:r>
            <w:r w:rsidR="00606CD3" w:rsidRPr="006414E6">
              <w:rPr>
                <w:rFonts w:cs="Times New Roman"/>
                <w:b/>
                <w:sz w:val="20"/>
                <w:lang w:eastAsia="hr-HR"/>
              </w:rPr>
              <w:t>4</w:t>
            </w:r>
            <w:r w:rsidRPr="006414E6">
              <w:rPr>
                <w:rFonts w:cs="Times New Roman"/>
                <w:b/>
                <w:sz w:val="20"/>
                <w:lang w:eastAsia="hr-HR"/>
              </w:rPr>
              <w:t>,</w:t>
            </w:r>
            <w:r w:rsidR="00BD2BC1" w:rsidRPr="006414E6">
              <w:rPr>
                <w:rFonts w:cs="Times New Roman"/>
                <w:b/>
                <w:sz w:val="20"/>
                <w:lang w:eastAsia="hr-HR"/>
              </w:rPr>
              <w:t>4</w:t>
            </w:r>
            <w:r w:rsidRPr="006414E6">
              <w:rPr>
                <w:rFonts w:cs="Times New Roman"/>
                <w:b/>
                <w:sz w:val="20"/>
                <w:lang w:eastAsia="hr-HR"/>
              </w:rPr>
              <w:t xml:space="preserve"> do -</w:t>
            </w:r>
            <w:r w:rsidR="00BD2BC1" w:rsidRPr="006414E6">
              <w:rPr>
                <w:rFonts w:cs="Times New Roman"/>
                <w:b/>
                <w:sz w:val="20"/>
                <w:lang w:eastAsia="hr-HR"/>
              </w:rPr>
              <w:t>8</w:t>
            </w:r>
            <w:r w:rsidR="007231F7" w:rsidRPr="006414E6">
              <w:rPr>
                <w:rFonts w:cs="Times New Roman"/>
                <w:b/>
                <w:sz w:val="20"/>
                <w:lang w:eastAsia="hr-HR"/>
              </w:rPr>
              <w:t>3,0</w:t>
            </w:r>
          </w:p>
        </w:tc>
      </w:tr>
      <w:tr w:rsidR="00166BCA" w:rsidRPr="006414E6" w14:paraId="2C0ED7C2" w14:textId="77777777" w:rsidTr="003E5145">
        <w:trPr>
          <w:trHeight w:val="308"/>
        </w:trPr>
        <w:tc>
          <w:tcPr>
            <w:tcW w:w="1716" w:type="dxa"/>
            <w:tcBorders>
              <w:top w:val="nil"/>
              <w:left w:val="single" w:sz="4" w:space="0" w:color="auto"/>
              <w:bottom w:val="single" w:sz="4" w:space="0" w:color="auto"/>
              <w:right w:val="single" w:sz="4" w:space="0" w:color="auto"/>
            </w:tcBorders>
            <w:shd w:val="clear" w:color="000000" w:fill="F2F2F2"/>
            <w:noWrap/>
            <w:vAlign w:val="center"/>
            <w:hideMark/>
          </w:tcPr>
          <w:p w14:paraId="07AF483E" w14:textId="77777777" w:rsidR="00166BCA" w:rsidRPr="006414E6" w:rsidRDefault="00166BCA" w:rsidP="00166BCA">
            <w:pPr>
              <w:jc w:val="left"/>
              <w:rPr>
                <w:rFonts w:cs="Times New Roman"/>
                <w:sz w:val="20"/>
                <w:lang w:eastAsia="hr-HR"/>
              </w:rPr>
            </w:pPr>
            <w:r w:rsidRPr="006414E6">
              <w:rPr>
                <w:rFonts w:cs="Times New Roman"/>
                <w:sz w:val="20"/>
                <w:lang w:eastAsia="hr-HR"/>
              </w:rPr>
              <w:t>Poljoprivreda</w:t>
            </w:r>
          </w:p>
        </w:tc>
        <w:tc>
          <w:tcPr>
            <w:tcW w:w="1139" w:type="dxa"/>
            <w:tcBorders>
              <w:top w:val="nil"/>
              <w:left w:val="nil"/>
              <w:bottom w:val="single" w:sz="4" w:space="0" w:color="auto"/>
              <w:right w:val="single" w:sz="4" w:space="0" w:color="auto"/>
            </w:tcBorders>
            <w:shd w:val="clear" w:color="auto" w:fill="auto"/>
            <w:noWrap/>
            <w:vAlign w:val="center"/>
            <w:hideMark/>
          </w:tcPr>
          <w:p w14:paraId="6A731BCF" w14:textId="77777777" w:rsidR="00166BCA" w:rsidRPr="006414E6" w:rsidRDefault="00166BCA" w:rsidP="00870FA2">
            <w:pPr>
              <w:jc w:val="center"/>
              <w:rPr>
                <w:rFonts w:cs="Times New Roman"/>
                <w:sz w:val="20"/>
                <w:lang w:eastAsia="hr-HR"/>
              </w:rPr>
            </w:pPr>
            <w:r w:rsidRPr="006414E6">
              <w:rPr>
                <w:rFonts w:cs="Times New Roman"/>
                <w:sz w:val="20"/>
                <w:lang w:eastAsia="hr-HR"/>
              </w:rPr>
              <w:t>-3</w:t>
            </w:r>
            <w:r w:rsidR="00870FA2" w:rsidRPr="006414E6">
              <w:rPr>
                <w:rFonts w:cs="Times New Roman"/>
                <w:sz w:val="20"/>
                <w:lang w:eastAsia="hr-HR"/>
              </w:rPr>
              <w:t>6,0</w:t>
            </w:r>
          </w:p>
        </w:tc>
        <w:tc>
          <w:tcPr>
            <w:tcW w:w="639" w:type="dxa"/>
            <w:tcBorders>
              <w:top w:val="single" w:sz="4" w:space="0" w:color="auto"/>
              <w:left w:val="nil"/>
              <w:bottom w:val="single" w:sz="4" w:space="0" w:color="auto"/>
              <w:right w:val="single" w:sz="4" w:space="0" w:color="auto"/>
            </w:tcBorders>
            <w:vAlign w:val="center"/>
          </w:tcPr>
          <w:p w14:paraId="5CFEB142" w14:textId="77777777" w:rsidR="00166BCA" w:rsidRPr="006414E6" w:rsidRDefault="00166BCA" w:rsidP="00166BCA">
            <w:pPr>
              <w:jc w:val="center"/>
              <w:rPr>
                <w:rFonts w:cs="Times New Roman"/>
                <w:sz w:val="20"/>
                <w:lang w:eastAsia="hr-HR"/>
              </w:rPr>
            </w:pPr>
            <w:r w:rsidRPr="006414E6">
              <w:rPr>
                <w:rFonts w:cs="Times New Roman"/>
                <w:sz w:val="20"/>
                <w:lang w:eastAsia="hr-HR"/>
              </w:rPr>
              <w:t>-40,8</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321BF" w14:textId="77777777" w:rsidR="00166BCA" w:rsidRPr="006414E6" w:rsidRDefault="00166BCA" w:rsidP="00166BCA">
            <w:pPr>
              <w:jc w:val="center"/>
              <w:rPr>
                <w:rFonts w:cs="Times New Roman"/>
                <w:b/>
                <w:sz w:val="20"/>
                <w:lang w:eastAsia="hr-HR"/>
              </w:rPr>
            </w:pPr>
            <w:r w:rsidRPr="006414E6">
              <w:rPr>
                <w:rFonts w:cs="Times New Roman"/>
                <w:b/>
                <w:sz w:val="20"/>
                <w:lang w:eastAsia="hr-HR"/>
              </w:rPr>
              <w:t>-44,5 do -46,3</w:t>
            </w:r>
          </w:p>
        </w:tc>
        <w:tc>
          <w:tcPr>
            <w:tcW w:w="639" w:type="dxa"/>
            <w:tcBorders>
              <w:top w:val="single" w:sz="4" w:space="0" w:color="auto"/>
              <w:left w:val="single" w:sz="4" w:space="0" w:color="auto"/>
              <w:bottom w:val="single" w:sz="4" w:space="0" w:color="auto"/>
              <w:right w:val="single" w:sz="4" w:space="0" w:color="auto"/>
            </w:tcBorders>
            <w:vAlign w:val="center"/>
          </w:tcPr>
          <w:p w14:paraId="71925E05" w14:textId="77777777" w:rsidR="00166BCA" w:rsidRPr="006414E6" w:rsidRDefault="00166BCA" w:rsidP="00166BCA">
            <w:pPr>
              <w:jc w:val="center"/>
              <w:rPr>
                <w:rFonts w:cs="Times New Roman"/>
                <w:sz w:val="20"/>
                <w:lang w:eastAsia="hr-HR"/>
              </w:rPr>
            </w:pPr>
            <w:r w:rsidRPr="006414E6">
              <w:rPr>
                <w:rFonts w:cs="Times New Roman"/>
                <w:sz w:val="20"/>
                <w:lang w:eastAsia="hr-HR"/>
              </w:rPr>
              <w:t>-42,7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DEA84" w14:textId="77777777" w:rsidR="00166BCA" w:rsidRPr="006414E6" w:rsidRDefault="00166BCA" w:rsidP="00166BCA">
            <w:pPr>
              <w:jc w:val="center"/>
              <w:rPr>
                <w:rFonts w:cs="Times New Roman"/>
                <w:b/>
                <w:sz w:val="20"/>
                <w:lang w:eastAsia="hr-HR"/>
              </w:rPr>
            </w:pPr>
            <w:r w:rsidRPr="006414E6">
              <w:rPr>
                <w:rFonts w:cs="Times New Roman"/>
                <w:b/>
                <w:sz w:val="20"/>
                <w:lang w:eastAsia="hr-HR"/>
              </w:rPr>
              <w:t>-48,1 do -51,5</w:t>
            </w:r>
          </w:p>
        </w:tc>
        <w:tc>
          <w:tcPr>
            <w:tcW w:w="639" w:type="dxa"/>
            <w:tcBorders>
              <w:top w:val="single" w:sz="4" w:space="0" w:color="auto"/>
              <w:left w:val="single" w:sz="4" w:space="0" w:color="auto"/>
              <w:bottom w:val="single" w:sz="4" w:space="0" w:color="auto"/>
              <w:right w:val="single" w:sz="4" w:space="0" w:color="auto"/>
            </w:tcBorders>
            <w:vAlign w:val="center"/>
          </w:tcPr>
          <w:p w14:paraId="578A97CD" w14:textId="77777777" w:rsidR="00166BCA" w:rsidRPr="006414E6" w:rsidRDefault="00166BCA" w:rsidP="00166BCA">
            <w:pPr>
              <w:jc w:val="center"/>
              <w:rPr>
                <w:rFonts w:cs="Times New Roman"/>
                <w:sz w:val="20"/>
                <w:lang w:eastAsia="hr-HR"/>
              </w:rPr>
            </w:pPr>
            <w:r w:rsidRPr="006414E6">
              <w:rPr>
                <w:rFonts w:cs="Times New Roman"/>
                <w:sz w:val="20"/>
                <w:lang w:eastAsia="hr-HR"/>
              </w:rPr>
              <w:t>-43,8</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E891B" w14:textId="77777777" w:rsidR="00166BCA" w:rsidRPr="006414E6" w:rsidRDefault="00166BCA" w:rsidP="00166BCA">
            <w:pPr>
              <w:jc w:val="center"/>
              <w:rPr>
                <w:rFonts w:cs="Times New Roman"/>
                <w:b/>
                <w:sz w:val="20"/>
                <w:lang w:eastAsia="hr-HR"/>
              </w:rPr>
            </w:pPr>
            <w:r w:rsidRPr="006414E6">
              <w:rPr>
                <w:rFonts w:cs="Times New Roman"/>
                <w:b/>
                <w:sz w:val="20"/>
                <w:lang w:eastAsia="hr-HR"/>
              </w:rPr>
              <w:t>-50,9 do -55,8</w:t>
            </w:r>
          </w:p>
        </w:tc>
      </w:tr>
      <w:tr w:rsidR="00166BCA" w:rsidRPr="006414E6" w14:paraId="1977F3BA" w14:textId="77777777" w:rsidTr="003E5145">
        <w:trPr>
          <w:trHeight w:val="323"/>
        </w:trPr>
        <w:tc>
          <w:tcPr>
            <w:tcW w:w="1716" w:type="dxa"/>
            <w:tcBorders>
              <w:top w:val="nil"/>
              <w:left w:val="single" w:sz="4" w:space="0" w:color="auto"/>
              <w:bottom w:val="double" w:sz="4" w:space="0" w:color="auto"/>
              <w:right w:val="single" w:sz="4" w:space="0" w:color="auto"/>
            </w:tcBorders>
            <w:shd w:val="clear" w:color="000000" w:fill="F2F2F2"/>
            <w:noWrap/>
            <w:vAlign w:val="center"/>
            <w:hideMark/>
          </w:tcPr>
          <w:p w14:paraId="5077E632" w14:textId="77777777" w:rsidR="00166BCA" w:rsidRPr="006414E6" w:rsidRDefault="00166BCA" w:rsidP="00166BCA">
            <w:pPr>
              <w:jc w:val="left"/>
              <w:rPr>
                <w:rFonts w:cs="Times New Roman"/>
                <w:sz w:val="20"/>
                <w:lang w:eastAsia="hr-HR"/>
              </w:rPr>
            </w:pPr>
            <w:r w:rsidRPr="006414E6">
              <w:rPr>
                <w:rFonts w:cs="Times New Roman"/>
                <w:sz w:val="20"/>
                <w:lang w:eastAsia="hr-HR"/>
              </w:rPr>
              <w:t>Gospodarenje otpadom</w:t>
            </w:r>
          </w:p>
        </w:tc>
        <w:tc>
          <w:tcPr>
            <w:tcW w:w="1139" w:type="dxa"/>
            <w:tcBorders>
              <w:top w:val="nil"/>
              <w:left w:val="nil"/>
              <w:bottom w:val="double" w:sz="4" w:space="0" w:color="auto"/>
              <w:right w:val="single" w:sz="4" w:space="0" w:color="auto"/>
            </w:tcBorders>
            <w:shd w:val="clear" w:color="auto" w:fill="auto"/>
            <w:noWrap/>
            <w:vAlign w:val="center"/>
            <w:hideMark/>
          </w:tcPr>
          <w:p w14:paraId="22C6F943" w14:textId="77777777" w:rsidR="00166BCA" w:rsidRPr="006414E6" w:rsidRDefault="00166BCA" w:rsidP="00166BCA">
            <w:pPr>
              <w:jc w:val="center"/>
              <w:rPr>
                <w:rFonts w:cs="Times New Roman"/>
                <w:sz w:val="20"/>
                <w:lang w:eastAsia="hr-HR"/>
              </w:rPr>
            </w:pPr>
            <w:r w:rsidRPr="006414E6">
              <w:rPr>
                <w:rFonts w:cs="Times New Roman"/>
                <w:sz w:val="20"/>
                <w:lang w:eastAsia="hr-HR"/>
              </w:rPr>
              <w:t>100,5</w:t>
            </w:r>
          </w:p>
        </w:tc>
        <w:tc>
          <w:tcPr>
            <w:tcW w:w="639" w:type="dxa"/>
            <w:tcBorders>
              <w:top w:val="single" w:sz="4" w:space="0" w:color="auto"/>
              <w:left w:val="nil"/>
              <w:bottom w:val="double" w:sz="4" w:space="0" w:color="auto"/>
              <w:right w:val="single" w:sz="4" w:space="0" w:color="auto"/>
            </w:tcBorders>
            <w:vAlign w:val="center"/>
          </w:tcPr>
          <w:p w14:paraId="465544CC" w14:textId="77777777" w:rsidR="00166BCA" w:rsidRPr="006414E6" w:rsidRDefault="00166BCA" w:rsidP="00166BCA">
            <w:pPr>
              <w:jc w:val="center"/>
              <w:rPr>
                <w:rFonts w:cs="Times New Roman"/>
                <w:sz w:val="20"/>
                <w:lang w:eastAsia="hr-HR"/>
              </w:rPr>
            </w:pPr>
            <w:r w:rsidRPr="006414E6">
              <w:rPr>
                <w:rFonts w:cs="Times New Roman"/>
                <w:sz w:val="20"/>
                <w:lang w:eastAsia="hr-HR"/>
              </w:rPr>
              <w:t>35,0</w:t>
            </w:r>
          </w:p>
        </w:tc>
        <w:tc>
          <w:tcPr>
            <w:tcW w:w="1396"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503D2E8F" w14:textId="77777777" w:rsidR="00166BCA" w:rsidRPr="006414E6" w:rsidRDefault="00166BCA" w:rsidP="00166BCA">
            <w:pPr>
              <w:jc w:val="center"/>
              <w:rPr>
                <w:rFonts w:cs="Times New Roman"/>
                <w:b/>
                <w:sz w:val="20"/>
                <w:lang w:eastAsia="hr-HR"/>
              </w:rPr>
            </w:pPr>
            <w:r w:rsidRPr="006414E6">
              <w:rPr>
                <w:rFonts w:cs="Times New Roman"/>
                <w:b/>
                <w:sz w:val="20"/>
                <w:lang w:eastAsia="hr-HR"/>
              </w:rPr>
              <w:t>35,0</w:t>
            </w:r>
          </w:p>
        </w:tc>
        <w:tc>
          <w:tcPr>
            <w:tcW w:w="639" w:type="dxa"/>
            <w:tcBorders>
              <w:top w:val="single" w:sz="4" w:space="0" w:color="auto"/>
              <w:left w:val="single" w:sz="4" w:space="0" w:color="auto"/>
              <w:bottom w:val="double" w:sz="4" w:space="0" w:color="auto"/>
              <w:right w:val="single" w:sz="4" w:space="0" w:color="auto"/>
            </w:tcBorders>
            <w:vAlign w:val="center"/>
          </w:tcPr>
          <w:p w14:paraId="563005BB" w14:textId="77777777" w:rsidR="00166BCA" w:rsidRPr="006414E6" w:rsidRDefault="00166BCA" w:rsidP="00166BCA">
            <w:pPr>
              <w:jc w:val="center"/>
              <w:rPr>
                <w:rFonts w:cs="Times New Roman"/>
                <w:sz w:val="20"/>
                <w:lang w:eastAsia="hr-HR"/>
              </w:rPr>
            </w:pPr>
            <w:r w:rsidRPr="006414E6">
              <w:rPr>
                <w:rFonts w:cs="Times New Roman"/>
                <w:sz w:val="20"/>
                <w:lang w:eastAsia="hr-HR"/>
              </w:rPr>
              <w:t>-7,6</w:t>
            </w:r>
          </w:p>
        </w:tc>
        <w:tc>
          <w:tcPr>
            <w:tcW w:w="1418"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0B58B25A" w14:textId="77777777" w:rsidR="00166BCA" w:rsidRPr="006414E6" w:rsidRDefault="00166BCA" w:rsidP="00166BCA">
            <w:pPr>
              <w:jc w:val="center"/>
              <w:rPr>
                <w:rFonts w:cs="Times New Roman"/>
                <w:b/>
                <w:sz w:val="20"/>
                <w:lang w:eastAsia="hr-HR"/>
              </w:rPr>
            </w:pPr>
            <w:r w:rsidRPr="006414E6">
              <w:rPr>
                <w:rFonts w:cs="Times New Roman"/>
                <w:b/>
                <w:sz w:val="20"/>
                <w:lang w:eastAsia="hr-HR"/>
              </w:rPr>
              <w:t>-7,6</w:t>
            </w:r>
          </w:p>
        </w:tc>
        <w:tc>
          <w:tcPr>
            <w:tcW w:w="639" w:type="dxa"/>
            <w:tcBorders>
              <w:top w:val="single" w:sz="4" w:space="0" w:color="auto"/>
              <w:left w:val="single" w:sz="4" w:space="0" w:color="auto"/>
              <w:bottom w:val="double" w:sz="4" w:space="0" w:color="auto"/>
              <w:right w:val="single" w:sz="4" w:space="0" w:color="auto"/>
            </w:tcBorders>
            <w:vAlign w:val="center"/>
          </w:tcPr>
          <w:p w14:paraId="64BECAE2" w14:textId="77777777" w:rsidR="00166BCA" w:rsidRPr="006414E6" w:rsidRDefault="00166BCA" w:rsidP="00166BCA">
            <w:pPr>
              <w:jc w:val="center"/>
              <w:rPr>
                <w:rFonts w:cs="Times New Roman"/>
                <w:sz w:val="20"/>
                <w:lang w:eastAsia="hr-HR"/>
              </w:rPr>
            </w:pPr>
            <w:r w:rsidRPr="006414E6">
              <w:rPr>
                <w:rFonts w:cs="Times New Roman"/>
                <w:sz w:val="20"/>
                <w:lang w:eastAsia="hr-HR"/>
              </w:rPr>
              <w:t>-29,4</w:t>
            </w:r>
          </w:p>
        </w:tc>
        <w:tc>
          <w:tcPr>
            <w:tcW w:w="152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067A360B" w14:textId="77777777" w:rsidR="00166BCA" w:rsidRPr="006414E6" w:rsidRDefault="00166BCA" w:rsidP="00BD2BC1">
            <w:pPr>
              <w:jc w:val="center"/>
              <w:rPr>
                <w:rFonts w:cs="Times New Roman"/>
                <w:b/>
                <w:sz w:val="20"/>
                <w:lang w:eastAsia="hr-HR"/>
              </w:rPr>
            </w:pPr>
            <w:r w:rsidRPr="006414E6">
              <w:rPr>
                <w:rFonts w:cs="Times New Roman"/>
                <w:b/>
                <w:sz w:val="20"/>
                <w:lang w:eastAsia="hr-HR"/>
              </w:rPr>
              <w:t>-</w:t>
            </w:r>
            <w:r w:rsidR="00BD2BC1" w:rsidRPr="006414E6">
              <w:rPr>
                <w:rFonts w:cs="Times New Roman"/>
                <w:b/>
                <w:sz w:val="20"/>
                <w:lang w:eastAsia="hr-HR"/>
              </w:rPr>
              <w:t>29,4</w:t>
            </w:r>
          </w:p>
        </w:tc>
      </w:tr>
      <w:tr w:rsidR="00166BCA" w:rsidRPr="006414E6" w14:paraId="05A712FE" w14:textId="77777777" w:rsidTr="003E5145">
        <w:trPr>
          <w:trHeight w:val="323"/>
        </w:trPr>
        <w:tc>
          <w:tcPr>
            <w:tcW w:w="1716" w:type="dxa"/>
            <w:tcBorders>
              <w:top w:val="double" w:sz="4" w:space="0" w:color="auto"/>
              <w:left w:val="single" w:sz="4" w:space="0" w:color="auto"/>
              <w:bottom w:val="single" w:sz="4" w:space="0" w:color="auto"/>
              <w:right w:val="single" w:sz="4" w:space="0" w:color="auto"/>
            </w:tcBorders>
            <w:shd w:val="clear" w:color="000000" w:fill="F2F2F2"/>
            <w:noWrap/>
            <w:vAlign w:val="center"/>
            <w:hideMark/>
          </w:tcPr>
          <w:p w14:paraId="29CDF519" w14:textId="77777777" w:rsidR="00166BCA" w:rsidRPr="006414E6" w:rsidRDefault="00166BCA" w:rsidP="00166BCA">
            <w:pPr>
              <w:jc w:val="left"/>
              <w:rPr>
                <w:rFonts w:cs="Times New Roman"/>
                <w:b/>
                <w:sz w:val="20"/>
                <w:lang w:eastAsia="hr-HR"/>
              </w:rPr>
            </w:pPr>
            <w:r w:rsidRPr="006414E6">
              <w:rPr>
                <w:rFonts w:cs="Times New Roman"/>
                <w:b/>
                <w:sz w:val="20"/>
                <w:lang w:eastAsia="hr-HR"/>
              </w:rPr>
              <w:t>Ukupno projekcije</w:t>
            </w:r>
          </w:p>
        </w:tc>
        <w:tc>
          <w:tcPr>
            <w:tcW w:w="1139" w:type="dxa"/>
            <w:tcBorders>
              <w:top w:val="double" w:sz="4" w:space="0" w:color="auto"/>
              <w:left w:val="nil"/>
              <w:bottom w:val="single" w:sz="4" w:space="0" w:color="auto"/>
              <w:right w:val="single" w:sz="4" w:space="0" w:color="auto"/>
            </w:tcBorders>
            <w:shd w:val="clear" w:color="auto" w:fill="auto"/>
            <w:noWrap/>
            <w:vAlign w:val="center"/>
            <w:hideMark/>
          </w:tcPr>
          <w:p w14:paraId="5D408158" w14:textId="77777777" w:rsidR="00166BCA" w:rsidRPr="006414E6" w:rsidRDefault="00166BCA" w:rsidP="00870FA2">
            <w:pPr>
              <w:jc w:val="center"/>
              <w:rPr>
                <w:rFonts w:cs="Times New Roman"/>
                <w:sz w:val="20"/>
                <w:lang w:eastAsia="hr-HR"/>
              </w:rPr>
            </w:pPr>
            <w:r w:rsidRPr="006414E6">
              <w:rPr>
                <w:rFonts w:cs="Times New Roman"/>
                <w:sz w:val="20"/>
                <w:lang w:eastAsia="hr-HR"/>
              </w:rPr>
              <w:t>-2</w:t>
            </w:r>
            <w:r w:rsidR="00870FA2" w:rsidRPr="006414E6">
              <w:rPr>
                <w:rFonts w:cs="Times New Roman"/>
                <w:sz w:val="20"/>
                <w:lang w:eastAsia="hr-HR"/>
              </w:rPr>
              <w:t>3,5</w:t>
            </w:r>
          </w:p>
        </w:tc>
        <w:tc>
          <w:tcPr>
            <w:tcW w:w="639" w:type="dxa"/>
            <w:tcBorders>
              <w:top w:val="double" w:sz="4" w:space="0" w:color="auto"/>
              <w:left w:val="nil"/>
              <w:bottom w:val="single" w:sz="4" w:space="0" w:color="auto"/>
              <w:right w:val="single" w:sz="4" w:space="0" w:color="auto"/>
            </w:tcBorders>
            <w:vAlign w:val="center"/>
          </w:tcPr>
          <w:p w14:paraId="0EAEEED4" w14:textId="77777777" w:rsidR="00166BCA" w:rsidRPr="006414E6" w:rsidRDefault="00166BCA" w:rsidP="00166BCA">
            <w:pPr>
              <w:jc w:val="center"/>
              <w:rPr>
                <w:rFonts w:cs="Times New Roman"/>
                <w:sz w:val="20"/>
                <w:lang w:eastAsia="hr-HR"/>
              </w:rPr>
            </w:pPr>
            <w:r w:rsidRPr="006414E6">
              <w:rPr>
                <w:rFonts w:cs="Times New Roman"/>
                <w:sz w:val="20"/>
                <w:lang w:eastAsia="hr-HR"/>
              </w:rPr>
              <w:t>-</w:t>
            </w:r>
            <w:r w:rsidR="00687BB8" w:rsidRPr="006414E6">
              <w:rPr>
                <w:rFonts w:cs="Times New Roman"/>
                <w:sz w:val="20"/>
                <w:lang w:eastAsia="hr-HR"/>
              </w:rPr>
              <w:t>28,9</w:t>
            </w:r>
          </w:p>
        </w:tc>
        <w:tc>
          <w:tcPr>
            <w:tcW w:w="1396"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680CF708" w14:textId="77777777" w:rsidR="00166BCA" w:rsidRPr="006414E6" w:rsidRDefault="00166BCA" w:rsidP="007231F7">
            <w:pPr>
              <w:jc w:val="center"/>
              <w:rPr>
                <w:rFonts w:cs="Times New Roman"/>
                <w:b/>
                <w:sz w:val="20"/>
                <w:lang w:eastAsia="hr-HR"/>
              </w:rPr>
            </w:pPr>
            <w:r w:rsidRPr="006414E6">
              <w:rPr>
                <w:rFonts w:cs="Times New Roman"/>
                <w:b/>
                <w:sz w:val="20"/>
                <w:lang w:eastAsia="hr-HR"/>
              </w:rPr>
              <w:t>-33,</w:t>
            </w:r>
            <w:r w:rsidR="007231F7" w:rsidRPr="006414E6">
              <w:rPr>
                <w:rFonts w:cs="Times New Roman"/>
                <w:b/>
                <w:sz w:val="20"/>
                <w:lang w:eastAsia="hr-HR"/>
              </w:rPr>
              <w:t>5</w:t>
            </w:r>
            <w:r w:rsidRPr="006414E6">
              <w:rPr>
                <w:rFonts w:cs="Times New Roman"/>
                <w:b/>
                <w:sz w:val="20"/>
                <w:lang w:eastAsia="hr-HR"/>
              </w:rPr>
              <w:t xml:space="preserve"> do -36</w:t>
            </w:r>
            <w:r w:rsidR="007231F7" w:rsidRPr="006414E6">
              <w:rPr>
                <w:rFonts w:cs="Times New Roman"/>
                <w:b/>
                <w:sz w:val="20"/>
                <w:lang w:eastAsia="hr-HR"/>
              </w:rPr>
              <w:t>,7</w:t>
            </w:r>
          </w:p>
        </w:tc>
        <w:tc>
          <w:tcPr>
            <w:tcW w:w="639" w:type="dxa"/>
            <w:tcBorders>
              <w:top w:val="double" w:sz="4" w:space="0" w:color="auto"/>
              <w:left w:val="single" w:sz="4" w:space="0" w:color="auto"/>
              <w:bottom w:val="single" w:sz="4" w:space="0" w:color="auto"/>
              <w:right w:val="single" w:sz="4" w:space="0" w:color="auto"/>
            </w:tcBorders>
            <w:vAlign w:val="center"/>
          </w:tcPr>
          <w:p w14:paraId="546DDAB4" w14:textId="77777777" w:rsidR="00166BCA" w:rsidRPr="006414E6" w:rsidRDefault="00166BCA" w:rsidP="00166BCA">
            <w:pPr>
              <w:jc w:val="center"/>
              <w:rPr>
                <w:rFonts w:cs="Times New Roman"/>
                <w:sz w:val="20"/>
                <w:lang w:eastAsia="hr-HR"/>
              </w:rPr>
            </w:pPr>
            <w:r w:rsidRPr="006414E6">
              <w:rPr>
                <w:rFonts w:cs="Times New Roman"/>
                <w:sz w:val="20"/>
                <w:lang w:eastAsia="hr-HR"/>
              </w:rPr>
              <w:t>-</w:t>
            </w:r>
            <w:r w:rsidR="007231F7" w:rsidRPr="006414E6">
              <w:rPr>
                <w:rFonts w:cs="Times New Roman"/>
                <w:sz w:val="20"/>
                <w:lang w:eastAsia="hr-HR"/>
              </w:rPr>
              <w:t>37,6</w:t>
            </w:r>
          </w:p>
        </w:tc>
        <w:tc>
          <w:tcPr>
            <w:tcW w:w="1418"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156BFB58" w14:textId="77777777" w:rsidR="00166BCA" w:rsidRPr="006414E6" w:rsidRDefault="00166BCA" w:rsidP="007231F7">
            <w:pPr>
              <w:jc w:val="center"/>
              <w:rPr>
                <w:rFonts w:cs="Times New Roman"/>
                <w:b/>
                <w:sz w:val="20"/>
                <w:lang w:eastAsia="hr-HR"/>
              </w:rPr>
            </w:pPr>
            <w:r w:rsidRPr="006414E6">
              <w:rPr>
                <w:rFonts w:cs="Times New Roman"/>
                <w:b/>
                <w:sz w:val="20"/>
                <w:lang w:eastAsia="hr-HR"/>
              </w:rPr>
              <w:t>-</w:t>
            </w:r>
            <w:r w:rsidR="007231F7" w:rsidRPr="006414E6">
              <w:rPr>
                <w:rFonts w:cs="Times New Roman"/>
                <w:b/>
                <w:sz w:val="20"/>
                <w:lang w:eastAsia="hr-HR"/>
              </w:rPr>
              <w:t>44,8</w:t>
            </w:r>
            <w:r w:rsidRPr="006414E6">
              <w:rPr>
                <w:rFonts w:cs="Times New Roman"/>
                <w:b/>
                <w:sz w:val="20"/>
                <w:lang w:eastAsia="hr-HR"/>
              </w:rPr>
              <w:t xml:space="preserve"> do -50,</w:t>
            </w:r>
            <w:r w:rsidR="007231F7" w:rsidRPr="006414E6">
              <w:rPr>
                <w:rFonts w:cs="Times New Roman"/>
                <w:b/>
                <w:sz w:val="20"/>
                <w:lang w:eastAsia="hr-HR"/>
              </w:rPr>
              <w:t>9</w:t>
            </w:r>
          </w:p>
        </w:tc>
        <w:tc>
          <w:tcPr>
            <w:tcW w:w="639" w:type="dxa"/>
            <w:tcBorders>
              <w:top w:val="double" w:sz="4" w:space="0" w:color="auto"/>
              <w:left w:val="single" w:sz="4" w:space="0" w:color="auto"/>
              <w:bottom w:val="single" w:sz="4" w:space="0" w:color="auto"/>
              <w:right w:val="single" w:sz="4" w:space="0" w:color="auto"/>
            </w:tcBorders>
            <w:vAlign w:val="center"/>
          </w:tcPr>
          <w:p w14:paraId="6A960B2D" w14:textId="77777777" w:rsidR="00166BCA" w:rsidRPr="006414E6" w:rsidRDefault="00166BCA" w:rsidP="00166BCA">
            <w:pPr>
              <w:jc w:val="center"/>
              <w:rPr>
                <w:rFonts w:cs="Times New Roman"/>
                <w:sz w:val="20"/>
                <w:lang w:eastAsia="hr-HR"/>
              </w:rPr>
            </w:pPr>
            <w:r w:rsidRPr="006414E6">
              <w:rPr>
                <w:rFonts w:cs="Times New Roman"/>
                <w:sz w:val="20"/>
                <w:lang w:eastAsia="hr-HR"/>
              </w:rPr>
              <w:t>-</w:t>
            </w:r>
            <w:r w:rsidR="007231F7" w:rsidRPr="006414E6">
              <w:rPr>
                <w:rFonts w:cs="Times New Roman"/>
                <w:sz w:val="20"/>
                <w:lang w:eastAsia="hr-HR"/>
              </w:rPr>
              <w:t>46,3</w:t>
            </w:r>
          </w:p>
        </w:tc>
        <w:tc>
          <w:tcPr>
            <w:tcW w:w="1523"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19379DA2" w14:textId="77777777" w:rsidR="00166BCA" w:rsidRPr="006414E6" w:rsidRDefault="00166BCA" w:rsidP="007231F7">
            <w:pPr>
              <w:jc w:val="center"/>
              <w:rPr>
                <w:rFonts w:cs="Times New Roman"/>
                <w:b/>
                <w:sz w:val="20"/>
                <w:lang w:eastAsia="hr-HR"/>
              </w:rPr>
            </w:pPr>
            <w:r w:rsidRPr="006414E6">
              <w:rPr>
                <w:rFonts w:cs="Times New Roman"/>
                <w:b/>
                <w:sz w:val="20"/>
                <w:lang w:eastAsia="hr-HR"/>
              </w:rPr>
              <w:t>-</w:t>
            </w:r>
            <w:r w:rsidR="00BD2BC1" w:rsidRPr="006414E6">
              <w:rPr>
                <w:rFonts w:cs="Times New Roman"/>
                <w:b/>
                <w:sz w:val="20"/>
                <w:lang w:eastAsia="hr-HR"/>
              </w:rPr>
              <w:t>56,</w:t>
            </w:r>
            <w:r w:rsidR="007231F7" w:rsidRPr="006414E6">
              <w:rPr>
                <w:rFonts w:cs="Times New Roman"/>
                <w:b/>
                <w:sz w:val="20"/>
                <w:lang w:eastAsia="hr-HR"/>
              </w:rPr>
              <w:t>8</w:t>
            </w:r>
            <w:r w:rsidR="00BD2BC1" w:rsidRPr="006414E6">
              <w:rPr>
                <w:rFonts w:cs="Times New Roman"/>
                <w:b/>
                <w:sz w:val="20"/>
                <w:lang w:eastAsia="hr-HR"/>
              </w:rPr>
              <w:t xml:space="preserve"> do -7</w:t>
            </w:r>
            <w:r w:rsidR="007231F7" w:rsidRPr="006414E6">
              <w:rPr>
                <w:rFonts w:cs="Times New Roman"/>
                <w:b/>
                <w:sz w:val="20"/>
                <w:lang w:eastAsia="hr-HR"/>
              </w:rPr>
              <w:t>3,1</w:t>
            </w:r>
          </w:p>
        </w:tc>
      </w:tr>
    </w:tbl>
    <w:p w14:paraId="3A93A0FA" w14:textId="54A0E926" w:rsidR="00266E8B" w:rsidRDefault="00266E8B" w:rsidP="00CD37AA">
      <w:pPr>
        <w:spacing w:line="240" w:lineRule="auto"/>
        <w:jc w:val="center"/>
        <w:rPr>
          <w:rFonts w:eastAsia="Calibri" w:cs="Times New Roman"/>
          <w:noProof/>
          <w:lang w:eastAsia="hr-HR"/>
        </w:rPr>
      </w:pPr>
    </w:p>
    <w:p w14:paraId="40798DB3" w14:textId="43C94919" w:rsidR="004B2CFF" w:rsidRPr="00CD37AA" w:rsidRDefault="00AD2D6B" w:rsidP="00CD37AA">
      <w:pPr>
        <w:spacing w:line="240" w:lineRule="auto"/>
        <w:jc w:val="center"/>
        <w:rPr>
          <w:rFonts w:eastAsia="Calibri" w:cs="Times New Roman"/>
          <w:noProof/>
          <w:lang w:eastAsia="hr-HR"/>
        </w:rPr>
      </w:pPr>
      <w:r>
        <w:rPr>
          <w:rFonts w:eastAsia="Calibri" w:cs="Times New Roman"/>
          <w:noProof/>
          <w:lang w:eastAsia="hr-HR"/>
        </w:rPr>
        <w:lastRenderedPageBreak/>
        <w:drawing>
          <wp:inline distT="0" distB="0" distL="0" distR="0" wp14:anchorId="1C062CFC" wp14:editId="5F166B31">
            <wp:extent cx="3907536" cy="237134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1.jpg"/>
                    <pic:cNvPicPr/>
                  </pic:nvPicPr>
                  <pic:blipFill>
                    <a:blip r:embed="rId17">
                      <a:extLst>
                        <a:ext uri="{28A0092B-C50C-407E-A947-70E740481C1C}">
                          <a14:useLocalDpi xmlns:a14="http://schemas.microsoft.com/office/drawing/2010/main" val="0"/>
                        </a:ext>
                      </a:extLst>
                    </a:blip>
                    <a:stretch>
                      <a:fillRect/>
                    </a:stretch>
                  </pic:blipFill>
                  <pic:spPr>
                    <a:xfrm>
                      <a:off x="0" y="0"/>
                      <a:ext cx="3907536" cy="2371344"/>
                    </a:xfrm>
                    <a:prstGeom prst="rect">
                      <a:avLst/>
                    </a:prstGeom>
                  </pic:spPr>
                </pic:pic>
              </a:graphicData>
            </a:graphic>
          </wp:inline>
        </w:drawing>
      </w:r>
    </w:p>
    <w:p w14:paraId="1B5BA235" w14:textId="67B180AE" w:rsidR="004B2CFF" w:rsidRPr="00CD37AA" w:rsidRDefault="00AD2D6B" w:rsidP="00CD37AA">
      <w:pPr>
        <w:spacing w:line="240" w:lineRule="auto"/>
        <w:jc w:val="center"/>
        <w:rPr>
          <w:rFonts w:eastAsia="Calibri" w:cs="Times New Roman"/>
          <w:noProof/>
          <w:lang w:eastAsia="hr-HR"/>
        </w:rPr>
      </w:pPr>
      <w:r>
        <w:rPr>
          <w:rFonts w:eastAsia="Calibri" w:cs="Times New Roman"/>
          <w:noProof/>
          <w:lang w:eastAsia="hr-HR"/>
        </w:rPr>
        <w:drawing>
          <wp:inline distT="0" distB="0" distL="0" distR="0" wp14:anchorId="1FA2936A" wp14:editId="6FE2ECAB">
            <wp:extent cx="3901440" cy="2377440"/>
            <wp:effectExtent l="0" t="0" r="381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2.jpg"/>
                    <pic:cNvPicPr/>
                  </pic:nvPicPr>
                  <pic:blipFill>
                    <a:blip r:embed="rId18">
                      <a:extLst>
                        <a:ext uri="{28A0092B-C50C-407E-A947-70E740481C1C}">
                          <a14:useLocalDpi xmlns:a14="http://schemas.microsoft.com/office/drawing/2010/main" val="0"/>
                        </a:ext>
                      </a:extLst>
                    </a:blip>
                    <a:stretch>
                      <a:fillRect/>
                    </a:stretch>
                  </pic:blipFill>
                  <pic:spPr>
                    <a:xfrm>
                      <a:off x="0" y="0"/>
                      <a:ext cx="3901440" cy="2377440"/>
                    </a:xfrm>
                    <a:prstGeom prst="rect">
                      <a:avLst/>
                    </a:prstGeom>
                  </pic:spPr>
                </pic:pic>
              </a:graphicData>
            </a:graphic>
          </wp:inline>
        </w:drawing>
      </w:r>
    </w:p>
    <w:p w14:paraId="4E8D2CFF" w14:textId="77777777" w:rsidR="0021785F" w:rsidRPr="006414E6" w:rsidRDefault="00845917" w:rsidP="00CD37AA">
      <w:pPr>
        <w:pStyle w:val="Slika"/>
        <w:spacing w:before="120"/>
        <w:jc w:val="center"/>
        <w:rPr>
          <w:rFonts w:ascii="Times New Roman" w:hAnsi="Times New Roman"/>
          <w:i/>
        </w:rPr>
      </w:pPr>
      <w:bookmarkStart w:id="167" w:name="_Toc33417099"/>
      <w:r w:rsidRPr="006414E6">
        <w:rPr>
          <w:rFonts w:ascii="Times New Roman" w:hAnsi="Times New Roman"/>
          <w:i/>
        </w:rPr>
        <w:t>Slika</w:t>
      </w:r>
      <w:r w:rsidR="0021785F" w:rsidRPr="006414E6">
        <w:rPr>
          <w:rFonts w:ascii="Times New Roman" w:hAnsi="Times New Roman"/>
          <w:i/>
        </w:rPr>
        <w:t xml:space="preserve"> 3-1: </w:t>
      </w:r>
      <w:r w:rsidR="00CD0966" w:rsidRPr="006414E6">
        <w:rPr>
          <w:rFonts w:ascii="Times New Roman" w:hAnsi="Times New Roman"/>
          <w:i/>
        </w:rPr>
        <w:t>Projekcije s</w:t>
      </w:r>
      <w:r w:rsidR="0021785F" w:rsidRPr="006414E6">
        <w:rPr>
          <w:rFonts w:ascii="Times New Roman" w:hAnsi="Times New Roman"/>
          <w:i/>
        </w:rPr>
        <w:t>manjenj</w:t>
      </w:r>
      <w:r w:rsidR="00CD0966" w:rsidRPr="006414E6">
        <w:rPr>
          <w:rFonts w:ascii="Times New Roman" w:hAnsi="Times New Roman"/>
          <w:i/>
        </w:rPr>
        <w:t>a</w:t>
      </w:r>
      <w:r w:rsidR="0021785F" w:rsidRPr="006414E6">
        <w:rPr>
          <w:rFonts w:ascii="Times New Roman" w:hAnsi="Times New Roman"/>
          <w:i/>
        </w:rPr>
        <w:t xml:space="preserve"> emisija u </w:t>
      </w:r>
      <w:proofErr w:type="spellStart"/>
      <w:r w:rsidR="0021785F" w:rsidRPr="006414E6">
        <w:rPr>
          <w:rFonts w:ascii="Times New Roman" w:hAnsi="Times New Roman"/>
          <w:i/>
        </w:rPr>
        <w:t>niskougljičnim</w:t>
      </w:r>
      <w:proofErr w:type="spellEnd"/>
      <w:r w:rsidR="0021785F" w:rsidRPr="006414E6">
        <w:rPr>
          <w:rFonts w:ascii="Times New Roman" w:hAnsi="Times New Roman"/>
          <w:i/>
        </w:rPr>
        <w:t xml:space="preserve"> scenarijima</w:t>
      </w:r>
      <w:bookmarkEnd w:id="167"/>
    </w:p>
    <w:p w14:paraId="2FBADDD0" w14:textId="77777777" w:rsidR="00ED53DB" w:rsidRPr="006414E6" w:rsidRDefault="00ED53DB" w:rsidP="00ED53DB">
      <w:pPr>
        <w:pStyle w:val="Tablicanaslov"/>
        <w:spacing w:after="120"/>
        <w:rPr>
          <w:rFonts w:cs="Times New Roman"/>
          <w:i/>
          <w:sz w:val="24"/>
          <w:szCs w:val="24"/>
        </w:rPr>
      </w:pPr>
      <w:bookmarkStart w:id="168" w:name="_Toc33417111"/>
      <w:r w:rsidRPr="006414E6">
        <w:rPr>
          <w:rFonts w:cs="Times New Roman"/>
          <w:i/>
          <w:sz w:val="24"/>
          <w:szCs w:val="24"/>
        </w:rPr>
        <w:t xml:space="preserve">Tablica 3-2: Smanjenje emisija u </w:t>
      </w:r>
      <w:proofErr w:type="spellStart"/>
      <w:r w:rsidRPr="006414E6">
        <w:rPr>
          <w:rFonts w:cs="Times New Roman"/>
          <w:i/>
          <w:sz w:val="24"/>
          <w:szCs w:val="24"/>
        </w:rPr>
        <w:t>niskougljičnim</w:t>
      </w:r>
      <w:proofErr w:type="spellEnd"/>
      <w:r w:rsidRPr="006414E6">
        <w:rPr>
          <w:rFonts w:cs="Times New Roman"/>
          <w:i/>
          <w:sz w:val="24"/>
          <w:szCs w:val="24"/>
        </w:rPr>
        <w:t xml:space="preserve"> scenarijima, ETS i sektori izvan ETS-a</w:t>
      </w:r>
      <w:bookmarkEnd w:id="168"/>
    </w:p>
    <w:tbl>
      <w:tblPr>
        <w:tblW w:w="9109" w:type="dxa"/>
        <w:tblLayout w:type="fixed"/>
        <w:tblLook w:val="04A0" w:firstRow="1" w:lastRow="0" w:firstColumn="1" w:lastColumn="0" w:noHBand="0" w:noVBand="1"/>
      </w:tblPr>
      <w:tblGrid>
        <w:gridCol w:w="1716"/>
        <w:gridCol w:w="1139"/>
        <w:gridCol w:w="639"/>
        <w:gridCol w:w="1396"/>
        <w:gridCol w:w="639"/>
        <w:gridCol w:w="1418"/>
        <w:gridCol w:w="639"/>
        <w:gridCol w:w="1523"/>
      </w:tblGrid>
      <w:tr w:rsidR="008A3723" w:rsidRPr="006414E6" w14:paraId="145F28E6" w14:textId="77777777" w:rsidTr="007223CC">
        <w:trPr>
          <w:trHeight w:val="308"/>
        </w:trPr>
        <w:tc>
          <w:tcPr>
            <w:tcW w:w="1716" w:type="dxa"/>
            <w:vMerge w:val="restart"/>
            <w:tcBorders>
              <w:top w:val="single" w:sz="4" w:space="0" w:color="auto"/>
              <w:left w:val="single" w:sz="4" w:space="0" w:color="auto"/>
              <w:right w:val="single" w:sz="4" w:space="0" w:color="auto"/>
            </w:tcBorders>
            <w:shd w:val="clear" w:color="000000" w:fill="F2F2F2"/>
            <w:noWrap/>
            <w:vAlign w:val="center"/>
            <w:hideMark/>
          </w:tcPr>
          <w:p w14:paraId="2EDC445D" w14:textId="77777777" w:rsidR="008A3723" w:rsidRPr="006414E6" w:rsidRDefault="008A3723" w:rsidP="003079BB">
            <w:pPr>
              <w:jc w:val="left"/>
              <w:rPr>
                <w:rFonts w:cs="Times New Roman"/>
                <w:b/>
                <w:sz w:val="20"/>
                <w:lang w:eastAsia="hr-HR"/>
              </w:rPr>
            </w:pPr>
            <w:r w:rsidRPr="006414E6">
              <w:rPr>
                <w:rFonts w:cs="Times New Roman"/>
                <w:b/>
                <w:sz w:val="20"/>
                <w:lang w:eastAsia="hr-HR"/>
              </w:rPr>
              <w:t>Emisije u odnosu na emisije u 2005. godini (%)</w:t>
            </w:r>
          </w:p>
        </w:tc>
        <w:tc>
          <w:tcPr>
            <w:tcW w:w="1139" w:type="dxa"/>
            <w:tcBorders>
              <w:top w:val="single" w:sz="4" w:space="0" w:color="auto"/>
              <w:left w:val="nil"/>
              <w:bottom w:val="single" w:sz="4" w:space="0" w:color="auto"/>
              <w:right w:val="single" w:sz="4" w:space="0" w:color="auto"/>
            </w:tcBorders>
            <w:shd w:val="clear" w:color="000000" w:fill="F2F2F2"/>
            <w:noWrap/>
            <w:vAlign w:val="center"/>
            <w:hideMark/>
          </w:tcPr>
          <w:p w14:paraId="5337686B" w14:textId="77777777" w:rsidR="008A3723" w:rsidRPr="006414E6" w:rsidRDefault="00ED53DB" w:rsidP="003079BB">
            <w:pPr>
              <w:jc w:val="center"/>
              <w:rPr>
                <w:rFonts w:cs="Times New Roman"/>
                <w:b/>
                <w:sz w:val="20"/>
                <w:lang w:eastAsia="hr-HR"/>
              </w:rPr>
            </w:pPr>
            <w:r w:rsidRPr="006414E6">
              <w:rPr>
                <w:rFonts w:cs="Times New Roman"/>
                <w:b/>
                <w:sz w:val="20"/>
                <w:lang w:eastAsia="hr-HR"/>
              </w:rPr>
              <w:t>2016</w:t>
            </w:r>
            <w:r w:rsidR="008A3723" w:rsidRPr="006414E6">
              <w:rPr>
                <w:rFonts w:cs="Times New Roman"/>
                <w:b/>
                <w:sz w:val="20"/>
                <w:lang w:eastAsia="hr-HR"/>
              </w:rPr>
              <w:t>.</w:t>
            </w:r>
          </w:p>
        </w:tc>
        <w:tc>
          <w:tcPr>
            <w:tcW w:w="2035" w:type="dxa"/>
            <w:gridSpan w:val="2"/>
            <w:tcBorders>
              <w:top w:val="single" w:sz="4" w:space="0" w:color="auto"/>
              <w:left w:val="nil"/>
              <w:bottom w:val="single" w:sz="4" w:space="0" w:color="auto"/>
              <w:right w:val="single" w:sz="4" w:space="0" w:color="auto"/>
            </w:tcBorders>
            <w:shd w:val="clear" w:color="000000" w:fill="F2F2F2"/>
            <w:vAlign w:val="center"/>
          </w:tcPr>
          <w:p w14:paraId="0FADB966" w14:textId="77777777" w:rsidR="008A3723" w:rsidRPr="006414E6" w:rsidRDefault="00ED53DB" w:rsidP="003079BB">
            <w:pPr>
              <w:jc w:val="center"/>
              <w:rPr>
                <w:rFonts w:cs="Times New Roman"/>
                <w:b/>
                <w:sz w:val="20"/>
                <w:lang w:eastAsia="hr-HR"/>
              </w:rPr>
            </w:pPr>
            <w:r w:rsidRPr="006414E6">
              <w:rPr>
                <w:rFonts w:cs="Times New Roman"/>
                <w:b/>
                <w:sz w:val="20"/>
                <w:lang w:eastAsia="hr-HR"/>
              </w:rPr>
              <w:t>203</w:t>
            </w:r>
            <w:r w:rsidR="008A3723" w:rsidRPr="006414E6">
              <w:rPr>
                <w:rFonts w:cs="Times New Roman"/>
                <w:b/>
                <w:sz w:val="20"/>
                <w:lang w:eastAsia="hr-HR"/>
              </w:rPr>
              <w:t>0.</w:t>
            </w:r>
          </w:p>
        </w:tc>
        <w:tc>
          <w:tcPr>
            <w:tcW w:w="2057"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16AE4072" w14:textId="77777777" w:rsidR="008A3723" w:rsidRPr="006414E6" w:rsidRDefault="00ED53DB" w:rsidP="003079BB">
            <w:pPr>
              <w:jc w:val="center"/>
              <w:rPr>
                <w:rFonts w:cs="Times New Roman"/>
                <w:b/>
                <w:sz w:val="20"/>
                <w:lang w:eastAsia="hr-HR"/>
              </w:rPr>
            </w:pPr>
            <w:r w:rsidRPr="006414E6">
              <w:rPr>
                <w:rFonts w:cs="Times New Roman"/>
                <w:b/>
                <w:sz w:val="20"/>
                <w:lang w:eastAsia="hr-HR"/>
              </w:rPr>
              <w:t>204</w:t>
            </w:r>
            <w:r w:rsidR="008A3723" w:rsidRPr="006414E6">
              <w:rPr>
                <w:rFonts w:cs="Times New Roman"/>
                <w:b/>
                <w:sz w:val="20"/>
                <w:lang w:eastAsia="hr-HR"/>
              </w:rPr>
              <w:t>0.</w:t>
            </w:r>
          </w:p>
        </w:tc>
        <w:tc>
          <w:tcPr>
            <w:tcW w:w="2162"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35EB0658" w14:textId="77777777" w:rsidR="008A3723" w:rsidRPr="006414E6" w:rsidRDefault="008A3723" w:rsidP="003079BB">
            <w:pPr>
              <w:jc w:val="center"/>
              <w:rPr>
                <w:rFonts w:cs="Times New Roman"/>
                <w:b/>
                <w:sz w:val="20"/>
                <w:lang w:eastAsia="hr-HR"/>
              </w:rPr>
            </w:pPr>
            <w:r w:rsidRPr="006414E6">
              <w:rPr>
                <w:rFonts w:cs="Times New Roman"/>
                <w:b/>
                <w:sz w:val="20"/>
                <w:lang w:eastAsia="hr-HR"/>
              </w:rPr>
              <w:t>2050.</w:t>
            </w:r>
          </w:p>
        </w:tc>
      </w:tr>
      <w:tr w:rsidR="008A3723" w:rsidRPr="006414E6" w14:paraId="22088A25" w14:textId="77777777" w:rsidTr="007223CC">
        <w:trPr>
          <w:trHeight w:val="308"/>
        </w:trPr>
        <w:tc>
          <w:tcPr>
            <w:tcW w:w="1716" w:type="dxa"/>
            <w:vMerge/>
            <w:tcBorders>
              <w:left w:val="single" w:sz="4" w:space="0" w:color="auto"/>
              <w:bottom w:val="single" w:sz="4" w:space="0" w:color="auto"/>
              <w:right w:val="single" w:sz="4" w:space="0" w:color="auto"/>
            </w:tcBorders>
            <w:shd w:val="clear" w:color="000000" w:fill="F2F2F2"/>
            <w:noWrap/>
            <w:vAlign w:val="center"/>
          </w:tcPr>
          <w:p w14:paraId="21B0CB9C" w14:textId="77777777" w:rsidR="008A3723" w:rsidRPr="006414E6" w:rsidRDefault="008A3723" w:rsidP="003079BB">
            <w:pPr>
              <w:jc w:val="left"/>
              <w:rPr>
                <w:rFonts w:cs="Times New Roman"/>
                <w:sz w:val="20"/>
                <w:lang w:eastAsia="hr-HR"/>
              </w:rPr>
            </w:pPr>
          </w:p>
        </w:tc>
        <w:tc>
          <w:tcPr>
            <w:tcW w:w="1139" w:type="dxa"/>
            <w:tcBorders>
              <w:top w:val="nil"/>
              <w:left w:val="nil"/>
              <w:bottom w:val="single" w:sz="4" w:space="0" w:color="auto"/>
              <w:right w:val="single" w:sz="4" w:space="0" w:color="auto"/>
            </w:tcBorders>
            <w:shd w:val="clear" w:color="auto" w:fill="F2F2F2" w:themeFill="background1" w:themeFillShade="F2"/>
            <w:noWrap/>
            <w:vAlign w:val="center"/>
          </w:tcPr>
          <w:p w14:paraId="167FE129" w14:textId="77777777" w:rsidR="008A3723" w:rsidRPr="006414E6" w:rsidRDefault="008A3723" w:rsidP="003079BB">
            <w:pPr>
              <w:jc w:val="center"/>
              <w:rPr>
                <w:rFonts w:cs="Times New Roman"/>
                <w:sz w:val="20"/>
                <w:lang w:eastAsia="hr-HR"/>
              </w:rPr>
            </w:pPr>
            <w:r w:rsidRPr="006414E6">
              <w:rPr>
                <w:rFonts w:cs="Times New Roman"/>
                <w:sz w:val="20"/>
                <w:lang w:eastAsia="hr-HR"/>
              </w:rPr>
              <w:t>Ostvareno</w:t>
            </w:r>
          </w:p>
        </w:tc>
        <w:tc>
          <w:tcPr>
            <w:tcW w:w="63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2EDB24B" w14:textId="77777777" w:rsidR="008A3723" w:rsidRPr="006414E6" w:rsidRDefault="008A3723" w:rsidP="003079BB">
            <w:pPr>
              <w:jc w:val="center"/>
              <w:rPr>
                <w:rFonts w:cs="Times New Roman"/>
                <w:sz w:val="20"/>
                <w:lang w:eastAsia="hr-HR"/>
              </w:rPr>
            </w:pPr>
            <w:r w:rsidRPr="006414E6">
              <w:rPr>
                <w:rFonts w:cs="Times New Roman"/>
                <w:sz w:val="20"/>
                <w:lang w:eastAsia="hr-HR"/>
              </w:rPr>
              <w:t>NUR</w:t>
            </w:r>
          </w:p>
        </w:tc>
        <w:tc>
          <w:tcPr>
            <w:tcW w:w="1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3DDBD44" w14:textId="77777777" w:rsidR="008A3723" w:rsidRPr="006414E6" w:rsidRDefault="008A3723" w:rsidP="003079BB">
            <w:pPr>
              <w:jc w:val="center"/>
              <w:rPr>
                <w:rFonts w:cs="Times New Roman"/>
                <w:b/>
                <w:sz w:val="20"/>
                <w:lang w:eastAsia="hr-HR"/>
              </w:rPr>
            </w:pPr>
            <w:r w:rsidRPr="006414E6">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B2A142" w14:textId="77777777" w:rsidR="008A3723" w:rsidRPr="006414E6" w:rsidRDefault="008A3723" w:rsidP="003079BB">
            <w:pPr>
              <w:jc w:val="center"/>
              <w:rPr>
                <w:rFonts w:cs="Times New Roman"/>
                <w:sz w:val="20"/>
                <w:lang w:eastAsia="hr-HR"/>
              </w:rPr>
            </w:pPr>
            <w:r w:rsidRPr="006414E6">
              <w:rPr>
                <w:rFonts w:cs="Times New Roman"/>
                <w:sz w:val="20"/>
                <w:lang w:eastAsia="hr-HR"/>
              </w:rPr>
              <w:t>NUR</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BE14CB9" w14:textId="77777777" w:rsidR="008A3723" w:rsidRPr="006414E6" w:rsidRDefault="008A3723" w:rsidP="003079BB">
            <w:pPr>
              <w:jc w:val="center"/>
              <w:rPr>
                <w:rFonts w:cs="Times New Roman"/>
                <w:b/>
                <w:sz w:val="20"/>
                <w:lang w:eastAsia="hr-HR"/>
              </w:rPr>
            </w:pPr>
            <w:r w:rsidRPr="006414E6">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4936B1" w14:textId="77777777" w:rsidR="008A3723" w:rsidRPr="006414E6" w:rsidRDefault="008A3723" w:rsidP="003079BB">
            <w:pPr>
              <w:jc w:val="center"/>
              <w:rPr>
                <w:rFonts w:cs="Times New Roman"/>
                <w:sz w:val="20"/>
                <w:lang w:eastAsia="hr-HR"/>
              </w:rPr>
            </w:pPr>
            <w:r w:rsidRPr="006414E6">
              <w:rPr>
                <w:rFonts w:cs="Times New Roman"/>
                <w:sz w:val="20"/>
                <w:lang w:eastAsia="hr-HR"/>
              </w:rPr>
              <w:t>NUR</w:t>
            </w:r>
          </w:p>
        </w:tc>
        <w:tc>
          <w:tcPr>
            <w:tcW w:w="15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CC3E3D8" w14:textId="77777777" w:rsidR="008A3723" w:rsidRPr="006414E6" w:rsidRDefault="008A3723" w:rsidP="003079BB">
            <w:pPr>
              <w:jc w:val="center"/>
              <w:rPr>
                <w:rFonts w:cs="Times New Roman"/>
                <w:b/>
                <w:sz w:val="20"/>
                <w:lang w:eastAsia="hr-HR"/>
              </w:rPr>
            </w:pPr>
            <w:r w:rsidRPr="006414E6">
              <w:rPr>
                <w:rFonts w:cs="Times New Roman"/>
                <w:b/>
                <w:sz w:val="20"/>
                <w:lang w:eastAsia="hr-HR"/>
              </w:rPr>
              <w:t>NU1 do NU2</w:t>
            </w:r>
          </w:p>
        </w:tc>
      </w:tr>
      <w:tr w:rsidR="008A3723" w:rsidRPr="006414E6" w14:paraId="153BAA73" w14:textId="77777777" w:rsidTr="007223CC">
        <w:trPr>
          <w:trHeight w:val="308"/>
        </w:trPr>
        <w:tc>
          <w:tcPr>
            <w:tcW w:w="171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CA87B84" w14:textId="77777777" w:rsidR="008A3723" w:rsidRPr="006414E6" w:rsidRDefault="008A3723" w:rsidP="003079BB">
            <w:pPr>
              <w:jc w:val="left"/>
              <w:rPr>
                <w:rFonts w:cs="Times New Roman"/>
                <w:b/>
                <w:sz w:val="20"/>
                <w:lang w:eastAsia="hr-HR"/>
              </w:rPr>
            </w:pPr>
            <w:r w:rsidRPr="006414E6">
              <w:rPr>
                <w:rFonts w:cs="Times New Roman"/>
                <w:b/>
                <w:sz w:val="20"/>
                <w:lang w:eastAsia="hr-HR"/>
              </w:rPr>
              <w:t>ETS</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26975B22" w14:textId="77777777" w:rsidR="008A3723" w:rsidRPr="006414E6" w:rsidRDefault="00ED53DB" w:rsidP="00DD2954">
            <w:pPr>
              <w:jc w:val="center"/>
              <w:rPr>
                <w:rFonts w:cs="Times New Roman"/>
                <w:sz w:val="20"/>
                <w:lang w:eastAsia="hr-HR"/>
              </w:rPr>
            </w:pPr>
            <w:r w:rsidRPr="006414E6">
              <w:rPr>
                <w:rFonts w:cs="Times New Roman"/>
                <w:sz w:val="20"/>
                <w:lang w:eastAsia="hr-HR"/>
              </w:rPr>
              <w:t>-</w:t>
            </w:r>
            <w:r w:rsidR="00DD2954" w:rsidRPr="006414E6">
              <w:rPr>
                <w:rFonts w:cs="Times New Roman"/>
                <w:sz w:val="20"/>
                <w:lang w:eastAsia="hr-HR"/>
              </w:rPr>
              <w:t>22,4</w:t>
            </w:r>
          </w:p>
        </w:tc>
        <w:tc>
          <w:tcPr>
            <w:tcW w:w="639" w:type="dxa"/>
            <w:tcBorders>
              <w:top w:val="single" w:sz="4" w:space="0" w:color="auto"/>
              <w:left w:val="nil"/>
              <w:bottom w:val="single" w:sz="4" w:space="0" w:color="auto"/>
              <w:right w:val="single" w:sz="4" w:space="0" w:color="auto"/>
            </w:tcBorders>
            <w:vAlign w:val="center"/>
          </w:tcPr>
          <w:p w14:paraId="178FFB93" w14:textId="77777777" w:rsidR="008A3723" w:rsidRPr="006414E6" w:rsidRDefault="00ED53DB" w:rsidP="005807EA">
            <w:pPr>
              <w:jc w:val="center"/>
              <w:rPr>
                <w:rFonts w:cs="Times New Roman"/>
                <w:sz w:val="20"/>
                <w:lang w:eastAsia="hr-HR"/>
              </w:rPr>
            </w:pPr>
            <w:r w:rsidRPr="006414E6">
              <w:rPr>
                <w:rFonts w:cs="Times New Roman"/>
                <w:sz w:val="20"/>
                <w:lang w:eastAsia="hr-HR"/>
              </w:rPr>
              <w:t>-</w:t>
            </w:r>
            <w:r w:rsidR="00A51858" w:rsidRPr="006414E6">
              <w:rPr>
                <w:rFonts w:cs="Times New Roman"/>
                <w:sz w:val="20"/>
                <w:lang w:eastAsia="hr-HR"/>
              </w:rPr>
              <w:t>3</w:t>
            </w:r>
            <w:r w:rsidR="005807EA" w:rsidRPr="006414E6">
              <w:rPr>
                <w:rFonts w:cs="Times New Roman"/>
                <w:sz w:val="20"/>
                <w:lang w:eastAsia="hr-HR"/>
              </w:rPr>
              <w:t>0,1</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2F02D" w14:textId="77777777" w:rsidR="008A3723" w:rsidRPr="006414E6" w:rsidRDefault="00ED53DB" w:rsidP="005807EA">
            <w:pPr>
              <w:jc w:val="center"/>
              <w:rPr>
                <w:rFonts w:cs="Times New Roman"/>
                <w:b/>
                <w:sz w:val="20"/>
                <w:lang w:eastAsia="hr-HR"/>
              </w:rPr>
            </w:pPr>
            <w:r w:rsidRPr="006414E6">
              <w:rPr>
                <w:rFonts w:cs="Times New Roman"/>
                <w:b/>
                <w:sz w:val="20"/>
                <w:lang w:eastAsia="hr-HR"/>
              </w:rPr>
              <w:t>-</w:t>
            </w:r>
            <w:r w:rsidR="005807EA" w:rsidRPr="006414E6">
              <w:rPr>
                <w:rFonts w:cs="Times New Roman"/>
                <w:b/>
                <w:sz w:val="20"/>
                <w:lang w:eastAsia="hr-HR"/>
              </w:rPr>
              <w:t>34,3</w:t>
            </w:r>
            <w:r w:rsidRPr="006414E6">
              <w:rPr>
                <w:rFonts w:cs="Times New Roman"/>
                <w:b/>
                <w:sz w:val="20"/>
                <w:lang w:eastAsia="hr-HR"/>
              </w:rPr>
              <w:t xml:space="preserve"> do -</w:t>
            </w:r>
            <w:r w:rsidR="005807EA" w:rsidRPr="006414E6">
              <w:rPr>
                <w:rFonts w:cs="Times New Roman"/>
                <w:b/>
                <w:sz w:val="20"/>
                <w:lang w:eastAsia="hr-HR"/>
              </w:rPr>
              <w:t>38,6</w:t>
            </w:r>
          </w:p>
        </w:tc>
        <w:tc>
          <w:tcPr>
            <w:tcW w:w="639" w:type="dxa"/>
            <w:tcBorders>
              <w:top w:val="single" w:sz="4" w:space="0" w:color="auto"/>
              <w:left w:val="single" w:sz="4" w:space="0" w:color="auto"/>
              <w:bottom w:val="single" w:sz="4" w:space="0" w:color="auto"/>
              <w:right w:val="single" w:sz="4" w:space="0" w:color="auto"/>
            </w:tcBorders>
            <w:vAlign w:val="center"/>
          </w:tcPr>
          <w:p w14:paraId="30B4A38C" w14:textId="77777777" w:rsidR="008A3723" w:rsidRPr="006414E6" w:rsidRDefault="00ED53DB" w:rsidP="005807EA">
            <w:pPr>
              <w:jc w:val="center"/>
              <w:rPr>
                <w:rFonts w:cs="Times New Roman"/>
                <w:sz w:val="20"/>
                <w:lang w:eastAsia="hr-HR"/>
              </w:rPr>
            </w:pPr>
            <w:r w:rsidRPr="006414E6">
              <w:rPr>
                <w:rFonts w:cs="Times New Roman"/>
                <w:sz w:val="20"/>
                <w:lang w:eastAsia="hr-HR"/>
              </w:rPr>
              <w:t>-</w:t>
            </w:r>
            <w:r w:rsidR="005807EA" w:rsidRPr="006414E6">
              <w:rPr>
                <w:rFonts w:cs="Times New Roman"/>
                <w:sz w:val="20"/>
                <w:lang w:eastAsia="hr-HR"/>
              </w:rPr>
              <w:t>36,9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30A5A" w14:textId="77777777" w:rsidR="008A3723" w:rsidRPr="006414E6" w:rsidRDefault="008A3723" w:rsidP="005807EA">
            <w:pPr>
              <w:jc w:val="center"/>
              <w:rPr>
                <w:rFonts w:cs="Times New Roman"/>
                <w:b/>
                <w:sz w:val="20"/>
                <w:lang w:eastAsia="hr-HR"/>
              </w:rPr>
            </w:pPr>
            <w:r w:rsidRPr="006414E6">
              <w:rPr>
                <w:rFonts w:cs="Times New Roman"/>
                <w:b/>
                <w:sz w:val="20"/>
                <w:lang w:eastAsia="hr-HR"/>
              </w:rPr>
              <w:t>-</w:t>
            </w:r>
            <w:r w:rsidR="005807EA" w:rsidRPr="006414E6">
              <w:rPr>
                <w:rFonts w:cs="Times New Roman"/>
                <w:b/>
                <w:sz w:val="20"/>
                <w:lang w:eastAsia="hr-HR"/>
              </w:rPr>
              <w:t>45,4</w:t>
            </w:r>
            <w:r w:rsidR="00ED53DB" w:rsidRPr="006414E6">
              <w:rPr>
                <w:rFonts w:cs="Times New Roman"/>
                <w:b/>
                <w:sz w:val="20"/>
                <w:lang w:eastAsia="hr-HR"/>
              </w:rPr>
              <w:t xml:space="preserve"> do -</w:t>
            </w:r>
            <w:r w:rsidR="005807EA" w:rsidRPr="006414E6">
              <w:rPr>
                <w:rFonts w:cs="Times New Roman"/>
                <w:b/>
                <w:sz w:val="20"/>
                <w:lang w:eastAsia="hr-HR"/>
              </w:rPr>
              <w:t>54,9</w:t>
            </w:r>
          </w:p>
        </w:tc>
        <w:tc>
          <w:tcPr>
            <w:tcW w:w="639" w:type="dxa"/>
            <w:tcBorders>
              <w:top w:val="single" w:sz="4" w:space="0" w:color="auto"/>
              <w:left w:val="single" w:sz="4" w:space="0" w:color="auto"/>
              <w:bottom w:val="single" w:sz="4" w:space="0" w:color="auto"/>
              <w:right w:val="single" w:sz="4" w:space="0" w:color="auto"/>
            </w:tcBorders>
            <w:vAlign w:val="center"/>
          </w:tcPr>
          <w:p w14:paraId="32E0E607" w14:textId="77777777" w:rsidR="008A3723" w:rsidRPr="006414E6" w:rsidRDefault="00ED53DB" w:rsidP="005807EA">
            <w:pPr>
              <w:jc w:val="center"/>
              <w:rPr>
                <w:rFonts w:cs="Times New Roman"/>
                <w:sz w:val="20"/>
                <w:lang w:eastAsia="hr-HR"/>
              </w:rPr>
            </w:pPr>
            <w:r w:rsidRPr="006414E6">
              <w:rPr>
                <w:rFonts w:cs="Times New Roman"/>
                <w:sz w:val="20"/>
                <w:lang w:eastAsia="hr-HR"/>
              </w:rPr>
              <w:t>-</w:t>
            </w:r>
            <w:r w:rsidR="005807EA" w:rsidRPr="006414E6">
              <w:rPr>
                <w:rFonts w:cs="Times New Roman"/>
                <w:sz w:val="20"/>
                <w:lang w:eastAsia="hr-HR"/>
              </w:rPr>
              <w:t>43,2</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57162" w14:textId="77777777" w:rsidR="008A3723" w:rsidRPr="006414E6" w:rsidRDefault="008A3723" w:rsidP="005807EA">
            <w:pPr>
              <w:jc w:val="center"/>
              <w:rPr>
                <w:rFonts w:cs="Times New Roman"/>
                <w:b/>
                <w:sz w:val="20"/>
                <w:lang w:eastAsia="hr-HR"/>
              </w:rPr>
            </w:pPr>
            <w:r w:rsidRPr="006414E6">
              <w:rPr>
                <w:rFonts w:cs="Times New Roman"/>
                <w:b/>
                <w:sz w:val="20"/>
                <w:lang w:eastAsia="hr-HR"/>
              </w:rPr>
              <w:t>-</w:t>
            </w:r>
            <w:r w:rsidR="006964B4" w:rsidRPr="006414E6">
              <w:rPr>
                <w:rFonts w:cs="Times New Roman"/>
                <w:b/>
                <w:sz w:val="20"/>
                <w:lang w:eastAsia="hr-HR"/>
              </w:rPr>
              <w:t>5</w:t>
            </w:r>
            <w:r w:rsidR="005807EA" w:rsidRPr="006414E6">
              <w:rPr>
                <w:rFonts w:cs="Times New Roman"/>
                <w:b/>
                <w:sz w:val="20"/>
                <w:lang w:eastAsia="hr-HR"/>
              </w:rPr>
              <w:t>1,4</w:t>
            </w:r>
            <w:r w:rsidR="00ED53DB" w:rsidRPr="006414E6">
              <w:rPr>
                <w:rFonts w:cs="Times New Roman"/>
                <w:b/>
                <w:sz w:val="20"/>
                <w:lang w:eastAsia="hr-HR"/>
              </w:rPr>
              <w:t xml:space="preserve"> do -</w:t>
            </w:r>
            <w:r w:rsidR="005807EA" w:rsidRPr="006414E6">
              <w:rPr>
                <w:rFonts w:cs="Times New Roman"/>
                <w:b/>
                <w:sz w:val="20"/>
                <w:lang w:eastAsia="hr-HR"/>
              </w:rPr>
              <w:t>78,5</w:t>
            </w:r>
          </w:p>
        </w:tc>
      </w:tr>
      <w:tr w:rsidR="007223CC" w:rsidRPr="006414E6" w14:paraId="4183334A" w14:textId="77777777" w:rsidTr="0089785F">
        <w:trPr>
          <w:trHeight w:val="20"/>
        </w:trPr>
        <w:tc>
          <w:tcPr>
            <w:tcW w:w="1716" w:type="dxa"/>
            <w:tcBorders>
              <w:top w:val="double" w:sz="4" w:space="0" w:color="auto"/>
              <w:left w:val="single" w:sz="4" w:space="0" w:color="auto"/>
              <w:bottom w:val="single" w:sz="4" w:space="0" w:color="auto"/>
            </w:tcBorders>
            <w:shd w:val="clear" w:color="auto" w:fill="auto"/>
            <w:noWrap/>
            <w:vAlign w:val="center"/>
          </w:tcPr>
          <w:p w14:paraId="2D06BC58" w14:textId="77777777" w:rsidR="007223CC" w:rsidRPr="006414E6" w:rsidRDefault="007223CC" w:rsidP="007223CC">
            <w:pPr>
              <w:spacing w:line="240" w:lineRule="auto"/>
              <w:jc w:val="left"/>
              <w:rPr>
                <w:rFonts w:cs="Times New Roman"/>
                <w:sz w:val="6"/>
                <w:szCs w:val="6"/>
                <w:lang w:eastAsia="hr-HR"/>
              </w:rPr>
            </w:pPr>
          </w:p>
        </w:tc>
        <w:tc>
          <w:tcPr>
            <w:tcW w:w="1139" w:type="dxa"/>
            <w:tcBorders>
              <w:top w:val="double" w:sz="4" w:space="0" w:color="auto"/>
              <w:bottom w:val="single" w:sz="4" w:space="0" w:color="auto"/>
            </w:tcBorders>
            <w:shd w:val="clear" w:color="auto" w:fill="auto"/>
            <w:noWrap/>
            <w:vAlign w:val="center"/>
          </w:tcPr>
          <w:p w14:paraId="76744924" w14:textId="77777777" w:rsidR="007223CC" w:rsidRPr="006414E6" w:rsidRDefault="007223CC" w:rsidP="007223CC">
            <w:pPr>
              <w:spacing w:line="240" w:lineRule="auto"/>
              <w:jc w:val="center"/>
              <w:rPr>
                <w:rFonts w:cs="Times New Roman"/>
                <w:sz w:val="6"/>
                <w:szCs w:val="6"/>
                <w:lang w:eastAsia="hr-HR"/>
              </w:rPr>
            </w:pPr>
          </w:p>
        </w:tc>
        <w:tc>
          <w:tcPr>
            <w:tcW w:w="639" w:type="dxa"/>
            <w:tcBorders>
              <w:top w:val="double" w:sz="4" w:space="0" w:color="auto"/>
              <w:bottom w:val="single" w:sz="4" w:space="0" w:color="auto"/>
            </w:tcBorders>
            <w:shd w:val="clear" w:color="auto" w:fill="auto"/>
            <w:vAlign w:val="center"/>
          </w:tcPr>
          <w:p w14:paraId="6626EDBA" w14:textId="77777777" w:rsidR="007223CC" w:rsidRPr="006414E6" w:rsidRDefault="007223CC" w:rsidP="007223CC">
            <w:pPr>
              <w:spacing w:line="240" w:lineRule="auto"/>
              <w:jc w:val="center"/>
              <w:rPr>
                <w:rFonts w:cs="Times New Roman"/>
                <w:sz w:val="6"/>
                <w:szCs w:val="6"/>
                <w:lang w:eastAsia="hr-HR"/>
              </w:rPr>
            </w:pPr>
          </w:p>
        </w:tc>
        <w:tc>
          <w:tcPr>
            <w:tcW w:w="1396" w:type="dxa"/>
            <w:tcBorders>
              <w:top w:val="double" w:sz="4" w:space="0" w:color="auto"/>
              <w:bottom w:val="single" w:sz="4" w:space="0" w:color="auto"/>
            </w:tcBorders>
            <w:shd w:val="clear" w:color="auto" w:fill="auto"/>
            <w:noWrap/>
            <w:vAlign w:val="center"/>
          </w:tcPr>
          <w:p w14:paraId="7E7AD7F3" w14:textId="77777777" w:rsidR="007223CC" w:rsidRPr="006414E6" w:rsidRDefault="007223CC" w:rsidP="007223CC">
            <w:pPr>
              <w:spacing w:line="240" w:lineRule="auto"/>
              <w:jc w:val="center"/>
              <w:rPr>
                <w:rFonts w:cs="Times New Roman"/>
                <w:b/>
                <w:sz w:val="6"/>
                <w:szCs w:val="6"/>
                <w:lang w:eastAsia="hr-HR"/>
              </w:rPr>
            </w:pPr>
          </w:p>
        </w:tc>
        <w:tc>
          <w:tcPr>
            <w:tcW w:w="639" w:type="dxa"/>
            <w:tcBorders>
              <w:top w:val="double" w:sz="4" w:space="0" w:color="auto"/>
              <w:bottom w:val="single" w:sz="4" w:space="0" w:color="auto"/>
            </w:tcBorders>
            <w:shd w:val="clear" w:color="auto" w:fill="auto"/>
            <w:vAlign w:val="center"/>
          </w:tcPr>
          <w:p w14:paraId="49BB8E3F" w14:textId="77777777" w:rsidR="007223CC" w:rsidRPr="006414E6" w:rsidRDefault="007223CC" w:rsidP="007223CC">
            <w:pPr>
              <w:spacing w:line="240" w:lineRule="auto"/>
              <w:jc w:val="center"/>
              <w:rPr>
                <w:rFonts w:cs="Times New Roman"/>
                <w:sz w:val="6"/>
                <w:szCs w:val="6"/>
                <w:lang w:eastAsia="hr-HR"/>
              </w:rPr>
            </w:pPr>
          </w:p>
        </w:tc>
        <w:tc>
          <w:tcPr>
            <w:tcW w:w="1418" w:type="dxa"/>
            <w:tcBorders>
              <w:top w:val="double" w:sz="4" w:space="0" w:color="auto"/>
              <w:bottom w:val="single" w:sz="4" w:space="0" w:color="auto"/>
            </w:tcBorders>
            <w:shd w:val="clear" w:color="auto" w:fill="auto"/>
            <w:noWrap/>
            <w:vAlign w:val="center"/>
          </w:tcPr>
          <w:p w14:paraId="3B4CE23A" w14:textId="77777777" w:rsidR="007223CC" w:rsidRPr="006414E6" w:rsidRDefault="007223CC" w:rsidP="007223CC">
            <w:pPr>
              <w:spacing w:line="240" w:lineRule="auto"/>
              <w:jc w:val="center"/>
              <w:rPr>
                <w:rFonts w:cs="Times New Roman"/>
                <w:b/>
                <w:sz w:val="6"/>
                <w:szCs w:val="6"/>
                <w:lang w:eastAsia="hr-HR"/>
              </w:rPr>
            </w:pPr>
          </w:p>
        </w:tc>
        <w:tc>
          <w:tcPr>
            <w:tcW w:w="639" w:type="dxa"/>
            <w:tcBorders>
              <w:top w:val="double" w:sz="4" w:space="0" w:color="auto"/>
              <w:bottom w:val="single" w:sz="4" w:space="0" w:color="auto"/>
            </w:tcBorders>
            <w:shd w:val="clear" w:color="auto" w:fill="auto"/>
            <w:vAlign w:val="center"/>
          </w:tcPr>
          <w:p w14:paraId="0F8F8EA9" w14:textId="77777777" w:rsidR="007223CC" w:rsidRPr="006414E6" w:rsidRDefault="007223CC" w:rsidP="007223CC">
            <w:pPr>
              <w:spacing w:line="240" w:lineRule="auto"/>
              <w:jc w:val="center"/>
              <w:rPr>
                <w:rFonts w:cs="Times New Roman"/>
                <w:sz w:val="6"/>
                <w:szCs w:val="6"/>
                <w:lang w:eastAsia="hr-HR"/>
              </w:rPr>
            </w:pPr>
          </w:p>
        </w:tc>
        <w:tc>
          <w:tcPr>
            <w:tcW w:w="1523" w:type="dxa"/>
            <w:tcBorders>
              <w:top w:val="double" w:sz="4" w:space="0" w:color="auto"/>
              <w:left w:val="nil"/>
              <w:bottom w:val="single" w:sz="4" w:space="0" w:color="auto"/>
              <w:right w:val="single" w:sz="4" w:space="0" w:color="auto"/>
            </w:tcBorders>
            <w:shd w:val="clear" w:color="auto" w:fill="auto"/>
            <w:noWrap/>
            <w:vAlign w:val="center"/>
          </w:tcPr>
          <w:p w14:paraId="116096BB" w14:textId="77777777" w:rsidR="007223CC" w:rsidRPr="006414E6" w:rsidRDefault="007223CC" w:rsidP="007223CC">
            <w:pPr>
              <w:spacing w:line="240" w:lineRule="auto"/>
              <w:jc w:val="center"/>
              <w:rPr>
                <w:rFonts w:cs="Times New Roman"/>
                <w:b/>
                <w:sz w:val="6"/>
                <w:szCs w:val="6"/>
                <w:lang w:eastAsia="hr-HR"/>
              </w:rPr>
            </w:pPr>
          </w:p>
        </w:tc>
      </w:tr>
      <w:tr w:rsidR="007223CC" w:rsidRPr="006414E6" w14:paraId="32C09002" w14:textId="77777777" w:rsidTr="007223CC">
        <w:trPr>
          <w:trHeight w:val="308"/>
        </w:trPr>
        <w:tc>
          <w:tcPr>
            <w:tcW w:w="1716" w:type="dxa"/>
            <w:vMerge w:val="restart"/>
            <w:tcBorders>
              <w:top w:val="single" w:sz="4" w:space="0" w:color="auto"/>
              <w:left w:val="single" w:sz="4" w:space="0" w:color="auto"/>
              <w:right w:val="single" w:sz="4" w:space="0" w:color="auto"/>
            </w:tcBorders>
            <w:shd w:val="clear" w:color="000000" w:fill="F2F2F2"/>
            <w:noWrap/>
            <w:vAlign w:val="center"/>
            <w:hideMark/>
          </w:tcPr>
          <w:p w14:paraId="61536FED" w14:textId="77777777" w:rsidR="007223CC" w:rsidRPr="006414E6" w:rsidRDefault="007223CC" w:rsidP="008A3F29">
            <w:pPr>
              <w:jc w:val="left"/>
              <w:rPr>
                <w:rFonts w:cs="Times New Roman"/>
                <w:b/>
                <w:sz w:val="20"/>
                <w:lang w:eastAsia="hr-HR"/>
              </w:rPr>
            </w:pPr>
            <w:r w:rsidRPr="006414E6">
              <w:rPr>
                <w:rFonts w:cs="Times New Roman"/>
                <w:b/>
                <w:sz w:val="20"/>
                <w:lang w:eastAsia="hr-HR"/>
              </w:rPr>
              <w:t>Emisije u odnosu na baznu 2005. godinu (%)</w:t>
            </w:r>
          </w:p>
        </w:tc>
        <w:tc>
          <w:tcPr>
            <w:tcW w:w="1139" w:type="dxa"/>
            <w:tcBorders>
              <w:top w:val="single" w:sz="4" w:space="0" w:color="auto"/>
              <w:left w:val="nil"/>
              <w:bottom w:val="single" w:sz="4" w:space="0" w:color="auto"/>
              <w:right w:val="single" w:sz="4" w:space="0" w:color="auto"/>
            </w:tcBorders>
            <w:shd w:val="clear" w:color="000000" w:fill="F2F2F2"/>
            <w:noWrap/>
            <w:vAlign w:val="center"/>
            <w:hideMark/>
          </w:tcPr>
          <w:p w14:paraId="58F9D354" w14:textId="77777777" w:rsidR="007223CC" w:rsidRPr="006414E6" w:rsidRDefault="007223CC" w:rsidP="008A3F29">
            <w:pPr>
              <w:jc w:val="center"/>
              <w:rPr>
                <w:rFonts w:cs="Times New Roman"/>
                <w:b/>
                <w:sz w:val="20"/>
                <w:lang w:eastAsia="hr-HR"/>
              </w:rPr>
            </w:pPr>
            <w:r w:rsidRPr="006414E6">
              <w:rPr>
                <w:rFonts w:cs="Times New Roman"/>
                <w:b/>
                <w:sz w:val="20"/>
                <w:lang w:eastAsia="hr-HR"/>
              </w:rPr>
              <w:t>2016.</w:t>
            </w:r>
          </w:p>
        </w:tc>
        <w:tc>
          <w:tcPr>
            <w:tcW w:w="2035" w:type="dxa"/>
            <w:gridSpan w:val="2"/>
            <w:tcBorders>
              <w:top w:val="single" w:sz="4" w:space="0" w:color="auto"/>
              <w:left w:val="nil"/>
              <w:bottom w:val="single" w:sz="4" w:space="0" w:color="auto"/>
              <w:right w:val="single" w:sz="4" w:space="0" w:color="auto"/>
            </w:tcBorders>
            <w:shd w:val="clear" w:color="000000" w:fill="F2F2F2"/>
            <w:vAlign w:val="center"/>
          </w:tcPr>
          <w:p w14:paraId="032D1D81" w14:textId="77777777" w:rsidR="007223CC" w:rsidRPr="006414E6" w:rsidRDefault="007223CC" w:rsidP="008A3F29">
            <w:pPr>
              <w:jc w:val="center"/>
              <w:rPr>
                <w:rFonts w:cs="Times New Roman"/>
                <w:b/>
                <w:sz w:val="20"/>
                <w:lang w:eastAsia="hr-HR"/>
              </w:rPr>
            </w:pPr>
            <w:r w:rsidRPr="006414E6">
              <w:rPr>
                <w:rFonts w:cs="Times New Roman"/>
                <w:b/>
                <w:sz w:val="20"/>
                <w:lang w:eastAsia="hr-HR"/>
              </w:rPr>
              <w:t>2030.</w:t>
            </w:r>
          </w:p>
        </w:tc>
        <w:tc>
          <w:tcPr>
            <w:tcW w:w="2057"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74D1851F" w14:textId="77777777" w:rsidR="007223CC" w:rsidRPr="006414E6" w:rsidRDefault="007223CC" w:rsidP="008A3F29">
            <w:pPr>
              <w:jc w:val="center"/>
              <w:rPr>
                <w:rFonts w:cs="Times New Roman"/>
                <w:b/>
                <w:sz w:val="20"/>
                <w:lang w:eastAsia="hr-HR"/>
              </w:rPr>
            </w:pPr>
            <w:r w:rsidRPr="006414E6">
              <w:rPr>
                <w:rFonts w:cs="Times New Roman"/>
                <w:b/>
                <w:sz w:val="20"/>
                <w:lang w:eastAsia="hr-HR"/>
              </w:rPr>
              <w:t>2040.</w:t>
            </w:r>
          </w:p>
        </w:tc>
        <w:tc>
          <w:tcPr>
            <w:tcW w:w="2162"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24ECFD5D" w14:textId="77777777" w:rsidR="007223CC" w:rsidRPr="006414E6" w:rsidRDefault="007223CC" w:rsidP="008A3F29">
            <w:pPr>
              <w:jc w:val="center"/>
              <w:rPr>
                <w:rFonts w:cs="Times New Roman"/>
                <w:b/>
                <w:sz w:val="20"/>
                <w:lang w:eastAsia="hr-HR"/>
              </w:rPr>
            </w:pPr>
            <w:r w:rsidRPr="006414E6">
              <w:rPr>
                <w:rFonts w:cs="Times New Roman"/>
                <w:b/>
                <w:sz w:val="20"/>
                <w:lang w:eastAsia="hr-HR"/>
              </w:rPr>
              <w:t>2050.</w:t>
            </w:r>
          </w:p>
        </w:tc>
      </w:tr>
      <w:tr w:rsidR="007223CC" w:rsidRPr="006414E6" w14:paraId="6E79893C" w14:textId="77777777" w:rsidTr="00321394">
        <w:trPr>
          <w:trHeight w:val="308"/>
        </w:trPr>
        <w:tc>
          <w:tcPr>
            <w:tcW w:w="1716" w:type="dxa"/>
            <w:vMerge/>
            <w:tcBorders>
              <w:left w:val="single" w:sz="4" w:space="0" w:color="auto"/>
              <w:bottom w:val="single" w:sz="4" w:space="0" w:color="auto"/>
              <w:right w:val="single" w:sz="4" w:space="0" w:color="auto"/>
            </w:tcBorders>
            <w:shd w:val="clear" w:color="000000" w:fill="F2F2F2"/>
            <w:noWrap/>
            <w:vAlign w:val="center"/>
          </w:tcPr>
          <w:p w14:paraId="2061718C" w14:textId="77777777" w:rsidR="007223CC" w:rsidRPr="006414E6" w:rsidRDefault="007223CC" w:rsidP="008A3F29">
            <w:pPr>
              <w:jc w:val="left"/>
              <w:rPr>
                <w:rFonts w:cs="Times New Roman"/>
                <w:sz w:val="20"/>
                <w:lang w:eastAsia="hr-HR"/>
              </w:rPr>
            </w:pPr>
          </w:p>
        </w:tc>
        <w:tc>
          <w:tcPr>
            <w:tcW w:w="1139" w:type="dxa"/>
            <w:tcBorders>
              <w:top w:val="nil"/>
              <w:left w:val="nil"/>
              <w:bottom w:val="single" w:sz="4" w:space="0" w:color="auto"/>
              <w:right w:val="single" w:sz="4" w:space="0" w:color="auto"/>
            </w:tcBorders>
            <w:shd w:val="clear" w:color="auto" w:fill="F2F2F2" w:themeFill="background1" w:themeFillShade="F2"/>
            <w:noWrap/>
            <w:vAlign w:val="center"/>
          </w:tcPr>
          <w:p w14:paraId="554DD303" w14:textId="77777777" w:rsidR="007223CC" w:rsidRPr="006414E6" w:rsidRDefault="007223CC" w:rsidP="008A3F29">
            <w:pPr>
              <w:jc w:val="center"/>
              <w:rPr>
                <w:rFonts w:cs="Times New Roman"/>
                <w:sz w:val="20"/>
                <w:lang w:eastAsia="hr-HR"/>
              </w:rPr>
            </w:pPr>
            <w:r w:rsidRPr="006414E6">
              <w:rPr>
                <w:rFonts w:cs="Times New Roman"/>
                <w:sz w:val="20"/>
                <w:lang w:eastAsia="hr-HR"/>
              </w:rPr>
              <w:t>Ostvareno</w:t>
            </w:r>
          </w:p>
        </w:tc>
        <w:tc>
          <w:tcPr>
            <w:tcW w:w="63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5A4FB0D" w14:textId="77777777" w:rsidR="007223CC" w:rsidRPr="006414E6" w:rsidRDefault="007223CC" w:rsidP="008A3F29">
            <w:pPr>
              <w:jc w:val="center"/>
              <w:rPr>
                <w:rFonts w:cs="Times New Roman"/>
                <w:sz w:val="20"/>
                <w:lang w:eastAsia="hr-HR"/>
              </w:rPr>
            </w:pPr>
            <w:r w:rsidRPr="006414E6">
              <w:rPr>
                <w:rFonts w:cs="Times New Roman"/>
                <w:sz w:val="20"/>
                <w:lang w:eastAsia="hr-HR"/>
              </w:rPr>
              <w:t>NUR</w:t>
            </w:r>
          </w:p>
        </w:tc>
        <w:tc>
          <w:tcPr>
            <w:tcW w:w="1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3FD6D9" w14:textId="77777777" w:rsidR="007223CC" w:rsidRPr="006414E6" w:rsidRDefault="007223CC" w:rsidP="008A3F29">
            <w:pPr>
              <w:jc w:val="center"/>
              <w:rPr>
                <w:rFonts w:cs="Times New Roman"/>
                <w:b/>
                <w:sz w:val="20"/>
                <w:lang w:eastAsia="hr-HR"/>
              </w:rPr>
            </w:pPr>
            <w:r w:rsidRPr="006414E6">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22145B" w14:textId="77777777" w:rsidR="007223CC" w:rsidRPr="006414E6" w:rsidRDefault="007223CC" w:rsidP="008A3F29">
            <w:pPr>
              <w:jc w:val="center"/>
              <w:rPr>
                <w:rFonts w:cs="Times New Roman"/>
                <w:sz w:val="20"/>
                <w:lang w:eastAsia="hr-HR"/>
              </w:rPr>
            </w:pPr>
            <w:r w:rsidRPr="006414E6">
              <w:rPr>
                <w:rFonts w:cs="Times New Roman"/>
                <w:sz w:val="20"/>
                <w:lang w:eastAsia="hr-HR"/>
              </w:rPr>
              <w:t>NUR</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F73B283" w14:textId="77777777" w:rsidR="007223CC" w:rsidRPr="006414E6" w:rsidRDefault="007223CC" w:rsidP="008A3F29">
            <w:pPr>
              <w:jc w:val="center"/>
              <w:rPr>
                <w:rFonts w:cs="Times New Roman"/>
                <w:b/>
                <w:sz w:val="20"/>
                <w:lang w:eastAsia="hr-HR"/>
              </w:rPr>
            </w:pPr>
            <w:r w:rsidRPr="006414E6">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94220E" w14:textId="77777777" w:rsidR="007223CC" w:rsidRPr="006414E6" w:rsidRDefault="007223CC" w:rsidP="008A3F29">
            <w:pPr>
              <w:jc w:val="center"/>
              <w:rPr>
                <w:rFonts w:cs="Times New Roman"/>
                <w:sz w:val="20"/>
                <w:lang w:eastAsia="hr-HR"/>
              </w:rPr>
            </w:pPr>
            <w:r w:rsidRPr="006414E6">
              <w:rPr>
                <w:rFonts w:cs="Times New Roman"/>
                <w:sz w:val="20"/>
                <w:lang w:eastAsia="hr-HR"/>
              </w:rPr>
              <w:t>NUR</w:t>
            </w:r>
          </w:p>
        </w:tc>
        <w:tc>
          <w:tcPr>
            <w:tcW w:w="15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1EB6473" w14:textId="77777777" w:rsidR="007223CC" w:rsidRPr="006414E6" w:rsidRDefault="007223CC" w:rsidP="008A3F29">
            <w:pPr>
              <w:jc w:val="center"/>
              <w:rPr>
                <w:rFonts w:cs="Times New Roman"/>
                <w:b/>
                <w:sz w:val="20"/>
                <w:lang w:eastAsia="hr-HR"/>
              </w:rPr>
            </w:pPr>
            <w:r w:rsidRPr="006414E6">
              <w:rPr>
                <w:rFonts w:cs="Times New Roman"/>
                <w:b/>
                <w:sz w:val="20"/>
                <w:lang w:eastAsia="hr-HR"/>
              </w:rPr>
              <w:t>NU1 do NU2</w:t>
            </w:r>
          </w:p>
        </w:tc>
      </w:tr>
      <w:tr w:rsidR="007223CC" w:rsidRPr="006414E6" w14:paraId="24265A3F" w14:textId="77777777" w:rsidTr="00321394">
        <w:trPr>
          <w:trHeight w:val="323"/>
        </w:trPr>
        <w:tc>
          <w:tcPr>
            <w:tcW w:w="171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92AD92" w14:textId="77777777" w:rsidR="007223CC" w:rsidRPr="006414E6" w:rsidRDefault="007223CC" w:rsidP="008A3F29">
            <w:pPr>
              <w:jc w:val="left"/>
              <w:rPr>
                <w:rFonts w:cs="Times New Roman"/>
                <w:b/>
                <w:sz w:val="20"/>
                <w:lang w:eastAsia="hr-HR"/>
              </w:rPr>
            </w:pPr>
            <w:r w:rsidRPr="006414E6">
              <w:rPr>
                <w:rFonts w:cs="Times New Roman"/>
                <w:b/>
                <w:sz w:val="20"/>
                <w:lang w:eastAsia="hr-HR"/>
              </w:rPr>
              <w:t>Izvan ETS-a</w:t>
            </w:r>
          </w:p>
        </w:tc>
        <w:tc>
          <w:tcPr>
            <w:tcW w:w="1139" w:type="dxa"/>
            <w:tcBorders>
              <w:top w:val="single" w:sz="4" w:space="0" w:color="auto"/>
              <w:left w:val="nil"/>
              <w:bottom w:val="single" w:sz="4" w:space="0" w:color="auto"/>
              <w:right w:val="single" w:sz="4" w:space="0" w:color="auto"/>
            </w:tcBorders>
            <w:shd w:val="clear" w:color="auto" w:fill="auto"/>
            <w:noWrap/>
            <w:vAlign w:val="center"/>
          </w:tcPr>
          <w:p w14:paraId="61198DBB" w14:textId="77777777" w:rsidR="007223CC" w:rsidRPr="006414E6" w:rsidRDefault="007223CC" w:rsidP="008A3F29">
            <w:pPr>
              <w:jc w:val="center"/>
              <w:rPr>
                <w:rFonts w:cs="Times New Roman"/>
                <w:sz w:val="20"/>
                <w:lang w:eastAsia="hr-HR"/>
              </w:rPr>
            </w:pPr>
            <w:r w:rsidRPr="006414E6">
              <w:rPr>
                <w:rFonts w:cs="Times New Roman"/>
                <w:sz w:val="20"/>
                <w:lang w:eastAsia="hr-HR"/>
              </w:rPr>
              <w:t>-8,0</w:t>
            </w:r>
          </w:p>
        </w:tc>
        <w:tc>
          <w:tcPr>
            <w:tcW w:w="639" w:type="dxa"/>
            <w:tcBorders>
              <w:top w:val="single" w:sz="4" w:space="0" w:color="auto"/>
              <w:left w:val="nil"/>
              <w:bottom w:val="single" w:sz="4" w:space="0" w:color="auto"/>
              <w:right w:val="single" w:sz="4" w:space="0" w:color="auto"/>
            </w:tcBorders>
            <w:shd w:val="clear" w:color="auto" w:fill="FFFFFF" w:themeFill="background1"/>
            <w:vAlign w:val="center"/>
          </w:tcPr>
          <w:p w14:paraId="2C5F3B04" w14:textId="77777777" w:rsidR="007223CC" w:rsidRPr="006414E6" w:rsidRDefault="007223CC" w:rsidP="00CA7C4E">
            <w:pPr>
              <w:jc w:val="center"/>
              <w:rPr>
                <w:rFonts w:cs="Times New Roman"/>
                <w:noProof/>
                <w:lang w:eastAsia="hr-HR"/>
              </w:rPr>
            </w:pPr>
            <w:r w:rsidRPr="006414E6">
              <w:rPr>
                <w:rFonts w:cs="Times New Roman"/>
                <w:sz w:val="20"/>
                <w:lang w:eastAsia="hr-HR"/>
              </w:rPr>
              <w:t>-1</w:t>
            </w:r>
            <w:r w:rsidR="00321394" w:rsidRPr="006414E6">
              <w:rPr>
                <w:rFonts w:cs="Times New Roman"/>
                <w:sz w:val="20"/>
                <w:lang w:eastAsia="hr-HR"/>
              </w:rPr>
              <w:t>2,</w:t>
            </w:r>
            <w:r w:rsidR="00CA7C4E" w:rsidRPr="006414E6">
              <w:rPr>
                <w:rFonts w:cs="Times New Roman"/>
                <w:sz w:val="20"/>
                <w:lang w:eastAsia="hr-HR"/>
              </w:rPr>
              <w:t>7</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67DA80" w14:textId="77777777" w:rsidR="007223CC" w:rsidRPr="006414E6" w:rsidRDefault="007223CC" w:rsidP="00A51858">
            <w:pPr>
              <w:jc w:val="center"/>
              <w:rPr>
                <w:rFonts w:cs="Times New Roman"/>
                <w:b/>
                <w:noProof/>
                <w:lang w:eastAsia="hr-HR"/>
              </w:rPr>
            </w:pPr>
            <w:r w:rsidRPr="006414E6">
              <w:rPr>
                <w:rFonts w:cs="Times New Roman"/>
                <w:b/>
                <w:sz w:val="20"/>
                <w:lang w:eastAsia="hr-HR"/>
              </w:rPr>
              <w:t>-</w:t>
            </w:r>
            <w:r w:rsidR="00321394" w:rsidRPr="006414E6">
              <w:rPr>
                <w:rFonts w:cs="Times New Roman"/>
                <w:b/>
                <w:sz w:val="20"/>
                <w:lang w:eastAsia="hr-HR"/>
              </w:rPr>
              <w:t>18,</w:t>
            </w:r>
            <w:r w:rsidR="00A51858" w:rsidRPr="006414E6">
              <w:rPr>
                <w:rFonts w:cs="Times New Roman"/>
                <w:b/>
                <w:sz w:val="20"/>
                <w:lang w:eastAsia="hr-HR"/>
              </w:rPr>
              <w:t>5</w:t>
            </w:r>
            <w:r w:rsidRPr="006414E6">
              <w:rPr>
                <w:rFonts w:cs="Times New Roman"/>
                <w:b/>
                <w:sz w:val="20"/>
                <w:lang w:eastAsia="hr-HR"/>
              </w:rPr>
              <w:t xml:space="preserve"> do -2</w:t>
            </w:r>
            <w:r w:rsidR="00A51858" w:rsidRPr="006414E6">
              <w:rPr>
                <w:rFonts w:cs="Times New Roman"/>
                <w:b/>
                <w:sz w:val="20"/>
                <w:lang w:eastAsia="hr-HR"/>
              </w:rPr>
              <w:t>1,7</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6365F" w14:textId="77777777" w:rsidR="007223CC" w:rsidRPr="006414E6" w:rsidRDefault="007223CC" w:rsidP="00A51858">
            <w:pPr>
              <w:jc w:val="center"/>
              <w:rPr>
                <w:rFonts w:cs="Times New Roman"/>
                <w:noProof/>
                <w:lang w:eastAsia="hr-HR"/>
              </w:rPr>
            </w:pPr>
            <w:r w:rsidRPr="006414E6">
              <w:rPr>
                <w:rFonts w:cs="Times New Roman"/>
                <w:sz w:val="20"/>
                <w:lang w:eastAsia="hr-HR"/>
              </w:rPr>
              <w:t>-2</w:t>
            </w:r>
            <w:r w:rsidR="00A51858" w:rsidRPr="006414E6">
              <w:rPr>
                <w:rFonts w:cs="Times New Roman"/>
                <w:sz w:val="20"/>
                <w:lang w:eastAsia="hr-HR"/>
              </w:rPr>
              <w:t>4,4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D09422" w14:textId="77777777" w:rsidR="007223CC" w:rsidRPr="006414E6" w:rsidRDefault="007223CC" w:rsidP="00A51858">
            <w:pPr>
              <w:jc w:val="center"/>
              <w:rPr>
                <w:rFonts w:cs="Times New Roman"/>
                <w:b/>
                <w:noProof/>
                <w:lang w:eastAsia="hr-HR"/>
              </w:rPr>
            </w:pPr>
            <w:r w:rsidRPr="006414E6">
              <w:rPr>
                <w:rFonts w:cs="Times New Roman"/>
                <w:b/>
                <w:sz w:val="20"/>
                <w:lang w:eastAsia="hr-HR"/>
              </w:rPr>
              <w:t>-3</w:t>
            </w:r>
            <w:r w:rsidR="00A51858" w:rsidRPr="006414E6">
              <w:rPr>
                <w:rFonts w:cs="Times New Roman"/>
                <w:b/>
                <w:sz w:val="20"/>
                <w:lang w:eastAsia="hr-HR"/>
              </w:rPr>
              <w:t>2,3</w:t>
            </w:r>
            <w:r w:rsidRPr="006414E6">
              <w:rPr>
                <w:rFonts w:cs="Times New Roman"/>
                <w:b/>
                <w:sz w:val="20"/>
                <w:lang w:eastAsia="hr-HR"/>
              </w:rPr>
              <w:t xml:space="preserve"> do -</w:t>
            </w:r>
            <w:r w:rsidR="00A51858" w:rsidRPr="006414E6">
              <w:rPr>
                <w:rFonts w:cs="Times New Roman"/>
                <w:b/>
                <w:sz w:val="20"/>
                <w:lang w:eastAsia="hr-HR"/>
              </w:rPr>
              <w:t>37,8</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FA9F9" w14:textId="77777777" w:rsidR="007223CC" w:rsidRPr="006414E6" w:rsidRDefault="007223CC" w:rsidP="00A51858">
            <w:pPr>
              <w:jc w:val="center"/>
              <w:rPr>
                <w:rFonts w:cs="Times New Roman"/>
                <w:noProof/>
                <w:lang w:eastAsia="hr-HR"/>
              </w:rPr>
            </w:pPr>
            <w:r w:rsidRPr="006414E6">
              <w:rPr>
                <w:rFonts w:cs="Times New Roman"/>
                <w:sz w:val="20"/>
                <w:lang w:eastAsia="hr-HR"/>
              </w:rPr>
              <w:t>-</w:t>
            </w:r>
            <w:r w:rsidR="00321394" w:rsidRPr="006414E6">
              <w:rPr>
                <w:rFonts w:cs="Times New Roman"/>
                <w:sz w:val="20"/>
                <w:lang w:eastAsia="hr-HR"/>
              </w:rPr>
              <w:t>3</w:t>
            </w:r>
            <w:r w:rsidR="00A51858" w:rsidRPr="006414E6">
              <w:rPr>
                <w:rFonts w:cs="Times New Roman"/>
                <w:sz w:val="20"/>
                <w:lang w:eastAsia="hr-HR"/>
              </w:rPr>
              <w:t>6,5</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B8BC8E" w14:textId="77777777" w:rsidR="007223CC" w:rsidRPr="006414E6" w:rsidRDefault="007223CC" w:rsidP="00A51858">
            <w:pPr>
              <w:jc w:val="center"/>
              <w:rPr>
                <w:rFonts w:cs="Times New Roman"/>
                <w:b/>
                <w:noProof/>
                <w:lang w:eastAsia="hr-HR"/>
              </w:rPr>
            </w:pPr>
            <w:r w:rsidRPr="006414E6">
              <w:rPr>
                <w:rFonts w:cs="Times New Roman"/>
                <w:b/>
                <w:sz w:val="20"/>
                <w:lang w:eastAsia="hr-HR"/>
              </w:rPr>
              <w:t>-5</w:t>
            </w:r>
            <w:r w:rsidR="00321394" w:rsidRPr="006414E6">
              <w:rPr>
                <w:rFonts w:cs="Times New Roman"/>
                <w:b/>
                <w:sz w:val="20"/>
                <w:lang w:eastAsia="hr-HR"/>
              </w:rPr>
              <w:t>0,</w:t>
            </w:r>
            <w:r w:rsidR="00A51858" w:rsidRPr="006414E6">
              <w:rPr>
                <w:rFonts w:cs="Times New Roman"/>
                <w:b/>
                <w:sz w:val="20"/>
                <w:lang w:eastAsia="hr-HR"/>
              </w:rPr>
              <w:t>6</w:t>
            </w:r>
            <w:r w:rsidRPr="006414E6">
              <w:rPr>
                <w:rFonts w:cs="Times New Roman"/>
                <w:b/>
                <w:sz w:val="20"/>
                <w:lang w:eastAsia="hr-HR"/>
              </w:rPr>
              <w:t xml:space="preserve"> do -6</w:t>
            </w:r>
            <w:r w:rsidR="00321394" w:rsidRPr="006414E6">
              <w:rPr>
                <w:rFonts w:cs="Times New Roman"/>
                <w:b/>
                <w:sz w:val="20"/>
                <w:lang w:eastAsia="hr-HR"/>
              </w:rPr>
              <w:t>4</w:t>
            </w:r>
            <w:r w:rsidR="00A51858" w:rsidRPr="006414E6">
              <w:rPr>
                <w:rFonts w:cs="Times New Roman"/>
                <w:b/>
                <w:sz w:val="20"/>
                <w:lang w:eastAsia="hr-HR"/>
              </w:rPr>
              <w:t>,0</w:t>
            </w:r>
          </w:p>
        </w:tc>
      </w:tr>
    </w:tbl>
    <w:p w14:paraId="6E60E160" w14:textId="77777777" w:rsidR="00C0375E" w:rsidRPr="006414E6" w:rsidRDefault="00C0375E" w:rsidP="00A02903">
      <w:pPr>
        <w:rPr>
          <w:rFonts w:cs="Times New Roman"/>
        </w:rPr>
      </w:pPr>
      <w:bookmarkStart w:id="169" w:name="_Toc484158411"/>
    </w:p>
    <w:p w14:paraId="15B30C73" w14:textId="77777777" w:rsidR="00A02903" w:rsidRPr="006414E6" w:rsidRDefault="00A02903" w:rsidP="00CB2D8B">
      <w:pPr>
        <w:jc w:val="center"/>
        <w:rPr>
          <w:rFonts w:cs="Times New Roman"/>
        </w:rPr>
      </w:pPr>
    </w:p>
    <w:p w14:paraId="10F152E6" w14:textId="77777777" w:rsidR="008A3723" w:rsidRPr="00CD37AA" w:rsidRDefault="00ED53DB" w:rsidP="00CD37AA">
      <w:pPr>
        <w:pStyle w:val="Tablicanaslov"/>
        <w:spacing w:after="120"/>
        <w:rPr>
          <w:rFonts w:cs="Times New Roman"/>
          <w:i/>
          <w:sz w:val="24"/>
          <w:szCs w:val="24"/>
        </w:rPr>
      </w:pPr>
      <w:bookmarkStart w:id="170" w:name="_Toc33417112"/>
      <w:r w:rsidRPr="006414E6">
        <w:rPr>
          <w:rFonts w:cs="Times New Roman"/>
          <w:i/>
          <w:sz w:val="24"/>
          <w:szCs w:val="24"/>
        </w:rPr>
        <w:t xml:space="preserve">Tablica 3-3: Pokazatelji obnovljivih izvora energije i energetske učinkovitosti u </w:t>
      </w:r>
      <w:proofErr w:type="spellStart"/>
      <w:r w:rsidRPr="006414E6">
        <w:rPr>
          <w:rFonts w:cs="Times New Roman"/>
          <w:i/>
          <w:sz w:val="24"/>
          <w:szCs w:val="24"/>
        </w:rPr>
        <w:t>niskougljičnim</w:t>
      </w:r>
      <w:proofErr w:type="spellEnd"/>
      <w:r w:rsidRPr="006414E6">
        <w:rPr>
          <w:rFonts w:cs="Times New Roman"/>
          <w:i/>
          <w:sz w:val="24"/>
          <w:szCs w:val="24"/>
        </w:rPr>
        <w:t xml:space="preserve"> scenarijima</w:t>
      </w:r>
      <w:bookmarkEnd w:id="170"/>
      <w:r w:rsidRPr="006414E6">
        <w:rPr>
          <w:rFonts w:cs="Times New Roman"/>
          <w:i/>
          <w:sz w:val="24"/>
          <w:szCs w:val="24"/>
        </w:rPr>
        <w:t xml:space="preserve"> </w:t>
      </w:r>
      <w:bookmarkEnd w:id="169"/>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060"/>
        <w:gridCol w:w="2109"/>
        <w:gridCol w:w="2110"/>
        <w:gridCol w:w="2112"/>
      </w:tblGrid>
      <w:tr w:rsidR="009934AB" w:rsidRPr="006414E6" w14:paraId="4F91C159" w14:textId="77777777" w:rsidTr="009934AB">
        <w:trPr>
          <w:trHeight w:val="308"/>
        </w:trPr>
        <w:tc>
          <w:tcPr>
            <w:tcW w:w="1672" w:type="dxa"/>
            <w:vMerge w:val="restart"/>
            <w:shd w:val="clear" w:color="000000" w:fill="F2F2F2"/>
            <w:noWrap/>
            <w:vAlign w:val="center"/>
            <w:hideMark/>
          </w:tcPr>
          <w:p w14:paraId="15060119" w14:textId="77777777" w:rsidR="008A3723" w:rsidRPr="006414E6" w:rsidRDefault="008A3723" w:rsidP="00CD37AA">
            <w:pPr>
              <w:jc w:val="left"/>
              <w:rPr>
                <w:rFonts w:cs="Times New Roman"/>
                <w:b/>
                <w:sz w:val="20"/>
                <w:lang w:eastAsia="hr-HR"/>
              </w:rPr>
            </w:pPr>
            <w:r w:rsidRPr="006414E6">
              <w:rPr>
                <w:rFonts w:cs="Times New Roman"/>
                <w:b/>
                <w:sz w:val="20"/>
                <w:lang w:eastAsia="hr-HR"/>
              </w:rPr>
              <w:t> Obnovljivi izvori energije i energetska učinkovitost</w:t>
            </w:r>
          </w:p>
        </w:tc>
        <w:tc>
          <w:tcPr>
            <w:tcW w:w="1038" w:type="dxa"/>
            <w:shd w:val="clear" w:color="000000" w:fill="F2F2F2"/>
            <w:noWrap/>
            <w:vAlign w:val="center"/>
            <w:hideMark/>
          </w:tcPr>
          <w:p w14:paraId="2264D0C2" w14:textId="77777777" w:rsidR="008A3723" w:rsidRPr="006414E6" w:rsidRDefault="008A3723" w:rsidP="00161F6C">
            <w:pPr>
              <w:keepNext/>
              <w:jc w:val="center"/>
              <w:rPr>
                <w:rFonts w:cs="Times New Roman"/>
                <w:b/>
                <w:sz w:val="20"/>
                <w:lang w:eastAsia="hr-HR"/>
              </w:rPr>
            </w:pPr>
            <w:r w:rsidRPr="006414E6">
              <w:rPr>
                <w:rFonts w:cs="Times New Roman"/>
                <w:b/>
                <w:sz w:val="20"/>
                <w:lang w:eastAsia="hr-HR"/>
              </w:rPr>
              <w:t>201</w:t>
            </w:r>
            <w:r w:rsidR="00EF01FA" w:rsidRPr="006414E6">
              <w:rPr>
                <w:rFonts w:cs="Times New Roman"/>
                <w:b/>
                <w:sz w:val="20"/>
                <w:lang w:eastAsia="hr-HR"/>
              </w:rPr>
              <w:t>6</w:t>
            </w:r>
            <w:r w:rsidRPr="006414E6">
              <w:rPr>
                <w:rFonts w:cs="Times New Roman"/>
                <w:b/>
                <w:sz w:val="20"/>
                <w:lang w:eastAsia="hr-HR"/>
              </w:rPr>
              <w:t>.</w:t>
            </w:r>
          </w:p>
        </w:tc>
        <w:tc>
          <w:tcPr>
            <w:tcW w:w="2117" w:type="dxa"/>
            <w:shd w:val="clear" w:color="000000" w:fill="F2F2F2"/>
            <w:vAlign w:val="center"/>
          </w:tcPr>
          <w:p w14:paraId="10A9708E" w14:textId="77777777" w:rsidR="008A3723" w:rsidRPr="006414E6" w:rsidRDefault="008A3723" w:rsidP="00161F6C">
            <w:pPr>
              <w:keepNext/>
              <w:jc w:val="center"/>
              <w:rPr>
                <w:rFonts w:cs="Times New Roman"/>
                <w:b/>
                <w:sz w:val="20"/>
                <w:lang w:eastAsia="hr-HR"/>
              </w:rPr>
            </w:pPr>
            <w:r w:rsidRPr="006414E6">
              <w:rPr>
                <w:rFonts w:cs="Times New Roman"/>
                <w:b/>
                <w:sz w:val="20"/>
                <w:lang w:eastAsia="hr-HR"/>
              </w:rPr>
              <w:t>20</w:t>
            </w:r>
            <w:r w:rsidR="00ED53DB" w:rsidRPr="006414E6">
              <w:rPr>
                <w:rFonts w:cs="Times New Roman"/>
                <w:b/>
                <w:sz w:val="20"/>
                <w:lang w:eastAsia="hr-HR"/>
              </w:rPr>
              <w:t>3</w:t>
            </w:r>
            <w:r w:rsidRPr="006414E6">
              <w:rPr>
                <w:rFonts w:cs="Times New Roman"/>
                <w:b/>
                <w:sz w:val="20"/>
                <w:lang w:eastAsia="hr-HR"/>
              </w:rPr>
              <w:t>0.</w:t>
            </w:r>
          </w:p>
        </w:tc>
        <w:tc>
          <w:tcPr>
            <w:tcW w:w="2117" w:type="dxa"/>
            <w:shd w:val="clear" w:color="000000" w:fill="F2F2F2"/>
            <w:vAlign w:val="center"/>
          </w:tcPr>
          <w:p w14:paraId="4F4FB567" w14:textId="77777777" w:rsidR="008A3723" w:rsidRPr="006414E6" w:rsidRDefault="00ED53DB" w:rsidP="00161F6C">
            <w:pPr>
              <w:keepNext/>
              <w:jc w:val="center"/>
              <w:rPr>
                <w:rFonts w:cs="Times New Roman"/>
                <w:b/>
                <w:sz w:val="20"/>
                <w:lang w:eastAsia="hr-HR"/>
              </w:rPr>
            </w:pPr>
            <w:r w:rsidRPr="006414E6">
              <w:rPr>
                <w:rFonts w:cs="Times New Roman"/>
                <w:b/>
                <w:sz w:val="20"/>
                <w:lang w:eastAsia="hr-HR"/>
              </w:rPr>
              <w:t>204</w:t>
            </w:r>
            <w:r w:rsidR="008A3723" w:rsidRPr="006414E6">
              <w:rPr>
                <w:rFonts w:cs="Times New Roman"/>
                <w:b/>
                <w:sz w:val="20"/>
                <w:lang w:eastAsia="hr-HR"/>
              </w:rPr>
              <w:t>0.</w:t>
            </w:r>
          </w:p>
        </w:tc>
        <w:tc>
          <w:tcPr>
            <w:tcW w:w="2119" w:type="dxa"/>
            <w:shd w:val="clear" w:color="000000" w:fill="F2F2F2"/>
            <w:vAlign w:val="center"/>
          </w:tcPr>
          <w:p w14:paraId="3FEF04A3" w14:textId="77777777" w:rsidR="008A3723" w:rsidRPr="006414E6" w:rsidRDefault="008A3723" w:rsidP="00161F6C">
            <w:pPr>
              <w:keepNext/>
              <w:jc w:val="center"/>
              <w:rPr>
                <w:rFonts w:cs="Times New Roman"/>
                <w:b/>
                <w:sz w:val="20"/>
                <w:lang w:eastAsia="hr-HR"/>
              </w:rPr>
            </w:pPr>
            <w:r w:rsidRPr="006414E6">
              <w:rPr>
                <w:rFonts w:cs="Times New Roman"/>
                <w:b/>
                <w:sz w:val="20"/>
                <w:lang w:eastAsia="hr-HR"/>
              </w:rPr>
              <w:t>2050.</w:t>
            </w:r>
          </w:p>
        </w:tc>
      </w:tr>
      <w:tr w:rsidR="00951C98" w:rsidRPr="006414E6" w14:paraId="121EB997" w14:textId="77777777" w:rsidTr="008221C9">
        <w:trPr>
          <w:trHeight w:val="308"/>
        </w:trPr>
        <w:tc>
          <w:tcPr>
            <w:tcW w:w="1672" w:type="dxa"/>
            <w:vMerge/>
            <w:shd w:val="clear" w:color="000000" w:fill="F2F2F2"/>
            <w:noWrap/>
            <w:vAlign w:val="center"/>
          </w:tcPr>
          <w:p w14:paraId="25B34EE5" w14:textId="77777777" w:rsidR="00951C98" w:rsidRPr="006414E6" w:rsidRDefault="00951C98" w:rsidP="00ED53DB">
            <w:pPr>
              <w:keepNext/>
              <w:jc w:val="left"/>
              <w:rPr>
                <w:rFonts w:cs="Times New Roman"/>
                <w:sz w:val="20"/>
                <w:lang w:eastAsia="hr-HR"/>
              </w:rPr>
            </w:pPr>
          </w:p>
        </w:tc>
        <w:tc>
          <w:tcPr>
            <w:tcW w:w="1038" w:type="dxa"/>
            <w:shd w:val="clear" w:color="auto" w:fill="F2F2F2" w:themeFill="background1" w:themeFillShade="F2"/>
            <w:noWrap/>
            <w:vAlign w:val="center"/>
          </w:tcPr>
          <w:p w14:paraId="6AE67FAE" w14:textId="77777777" w:rsidR="00951C98" w:rsidRPr="006414E6" w:rsidRDefault="00951C98" w:rsidP="00ED53DB">
            <w:pPr>
              <w:keepNext/>
              <w:jc w:val="center"/>
              <w:rPr>
                <w:rFonts w:cs="Times New Roman"/>
                <w:sz w:val="20"/>
                <w:lang w:eastAsia="hr-HR"/>
              </w:rPr>
            </w:pPr>
            <w:r w:rsidRPr="006414E6">
              <w:rPr>
                <w:rFonts w:cs="Times New Roman"/>
                <w:sz w:val="20"/>
                <w:lang w:eastAsia="hr-HR"/>
              </w:rPr>
              <w:t>Ostvareno</w:t>
            </w:r>
          </w:p>
        </w:tc>
        <w:tc>
          <w:tcPr>
            <w:tcW w:w="2117" w:type="dxa"/>
            <w:shd w:val="clear" w:color="auto" w:fill="F2F2F2" w:themeFill="background1" w:themeFillShade="F2"/>
            <w:vAlign w:val="center"/>
          </w:tcPr>
          <w:p w14:paraId="27BD23E8"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NU1 do NU2</w:t>
            </w:r>
          </w:p>
        </w:tc>
        <w:tc>
          <w:tcPr>
            <w:tcW w:w="2117" w:type="dxa"/>
            <w:shd w:val="clear" w:color="auto" w:fill="F2F2F2" w:themeFill="background1" w:themeFillShade="F2"/>
            <w:vAlign w:val="center"/>
          </w:tcPr>
          <w:p w14:paraId="1E175220"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NU1 do NU2</w:t>
            </w:r>
          </w:p>
        </w:tc>
        <w:tc>
          <w:tcPr>
            <w:tcW w:w="2119" w:type="dxa"/>
            <w:shd w:val="clear" w:color="auto" w:fill="F2F2F2" w:themeFill="background1" w:themeFillShade="F2"/>
            <w:vAlign w:val="center"/>
          </w:tcPr>
          <w:p w14:paraId="7FB65D1A"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NU1 do NU2</w:t>
            </w:r>
          </w:p>
        </w:tc>
      </w:tr>
      <w:tr w:rsidR="00951C98" w:rsidRPr="006414E6" w14:paraId="5D32CFEA" w14:textId="77777777" w:rsidTr="008221C9">
        <w:trPr>
          <w:trHeight w:val="308"/>
        </w:trPr>
        <w:tc>
          <w:tcPr>
            <w:tcW w:w="1672" w:type="dxa"/>
            <w:shd w:val="clear" w:color="000000" w:fill="F2F2F2"/>
            <w:noWrap/>
            <w:vAlign w:val="center"/>
            <w:hideMark/>
          </w:tcPr>
          <w:p w14:paraId="3FC2952C" w14:textId="77777777" w:rsidR="00951C98" w:rsidRPr="006414E6" w:rsidRDefault="00951C98" w:rsidP="00CD37AA">
            <w:pPr>
              <w:jc w:val="left"/>
              <w:rPr>
                <w:rFonts w:cs="Times New Roman"/>
                <w:sz w:val="20"/>
                <w:lang w:eastAsia="hr-HR"/>
              </w:rPr>
            </w:pPr>
            <w:r w:rsidRPr="006414E6">
              <w:rPr>
                <w:rFonts w:cs="Times New Roman"/>
                <w:sz w:val="20"/>
                <w:lang w:eastAsia="hr-HR"/>
              </w:rPr>
              <w:t>Udio OIE u bruto neposrednoj potrošnji energije (%)</w:t>
            </w:r>
          </w:p>
        </w:tc>
        <w:tc>
          <w:tcPr>
            <w:tcW w:w="1038" w:type="dxa"/>
            <w:shd w:val="clear" w:color="auto" w:fill="auto"/>
            <w:noWrap/>
            <w:vAlign w:val="center"/>
          </w:tcPr>
          <w:p w14:paraId="26E17F1E" w14:textId="77777777" w:rsidR="00951C98" w:rsidRPr="006414E6" w:rsidRDefault="00951C98" w:rsidP="00ED53DB">
            <w:pPr>
              <w:keepNext/>
              <w:jc w:val="center"/>
              <w:rPr>
                <w:rFonts w:cs="Times New Roman"/>
                <w:sz w:val="20"/>
                <w:lang w:eastAsia="hr-HR"/>
              </w:rPr>
            </w:pPr>
            <w:r w:rsidRPr="006414E6">
              <w:rPr>
                <w:rFonts w:cs="Times New Roman"/>
                <w:sz w:val="20"/>
                <w:lang w:eastAsia="hr-HR"/>
              </w:rPr>
              <w:t>28,3</w:t>
            </w:r>
          </w:p>
        </w:tc>
        <w:tc>
          <w:tcPr>
            <w:tcW w:w="2117" w:type="dxa"/>
            <w:vAlign w:val="center"/>
          </w:tcPr>
          <w:p w14:paraId="33D67C57" w14:textId="77777777" w:rsidR="00951C98" w:rsidRPr="006414E6" w:rsidRDefault="00951C98" w:rsidP="00473DBF">
            <w:pPr>
              <w:keepNext/>
              <w:jc w:val="center"/>
              <w:rPr>
                <w:rFonts w:cs="Times New Roman"/>
                <w:b/>
                <w:sz w:val="20"/>
                <w:lang w:eastAsia="hr-HR"/>
              </w:rPr>
            </w:pPr>
            <w:r w:rsidRPr="006414E6">
              <w:rPr>
                <w:rFonts w:cs="Times New Roman"/>
                <w:b/>
                <w:sz w:val="20"/>
                <w:lang w:eastAsia="hr-HR"/>
              </w:rPr>
              <w:t>36,</w:t>
            </w:r>
            <w:r w:rsidR="00473DBF" w:rsidRPr="006414E6">
              <w:rPr>
                <w:rFonts w:cs="Times New Roman"/>
                <w:b/>
                <w:sz w:val="20"/>
                <w:lang w:eastAsia="hr-HR"/>
              </w:rPr>
              <w:t>4</w:t>
            </w:r>
          </w:p>
        </w:tc>
        <w:tc>
          <w:tcPr>
            <w:tcW w:w="2117" w:type="dxa"/>
            <w:vAlign w:val="center"/>
          </w:tcPr>
          <w:p w14:paraId="466CD24C"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44,1 do 45,8</w:t>
            </w:r>
          </w:p>
        </w:tc>
        <w:tc>
          <w:tcPr>
            <w:tcW w:w="2119" w:type="dxa"/>
            <w:vAlign w:val="center"/>
          </w:tcPr>
          <w:p w14:paraId="57CC8C64"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53,2 do 65,6</w:t>
            </w:r>
          </w:p>
        </w:tc>
      </w:tr>
      <w:tr w:rsidR="00951C98" w:rsidRPr="006414E6" w14:paraId="1223A50A" w14:textId="77777777" w:rsidTr="008221C9">
        <w:trPr>
          <w:trHeight w:val="308"/>
        </w:trPr>
        <w:tc>
          <w:tcPr>
            <w:tcW w:w="1672" w:type="dxa"/>
            <w:shd w:val="clear" w:color="000000" w:fill="F2F2F2"/>
            <w:noWrap/>
            <w:vAlign w:val="center"/>
            <w:hideMark/>
          </w:tcPr>
          <w:p w14:paraId="015F19F4" w14:textId="77777777" w:rsidR="00951C98" w:rsidRPr="006414E6" w:rsidRDefault="00951C98" w:rsidP="00B70D71">
            <w:pPr>
              <w:jc w:val="left"/>
              <w:rPr>
                <w:rFonts w:cs="Times New Roman"/>
                <w:sz w:val="20"/>
                <w:lang w:eastAsia="hr-HR"/>
              </w:rPr>
            </w:pPr>
            <w:r w:rsidRPr="006414E6">
              <w:rPr>
                <w:rFonts w:cs="Times New Roman"/>
                <w:sz w:val="20"/>
                <w:lang w:eastAsia="hr-HR"/>
              </w:rPr>
              <w:t>Neposredna potrošnja energije (PJ)</w:t>
            </w:r>
          </w:p>
        </w:tc>
        <w:tc>
          <w:tcPr>
            <w:tcW w:w="1038" w:type="dxa"/>
            <w:shd w:val="clear" w:color="auto" w:fill="auto"/>
            <w:noWrap/>
            <w:vAlign w:val="center"/>
          </w:tcPr>
          <w:p w14:paraId="3873663B" w14:textId="77777777" w:rsidR="00951C98" w:rsidRPr="006414E6" w:rsidRDefault="00951C98" w:rsidP="00ED53DB">
            <w:pPr>
              <w:keepNext/>
              <w:jc w:val="center"/>
              <w:rPr>
                <w:rFonts w:cs="Times New Roman"/>
                <w:sz w:val="20"/>
                <w:lang w:eastAsia="hr-HR"/>
              </w:rPr>
            </w:pPr>
            <w:r w:rsidRPr="006414E6">
              <w:rPr>
                <w:rFonts w:cs="Times New Roman"/>
                <w:sz w:val="20"/>
                <w:lang w:eastAsia="hr-HR"/>
              </w:rPr>
              <w:t>277,3</w:t>
            </w:r>
          </w:p>
        </w:tc>
        <w:tc>
          <w:tcPr>
            <w:tcW w:w="2117" w:type="dxa"/>
            <w:vAlign w:val="center"/>
          </w:tcPr>
          <w:p w14:paraId="3E25AEF1"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286,9 do 272,5</w:t>
            </w:r>
          </w:p>
        </w:tc>
        <w:tc>
          <w:tcPr>
            <w:tcW w:w="2117" w:type="dxa"/>
            <w:vAlign w:val="center"/>
          </w:tcPr>
          <w:p w14:paraId="46B519C2" w14:textId="77777777" w:rsidR="00951C98" w:rsidRPr="006414E6" w:rsidRDefault="00951C98" w:rsidP="00A23B53">
            <w:pPr>
              <w:keepNext/>
              <w:jc w:val="center"/>
              <w:rPr>
                <w:rFonts w:cs="Times New Roman"/>
                <w:b/>
                <w:sz w:val="20"/>
                <w:lang w:eastAsia="hr-HR"/>
              </w:rPr>
            </w:pPr>
            <w:r w:rsidRPr="006414E6">
              <w:rPr>
                <w:rFonts w:cs="Times New Roman"/>
                <w:b/>
                <w:sz w:val="20"/>
                <w:lang w:eastAsia="hr-HR"/>
              </w:rPr>
              <w:t>265,2 do 238,3</w:t>
            </w:r>
          </w:p>
        </w:tc>
        <w:tc>
          <w:tcPr>
            <w:tcW w:w="2119" w:type="dxa"/>
            <w:vAlign w:val="center"/>
          </w:tcPr>
          <w:p w14:paraId="2CAA08E3"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225,6 do 189,6</w:t>
            </w:r>
          </w:p>
        </w:tc>
      </w:tr>
      <w:tr w:rsidR="00951C98" w:rsidRPr="006414E6" w14:paraId="3C45D17D" w14:textId="77777777" w:rsidTr="008221C9">
        <w:trPr>
          <w:trHeight w:val="308"/>
        </w:trPr>
        <w:tc>
          <w:tcPr>
            <w:tcW w:w="1672" w:type="dxa"/>
            <w:shd w:val="clear" w:color="000000" w:fill="F2F2F2"/>
            <w:noWrap/>
            <w:vAlign w:val="center"/>
            <w:hideMark/>
          </w:tcPr>
          <w:p w14:paraId="7C7F296D" w14:textId="77777777" w:rsidR="00951C98" w:rsidRPr="006414E6" w:rsidRDefault="00951C98" w:rsidP="00B70D71">
            <w:pPr>
              <w:jc w:val="left"/>
              <w:rPr>
                <w:rFonts w:cs="Times New Roman"/>
                <w:sz w:val="20"/>
                <w:lang w:eastAsia="hr-HR"/>
              </w:rPr>
            </w:pPr>
            <w:r w:rsidRPr="006414E6">
              <w:rPr>
                <w:rFonts w:cs="Times New Roman"/>
                <w:sz w:val="20"/>
                <w:lang w:eastAsia="hr-HR"/>
              </w:rPr>
              <w:t>Ukupna potrošnja energije* (PJ)</w:t>
            </w:r>
          </w:p>
        </w:tc>
        <w:tc>
          <w:tcPr>
            <w:tcW w:w="1038" w:type="dxa"/>
            <w:shd w:val="clear" w:color="auto" w:fill="auto"/>
            <w:noWrap/>
            <w:vAlign w:val="center"/>
          </w:tcPr>
          <w:p w14:paraId="35652EAA" w14:textId="77777777" w:rsidR="00951C98" w:rsidRPr="006414E6" w:rsidRDefault="00951C98" w:rsidP="00ED53DB">
            <w:pPr>
              <w:keepNext/>
              <w:jc w:val="center"/>
              <w:rPr>
                <w:rFonts w:cs="Times New Roman"/>
                <w:sz w:val="20"/>
                <w:lang w:eastAsia="hr-HR"/>
              </w:rPr>
            </w:pPr>
            <w:r w:rsidRPr="006414E6">
              <w:rPr>
                <w:rFonts w:cs="Times New Roman"/>
                <w:sz w:val="20"/>
                <w:lang w:eastAsia="hr-HR"/>
              </w:rPr>
              <w:t>359,4</w:t>
            </w:r>
          </w:p>
        </w:tc>
        <w:tc>
          <w:tcPr>
            <w:tcW w:w="2117" w:type="dxa"/>
            <w:vAlign w:val="center"/>
          </w:tcPr>
          <w:p w14:paraId="05BBF12D"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344,4 do 328,7</w:t>
            </w:r>
          </w:p>
        </w:tc>
        <w:tc>
          <w:tcPr>
            <w:tcW w:w="2117" w:type="dxa"/>
            <w:vAlign w:val="center"/>
          </w:tcPr>
          <w:p w14:paraId="161FEE6B"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325,7 do 292,2</w:t>
            </w:r>
          </w:p>
        </w:tc>
        <w:tc>
          <w:tcPr>
            <w:tcW w:w="2119" w:type="dxa"/>
            <w:vAlign w:val="center"/>
          </w:tcPr>
          <w:p w14:paraId="620A32A5" w14:textId="77777777" w:rsidR="00951C98" w:rsidRPr="006414E6" w:rsidRDefault="00951C98" w:rsidP="00ED53DB">
            <w:pPr>
              <w:keepNext/>
              <w:jc w:val="center"/>
              <w:rPr>
                <w:rFonts w:cs="Times New Roman"/>
                <w:b/>
                <w:sz w:val="20"/>
                <w:lang w:eastAsia="hr-HR"/>
              </w:rPr>
            </w:pPr>
            <w:r w:rsidRPr="006414E6">
              <w:rPr>
                <w:rFonts w:cs="Times New Roman"/>
                <w:b/>
                <w:sz w:val="20"/>
                <w:lang w:eastAsia="hr-HR"/>
              </w:rPr>
              <w:t>287,4 do 251,0</w:t>
            </w:r>
          </w:p>
        </w:tc>
      </w:tr>
    </w:tbl>
    <w:p w14:paraId="5D827150" w14:textId="77777777" w:rsidR="008A3723" w:rsidRPr="00B70D71" w:rsidRDefault="002024B2" w:rsidP="00B70D71">
      <w:pPr>
        <w:rPr>
          <w:sz w:val="20"/>
        </w:rPr>
      </w:pPr>
      <w:r w:rsidRPr="00B70D71">
        <w:rPr>
          <w:sz w:val="20"/>
        </w:rPr>
        <w:t xml:space="preserve">* - ukupna potrošnja energije bez </w:t>
      </w:r>
      <w:proofErr w:type="spellStart"/>
      <w:r w:rsidRPr="00B70D71">
        <w:rPr>
          <w:sz w:val="20"/>
        </w:rPr>
        <w:t>neenergetske</w:t>
      </w:r>
      <w:proofErr w:type="spellEnd"/>
      <w:r w:rsidRPr="00B70D71">
        <w:rPr>
          <w:sz w:val="20"/>
        </w:rPr>
        <w:t xml:space="preserve"> potrošnje</w:t>
      </w:r>
    </w:p>
    <w:p w14:paraId="2F0C95D6" w14:textId="77777777" w:rsidR="008A3723" w:rsidRPr="006414E6" w:rsidRDefault="008A3723" w:rsidP="008A3723">
      <w:pPr>
        <w:rPr>
          <w:rFonts w:cs="Times New Roman"/>
          <w:i/>
          <w:iCs/>
        </w:rPr>
      </w:pPr>
      <w:r w:rsidRPr="006414E6">
        <w:rPr>
          <w:rFonts w:cs="Times New Roman"/>
          <w:b/>
        </w:rPr>
        <w:t>Scenarij NU1</w:t>
      </w:r>
      <w:r w:rsidRPr="006414E6">
        <w:rPr>
          <w:rFonts w:cs="Times New Roman"/>
        </w:rPr>
        <w:t xml:space="preserve"> prikazuje trend smanjenja emisija kontinuirano tako da je u 2030. godini emisija za 3</w:t>
      </w:r>
      <w:r w:rsidR="00ED53DB" w:rsidRPr="006414E6">
        <w:rPr>
          <w:rFonts w:cs="Times New Roman"/>
        </w:rPr>
        <w:t>3,</w:t>
      </w:r>
      <w:r w:rsidR="00CE70AC" w:rsidRPr="006414E6">
        <w:rPr>
          <w:rFonts w:cs="Times New Roman"/>
        </w:rPr>
        <w:t>5</w:t>
      </w:r>
      <w:r w:rsidRPr="006414E6">
        <w:rPr>
          <w:rFonts w:cs="Times New Roman"/>
        </w:rPr>
        <w:t>% manja od emisije 1990. godine, a u 2050. godini za 5</w:t>
      </w:r>
      <w:r w:rsidR="00C0375E" w:rsidRPr="006414E6">
        <w:rPr>
          <w:rFonts w:cs="Times New Roman"/>
        </w:rPr>
        <w:t>6</w:t>
      </w:r>
      <w:r w:rsidR="00ED53DB" w:rsidRPr="006414E6">
        <w:rPr>
          <w:rFonts w:cs="Times New Roman"/>
        </w:rPr>
        <w:t>,</w:t>
      </w:r>
      <w:r w:rsidR="00CE70AC" w:rsidRPr="006414E6">
        <w:rPr>
          <w:rFonts w:cs="Times New Roman"/>
        </w:rPr>
        <w:t>8</w:t>
      </w:r>
      <w:r w:rsidRPr="006414E6">
        <w:rPr>
          <w:rFonts w:cs="Times New Roman"/>
        </w:rPr>
        <w:t>% manja od emisije 1990. godine.</w:t>
      </w:r>
      <w:r w:rsidR="006E159F" w:rsidRPr="006414E6">
        <w:rPr>
          <w:rFonts w:cs="Times New Roman"/>
        </w:rPr>
        <w:t xml:space="preserve"> </w:t>
      </w:r>
      <w:r w:rsidRPr="006414E6">
        <w:rPr>
          <w:rFonts w:cs="Times New Roman"/>
        </w:rPr>
        <w:t>Hrvatska ovim scenarijem uvelike ispunjava obvezu smanjenja emisije do razine određene za sektore izvan ETS-a za 2030. godinu</w:t>
      </w:r>
      <w:r w:rsidR="00A6677A" w:rsidRPr="006414E6">
        <w:rPr>
          <w:rFonts w:cs="Times New Roman"/>
        </w:rPr>
        <w:t>.</w:t>
      </w:r>
    </w:p>
    <w:p w14:paraId="084D236E" w14:textId="77777777" w:rsidR="00A6677A" w:rsidRPr="006414E6" w:rsidRDefault="00A6677A" w:rsidP="00A6677A">
      <w:pPr>
        <w:rPr>
          <w:rFonts w:cs="Times New Roman"/>
          <w:i/>
          <w:iCs/>
        </w:rPr>
      </w:pPr>
      <w:r w:rsidRPr="006414E6">
        <w:rPr>
          <w:rFonts w:cs="Times New Roman"/>
          <w:b/>
        </w:rPr>
        <w:t>Scenarij NU2</w:t>
      </w:r>
      <w:r w:rsidRPr="006414E6">
        <w:rPr>
          <w:rFonts w:cs="Times New Roman"/>
        </w:rPr>
        <w:t xml:space="preserve"> prikazuje trend smanjenja emisija, vrlo sličan trendu scenarija NU1 do 2030. godine, u 2030. godini emisija je za 36,7% manja od emisije 1990. godine, a nakon 2040. godine scenarij NU2 prikazuje snažnije smanjenje, tako da je u 2050. godini emisija za 73,1% manja od emisije 1990. godine. Hrvatska ovim scenarijem sigurno ispunjava obvezu smanjenja emisije do razine određene za sektore izvan ETS-a za 2030. godinu.</w:t>
      </w:r>
    </w:p>
    <w:p w14:paraId="5DA06DCA" w14:textId="77777777" w:rsidR="00C037D1" w:rsidRPr="006414E6" w:rsidRDefault="00C037D1" w:rsidP="008A3F29">
      <w:pPr>
        <w:rPr>
          <w:rFonts w:cs="Times New Roman"/>
          <w:i/>
          <w:iCs/>
        </w:rPr>
      </w:pPr>
      <w:r w:rsidRPr="006414E6">
        <w:rPr>
          <w:rFonts w:cs="Times New Roman"/>
        </w:rPr>
        <w:t xml:space="preserve">Ambiciozniji cilj od </w:t>
      </w:r>
      <w:r w:rsidR="00BE6730" w:rsidRPr="006414E6">
        <w:rPr>
          <w:rFonts w:cs="Times New Roman"/>
        </w:rPr>
        <w:t>gotovo 100</w:t>
      </w:r>
      <w:r w:rsidRPr="006414E6">
        <w:rPr>
          <w:rFonts w:cs="Times New Roman"/>
        </w:rPr>
        <w:t xml:space="preserve">% smanjenja emisije u 2050. godini u odnosu na 1990. godinu </w:t>
      </w:r>
      <w:r w:rsidR="00BE6730" w:rsidRPr="006414E6">
        <w:rPr>
          <w:rFonts w:cs="Times New Roman"/>
        </w:rPr>
        <w:t xml:space="preserve">(tzv. Scenarij </w:t>
      </w:r>
      <w:r w:rsidR="005723CD" w:rsidRPr="006414E6">
        <w:rPr>
          <w:rFonts w:cs="Times New Roman"/>
        </w:rPr>
        <w:t xml:space="preserve">neto </w:t>
      </w:r>
      <w:r w:rsidR="00BE6730" w:rsidRPr="006414E6">
        <w:rPr>
          <w:rFonts w:cs="Times New Roman"/>
        </w:rPr>
        <w:t xml:space="preserve">nulte emisije) </w:t>
      </w:r>
      <w:r w:rsidRPr="006414E6">
        <w:rPr>
          <w:rFonts w:cs="Times New Roman"/>
        </w:rPr>
        <w:t xml:space="preserve">je prema sadašnjem stanju spoznaja teško postići. </w:t>
      </w:r>
      <w:r w:rsidR="00BE6730" w:rsidRPr="006414E6">
        <w:rPr>
          <w:rFonts w:cs="Times New Roman"/>
        </w:rPr>
        <w:t xml:space="preserve">Potrebno je uključiti </w:t>
      </w:r>
      <w:r w:rsidRPr="006414E6">
        <w:rPr>
          <w:rFonts w:cs="Times New Roman"/>
        </w:rPr>
        <w:t>dodatne mjere za koje nije ispitana izvedivost.</w:t>
      </w:r>
      <w:r w:rsidR="00BE6730" w:rsidRPr="006414E6">
        <w:rPr>
          <w:rFonts w:cs="Times New Roman"/>
        </w:rPr>
        <w:t xml:space="preserve">  </w:t>
      </w:r>
    </w:p>
    <w:p w14:paraId="29A81346" w14:textId="77777777" w:rsidR="005464A7" w:rsidRPr="006414E6" w:rsidRDefault="001241B9" w:rsidP="00EE3488">
      <w:pPr>
        <w:pStyle w:val="Heading2"/>
      </w:pPr>
      <w:bookmarkStart w:id="171" w:name="_Toc39133267"/>
      <w:bookmarkStart w:id="172" w:name="_Toc20841298"/>
      <w:bookmarkStart w:id="173" w:name="_Toc20841404"/>
      <w:r w:rsidRPr="006414E6">
        <w:t>3</w:t>
      </w:r>
      <w:r w:rsidR="005464A7" w:rsidRPr="006414E6">
        <w:t>.2.</w:t>
      </w:r>
      <w:r w:rsidR="005464A7" w:rsidRPr="006414E6">
        <w:tab/>
        <w:t>CILJEVI REPUBLIKE HRVATSKE</w:t>
      </w:r>
      <w:bookmarkEnd w:id="171"/>
      <w:r w:rsidR="005464A7" w:rsidRPr="006414E6">
        <w:t xml:space="preserve"> </w:t>
      </w:r>
    </w:p>
    <w:bookmarkEnd w:id="172"/>
    <w:bookmarkEnd w:id="173"/>
    <w:p w14:paraId="5E8E505D" w14:textId="77777777" w:rsidR="00A1329E" w:rsidRPr="006414E6" w:rsidRDefault="00A1329E" w:rsidP="005B1967">
      <w:pPr>
        <w:rPr>
          <w:rFonts w:cs="Times New Roman"/>
        </w:rPr>
      </w:pPr>
      <w:r w:rsidRPr="006414E6">
        <w:rPr>
          <w:rFonts w:cs="Times New Roman"/>
        </w:rPr>
        <w:t xml:space="preserve">Ciljevi smanjenja emisije stakleničkih plinova temelje se na sljedećem: </w:t>
      </w:r>
    </w:p>
    <w:p w14:paraId="6C09E63A" w14:textId="77777777" w:rsidR="00A1329E" w:rsidRPr="006414E6" w:rsidRDefault="00A1329E" w:rsidP="003A2F37">
      <w:pPr>
        <w:pStyle w:val="ListParagraph"/>
        <w:numPr>
          <w:ilvl w:val="0"/>
          <w:numId w:val="13"/>
        </w:numPr>
        <w:rPr>
          <w:rFonts w:cs="Times New Roman"/>
        </w:rPr>
      </w:pPr>
      <w:r w:rsidRPr="006414E6">
        <w:rPr>
          <w:rFonts w:cs="Times New Roman"/>
        </w:rPr>
        <w:t>ciljevima smanjenja emisije koji proizlaze iz UNFCCC</w:t>
      </w:r>
      <w:r w:rsidR="002B3FC0" w:rsidRPr="006414E6">
        <w:rPr>
          <w:rFonts w:cs="Times New Roman"/>
        </w:rPr>
        <w:t>-a</w:t>
      </w:r>
      <w:r w:rsidRPr="006414E6">
        <w:rPr>
          <w:rFonts w:cs="Times New Roman"/>
        </w:rPr>
        <w:t xml:space="preserve"> i Pariškog sporazuma</w:t>
      </w:r>
    </w:p>
    <w:p w14:paraId="52D22C17" w14:textId="77777777" w:rsidR="00A1329E" w:rsidRPr="006414E6" w:rsidRDefault="00A1329E" w:rsidP="003A2F37">
      <w:pPr>
        <w:pStyle w:val="ListParagraph"/>
        <w:numPr>
          <w:ilvl w:val="0"/>
          <w:numId w:val="13"/>
        </w:numPr>
        <w:rPr>
          <w:rFonts w:cs="Times New Roman"/>
        </w:rPr>
      </w:pPr>
      <w:r w:rsidRPr="006414E6">
        <w:rPr>
          <w:rFonts w:cs="Times New Roman"/>
        </w:rPr>
        <w:t>ciljevima smanjenja emisije koji proizlaze iz interne raspodjele EU, a vezano za sektore izvan ETS-a</w:t>
      </w:r>
    </w:p>
    <w:p w14:paraId="63F25348" w14:textId="77777777" w:rsidR="00A1329E" w:rsidRPr="006414E6" w:rsidRDefault="00A1329E" w:rsidP="003A2F37">
      <w:pPr>
        <w:pStyle w:val="ListParagraph"/>
        <w:numPr>
          <w:ilvl w:val="0"/>
          <w:numId w:val="13"/>
        </w:numPr>
        <w:rPr>
          <w:rFonts w:cs="Times New Roman"/>
        </w:rPr>
      </w:pPr>
      <w:r w:rsidRPr="006414E6">
        <w:rPr>
          <w:rFonts w:cs="Times New Roman"/>
        </w:rPr>
        <w:t>ciljevima udjela obnovljivih izvora energije i ciljevima smanjenja energetske potrošnje, temeljem EU politike</w:t>
      </w:r>
    </w:p>
    <w:p w14:paraId="6271E4B2" w14:textId="77777777" w:rsidR="00A1329E" w:rsidRPr="006414E6" w:rsidRDefault="00A1329E" w:rsidP="003A2F37">
      <w:pPr>
        <w:pStyle w:val="ListParagraph"/>
        <w:numPr>
          <w:ilvl w:val="0"/>
          <w:numId w:val="13"/>
        </w:numPr>
        <w:rPr>
          <w:rFonts w:cs="Times New Roman"/>
        </w:rPr>
      </w:pPr>
      <w:r w:rsidRPr="006414E6">
        <w:rPr>
          <w:rFonts w:cs="Times New Roman"/>
        </w:rPr>
        <w:t>koristima Republike Hrvatske u smislu postavljenih načela i ciljeva u Poglavlju 1</w:t>
      </w:r>
      <w:r w:rsidR="005B1967" w:rsidRPr="006414E6">
        <w:rPr>
          <w:rFonts w:cs="Times New Roman"/>
        </w:rPr>
        <w:t>.2</w:t>
      </w:r>
      <w:r w:rsidR="007F412A" w:rsidRPr="006414E6">
        <w:rPr>
          <w:rFonts w:cs="Times New Roman"/>
        </w:rPr>
        <w:t>.</w:t>
      </w:r>
      <w:r w:rsidRPr="006414E6">
        <w:rPr>
          <w:rFonts w:cs="Times New Roman"/>
        </w:rPr>
        <w:t xml:space="preserve"> ove </w:t>
      </w:r>
      <w:proofErr w:type="spellStart"/>
      <w:r w:rsidRPr="006414E6">
        <w:rPr>
          <w:rFonts w:cs="Times New Roman"/>
        </w:rPr>
        <w:t>Niskougljične</w:t>
      </w:r>
      <w:proofErr w:type="spellEnd"/>
      <w:r w:rsidRPr="006414E6">
        <w:rPr>
          <w:rFonts w:cs="Times New Roman"/>
        </w:rPr>
        <w:t xml:space="preserve"> strategije</w:t>
      </w:r>
    </w:p>
    <w:p w14:paraId="465F5DF3" w14:textId="77777777" w:rsidR="00A1329E" w:rsidRPr="006414E6" w:rsidRDefault="00A1329E" w:rsidP="003A2F37">
      <w:pPr>
        <w:pStyle w:val="ListParagraph"/>
        <w:numPr>
          <w:ilvl w:val="0"/>
          <w:numId w:val="13"/>
        </w:numPr>
        <w:rPr>
          <w:rFonts w:cs="Times New Roman"/>
        </w:rPr>
      </w:pPr>
      <w:r w:rsidRPr="006414E6">
        <w:rPr>
          <w:rFonts w:cs="Times New Roman"/>
        </w:rPr>
        <w:t>uvažavanjem postojećeg trenda i nastavka na usvojenu politiku i planove</w:t>
      </w:r>
    </w:p>
    <w:p w14:paraId="53A41296" w14:textId="77777777" w:rsidR="00A1329E" w:rsidRPr="006414E6" w:rsidRDefault="00A1329E" w:rsidP="003A2F37">
      <w:pPr>
        <w:pStyle w:val="ListParagraph"/>
        <w:numPr>
          <w:ilvl w:val="0"/>
          <w:numId w:val="13"/>
        </w:numPr>
        <w:rPr>
          <w:rFonts w:cs="Times New Roman"/>
        </w:rPr>
      </w:pPr>
      <w:r w:rsidRPr="006414E6">
        <w:rPr>
          <w:rFonts w:cs="Times New Roman"/>
        </w:rPr>
        <w:t>utjecajima na gospodarstvo, okoliš i društvo.</w:t>
      </w:r>
    </w:p>
    <w:p w14:paraId="70C83172" w14:textId="77777777" w:rsidR="00A1329E" w:rsidRPr="006414E6" w:rsidRDefault="00A1329E" w:rsidP="005B1967">
      <w:pPr>
        <w:rPr>
          <w:rFonts w:cs="Times New Roman"/>
        </w:rPr>
      </w:pPr>
      <w:r w:rsidRPr="006414E6">
        <w:rPr>
          <w:rFonts w:cs="Times New Roman"/>
        </w:rPr>
        <w:t>Ciljevi se promatraju za razdoblje do 2030. i do 2050. godine. Postavljeni ciljevi mogu se postići različitim scenarijima koji imaju različite prateće učinke na gospodarstvo, okoliš i društvo.</w:t>
      </w:r>
    </w:p>
    <w:p w14:paraId="51278033" w14:textId="77777777" w:rsidR="00FF0EEE" w:rsidRPr="006414E6" w:rsidRDefault="00FF0EEE" w:rsidP="00EE3488">
      <w:pPr>
        <w:pStyle w:val="Heading3"/>
      </w:pPr>
      <w:bookmarkStart w:id="174" w:name="_Toc39133268"/>
      <w:r w:rsidRPr="006414E6">
        <w:t>3.2.1.</w:t>
      </w:r>
      <w:r w:rsidRPr="006414E6">
        <w:tab/>
        <w:t>Ciljevi Republike Hrvatske do 2020. godine</w:t>
      </w:r>
      <w:bookmarkEnd w:id="174"/>
      <w:r w:rsidRPr="006414E6">
        <w:t xml:space="preserve"> </w:t>
      </w:r>
    </w:p>
    <w:p w14:paraId="6147E557" w14:textId="77777777" w:rsidR="006F53BA" w:rsidRPr="006414E6" w:rsidRDefault="00FF0EEE" w:rsidP="006F53BA">
      <w:pPr>
        <w:rPr>
          <w:rFonts w:eastAsia="Calibri" w:cs="Times New Roman"/>
        </w:rPr>
      </w:pPr>
      <w:r w:rsidRPr="006414E6">
        <w:rPr>
          <w:rFonts w:eastAsia="Calibri" w:cs="Times New Roman"/>
        </w:rPr>
        <w:t xml:space="preserve">Republika Hrvatska prema internoj raspodjeli obveza unutar EU, kako je to utvrđeno Odlukom 406/2009/EZ može povećati emisije do 2020. godine u sektorima izvan ETS-a za 11% u odnosu na 2005. </w:t>
      </w:r>
      <w:r w:rsidRPr="006414E6">
        <w:rPr>
          <w:rFonts w:eastAsia="Calibri" w:cs="Times New Roman"/>
        </w:rPr>
        <w:lastRenderedPageBreak/>
        <w:t>godinu. U obračunu se ne računa emisija, odnosno odliv iz sektora korištenje zemljišta, promjene u korištenju zemljišta i šumarstvo (LULUCF).</w:t>
      </w:r>
      <w:r w:rsidR="006F53BA" w:rsidRPr="006414E6">
        <w:rPr>
          <w:rFonts w:eastAsia="Calibri" w:cs="Times New Roman"/>
        </w:rPr>
        <w:t xml:space="preserve"> </w:t>
      </w:r>
    </w:p>
    <w:p w14:paraId="1DD792C6" w14:textId="77777777" w:rsidR="00FF0EEE" w:rsidRPr="006414E6" w:rsidRDefault="00FF0EEE" w:rsidP="006F53BA">
      <w:pPr>
        <w:rPr>
          <w:rFonts w:cs="Times New Roman"/>
        </w:rPr>
      </w:pPr>
      <w:r w:rsidRPr="006414E6">
        <w:rPr>
          <w:rFonts w:cs="Times New Roman"/>
        </w:rPr>
        <w:t xml:space="preserve">Projekcije referentnog scenarija pokazuju da Republika Hrvatska može ispuniti navedeni cilj i da će u tom scenariju emisija biti ispod cilja utvrđenog za sektore izvan ETS-a.  </w:t>
      </w:r>
    </w:p>
    <w:p w14:paraId="4B3597F2" w14:textId="77777777" w:rsidR="006F53BA" w:rsidRPr="006414E6" w:rsidRDefault="00FF0EEE" w:rsidP="006F53BA">
      <w:pPr>
        <w:rPr>
          <w:rFonts w:cs="Times New Roman"/>
        </w:rPr>
      </w:pPr>
      <w:r w:rsidRPr="006414E6">
        <w:rPr>
          <w:rFonts w:cs="Times New Roman"/>
        </w:rPr>
        <w:t xml:space="preserve">U ETS-u obveze su utvrđene na razini postrojenja i operatera zrakoplova u okviru zajedničke EU kvote. </w:t>
      </w:r>
    </w:p>
    <w:p w14:paraId="0F05BCF5" w14:textId="77777777" w:rsidR="00A1329E" w:rsidRPr="006414E6" w:rsidRDefault="001241B9" w:rsidP="00EE3488">
      <w:pPr>
        <w:pStyle w:val="Heading3"/>
      </w:pPr>
      <w:bookmarkStart w:id="175" w:name="_Toc476226508"/>
      <w:bookmarkStart w:id="176" w:name="_Toc475716134"/>
      <w:bookmarkStart w:id="177" w:name="_Toc475714721"/>
      <w:bookmarkStart w:id="178" w:name="_Toc436823711"/>
      <w:bookmarkStart w:id="179" w:name="_Toc477868475"/>
      <w:bookmarkStart w:id="180" w:name="_Toc478995873"/>
      <w:bookmarkStart w:id="181" w:name="_Toc484158977"/>
      <w:bookmarkStart w:id="182" w:name="_Toc39133269"/>
      <w:r w:rsidRPr="006414E6">
        <w:t>3</w:t>
      </w:r>
      <w:r w:rsidR="00A1329E" w:rsidRPr="006414E6">
        <w:t>.2.</w:t>
      </w:r>
      <w:r w:rsidR="00FF0EEE" w:rsidRPr="006414E6">
        <w:t>2</w:t>
      </w:r>
      <w:r w:rsidR="00A1329E" w:rsidRPr="006414E6">
        <w:t>.</w:t>
      </w:r>
      <w:r w:rsidR="00A1329E" w:rsidRPr="006414E6">
        <w:tab/>
        <w:t>Ciljevi Republike Hrvatske do 2030. godine</w:t>
      </w:r>
      <w:bookmarkEnd w:id="175"/>
      <w:bookmarkEnd w:id="176"/>
      <w:bookmarkEnd w:id="177"/>
      <w:bookmarkEnd w:id="178"/>
      <w:bookmarkEnd w:id="179"/>
      <w:bookmarkEnd w:id="180"/>
      <w:bookmarkEnd w:id="181"/>
      <w:bookmarkEnd w:id="182"/>
      <w:r w:rsidR="00A1329E" w:rsidRPr="006414E6">
        <w:t xml:space="preserve"> </w:t>
      </w:r>
    </w:p>
    <w:p w14:paraId="1F32064E" w14:textId="77777777" w:rsidR="00A1329E" w:rsidRPr="006414E6" w:rsidRDefault="007B2CF5" w:rsidP="007B2CF5">
      <w:pPr>
        <w:rPr>
          <w:rFonts w:cs="Times New Roman"/>
        </w:rPr>
      </w:pPr>
      <w:r w:rsidRPr="006414E6">
        <w:rPr>
          <w:rFonts w:cs="Times New Roman"/>
        </w:rPr>
        <w:t>Okvirom klimatsko-energetske politike utvrđene su smjernice djelovanja EU do 2030. godine. Postavljen je cilj smanjenja emisije stakleničkih plinova za najmanje 40% u odnosu na 1990. godinu.</w:t>
      </w:r>
      <w:r w:rsidR="00A1329E" w:rsidRPr="006414E6">
        <w:rPr>
          <w:rFonts w:cs="Times New Roman"/>
        </w:rPr>
        <w:t xml:space="preserve"> To će se provesti tako da se emisija u ETS-u smanji za 43% u odnosu na 2005. godinu, a u sektorima izvan ETS-a za 30% u odnosu na 2005. godinu.</w:t>
      </w:r>
    </w:p>
    <w:p w14:paraId="787A29B7" w14:textId="77777777" w:rsidR="00A1329E" w:rsidRPr="006414E6" w:rsidRDefault="001660F4" w:rsidP="007B2CF5">
      <w:pPr>
        <w:rPr>
          <w:rFonts w:eastAsia="Times New Roman" w:cs="Times New Roman"/>
          <w:lang w:eastAsia="hr-HR"/>
        </w:rPr>
      </w:pPr>
      <w:r w:rsidRPr="006414E6">
        <w:rPr>
          <w:rFonts w:cs="Times New Roman"/>
        </w:rPr>
        <w:t>U</w:t>
      </w:r>
      <w:r w:rsidR="00E03367" w:rsidRPr="006414E6">
        <w:rPr>
          <w:rFonts w:cs="Times New Roman"/>
        </w:rPr>
        <w:t>tvrđen</w:t>
      </w:r>
      <w:r w:rsidR="007B2CF5" w:rsidRPr="006414E6">
        <w:rPr>
          <w:rFonts w:cs="Times New Roman"/>
        </w:rPr>
        <w:t xml:space="preserve">o je da </w:t>
      </w:r>
      <w:r w:rsidR="00A1329E" w:rsidRPr="006414E6">
        <w:rPr>
          <w:rFonts w:cs="Times New Roman"/>
        </w:rPr>
        <w:t xml:space="preserve">će </w:t>
      </w:r>
      <w:r w:rsidR="007B2CF5" w:rsidRPr="006414E6">
        <w:rPr>
          <w:rFonts w:cs="Times New Roman"/>
        </w:rPr>
        <w:t xml:space="preserve">se </w:t>
      </w:r>
      <w:r w:rsidR="00A1329E" w:rsidRPr="006414E6">
        <w:rPr>
          <w:rFonts w:cs="Times New Roman"/>
        </w:rPr>
        <w:t xml:space="preserve">nastaviti s raspodjelom obveza po državama za sektore izvan ETS-a, ali se neće određivati brojčani ciljevi za obnovljive izvore energije za svaku državu primjenom jedinstvene metodologije. Svaka država sama </w:t>
      </w:r>
      <w:r w:rsidR="007B2CF5" w:rsidRPr="006414E6">
        <w:rPr>
          <w:rFonts w:cs="Times New Roman"/>
        </w:rPr>
        <w:t xml:space="preserve">će </w:t>
      </w:r>
      <w:r w:rsidR="00A1329E" w:rsidRPr="006414E6">
        <w:rPr>
          <w:rFonts w:cs="Times New Roman"/>
        </w:rPr>
        <w:t xml:space="preserve">odlučiti kako će postići ciljeve u sektorima izvan ETS-a, što uključuje i ciljeve za obnovljive izvore energije. </w:t>
      </w:r>
    </w:p>
    <w:p w14:paraId="5583D58C" w14:textId="62840AE4" w:rsidR="001660F4" w:rsidRPr="006414E6" w:rsidRDefault="00A1329E" w:rsidP="007B2CF5">
      <w:pPr>
        <w:rPr>
          <w:rFonts w:cs="Times New Roman"/>
        </w:rPr>
      </w:pPr>
      <w:r w:rsidRPr="006414E6">
        <w:rPr>
          <w:rFonts w:cs="Times New Roman"/>
        </w:rPr>
        <w:t xml:space="preserve">Republika Hrvatska </w:t>
      </w:r>
      <w:r w:rsidR="00FA7E18" w:rsidRPr="006414E6">
        <w:rPr>
          <w:rFonts w:cs="Times New Roman"/>
        </w:rPr>
        <w:t xml:space="preserve">će </w:t>
      </w:r>
      <w:r w:rsidRPr="006414E6">
        <w:rPr>
          <w:rFonts w:cs="Times New Roman"/>
        </w:rPr>
        <w:t xml:space="preserve">do 2030. godine </w:t>
      </w:r>
      <w:r w:rsidR="001660F4" w:rsidRPr="006414E6">
        <w:rPr>
          <w:rFonts w:cs="Times New Roman"/>
        </w:rPr>
        <w:t xml:space="preserve">težiti ambicioznijem smanjenju emisije, s putanjom koja se nalazi u prostoru između </w:t>
      </w:r>
      <w:proofErr w:type="spellStart"/>
      <w:r w:rsidR="001660F4" w:rsidRPr="006414E6">
        <w:rPr>
          <w:rFonts w:cs="Times New Roman"/>
        </w:rPr>
        <w:t>niskougljičnog</w:t>
      </w:r>
      <w:proofErr w:type="spellEnd"/>
      <w:r w:rsidR="001660F4" w:rsidRPr="006414E6">
        <w:rPr>
          <w:rFonts w:cs="Times New Roman"/>
        </w:rPr>
        <w:t xml:space="preserve"> scenarija NU1 i NU2.</w:t>
      </w:r>
    </w:p>
    <w:p w14:paraId="623F338C" w14:textId="77777777" w:rsidR="00A1329E" w:rsidRPr="006414E6" w:rsidRDefault="001660F4" w:rsidP="007B2CF5">
      <w:pPr>
        <w:rPr>
          <w:rFonts w:cs="Times New Roman"/>
        </w:rPr>
      </w:pPr>
      <w:r w:rsidRPr="006414E6">
        <w:rPr>
          <w:rFonts w:cs="Times New Roman"/>
        </w:rPr>
        <w:t>Postavljen je tem</w:t>
      </w:r>
      <w:r w:rsidR="00A1329E" w:rsidRPr="006414E6">
        <w:rPr>
          <w:rFonts w:cs="Times New Roman"/>
        </w:rPr>
        <w:t>eljn</w:t>
      </w:r>
      <w:r w:rsidRPr="006414E6">
        <w:rPr>
          <w:rFonts w:cs="Times New Roman"/>
        </w:rPr>
        <w:t>i</w:t>
      </w:r>
      <w:r w:rsidR="00A1329E" w:rsidRPr="006414E6">
        <w:rPr>
          <w:rFonts w:cs="Times New Roman"/>
        </w:rPr>
        <w:t xml:space="preserve"> cilj:</w:t>
      </w:r>
    </w:p>
    <w:p w14:paraId="563827CD" w14:textId="77777777" w:rsidR="00A1329E" w:rsidRPr="006414E6" w:rsidRDefault="00CD421F" w:rsidP="003A2F37">
      <w:pPr>
        <w:pStyle w:val="ListParagraph"/>
        <w:numPr>
          <w:ilvl w:val="0"/>
          <w:numId w:val="14"/>
        </w:numPr>
        <w:rPr>
          <w:rFonts w:cs="Times New Roman"/>
          <w:b/>
        </w:rPr>
      </w:pPr>
      <w:r w:rsidRPr="006414E6">
        <w:rPr>
          <w:rFonts w:cs="Times New Roman"/>
          <w:b/>
        </w:rPr>
        <w:t xml:space="preserve">ostvariti </w:t>
      </w:r>
      <w:r w:rsidR="00A1329E" w:rsidRPr="006414E6">
        <w:rPr>
          <w:rFonts w:cs="Times New Roman"/>
          <w:b/>
        </w:rPr>
        <w:t>smanjenje emisije za 7% u sektorima izvan ETS-a, u odnosu na emisiju u 2005. godini. Ovo je minimalno što se mora ostvariti, a to je ujedno obvezujući cilj prema Europskoj uniji i Pariškom sporazumu</w:t>
      </w:r>
      <w:r w:rsidR="001660F4" w:rsidRPr="006414E6">
        <w:rPr>
          <w:rFonts w:cs="Times New Roman"/>
          <w:b/>
        </w:rPr>
        <w:t>.</w:t>
      </w:r>
      <w:r w:rsidR="00A1329E" w:rsidRPr="006414E6">
        <w:rPr>
          <w:rFonts w:cs="Times New Roman"/>
          <w:b/>
        </w:rPr>
        <w:t xml:space="preserve"> </w:t>
      </w:r>
    </w:p>
    <w:p w14:paraId="3215B0C0" w14:textId="77777777" w:rsidR="00A1329E" w:rsidRPr="006414E6" w:rsidRDefault="00A1329E" w:rsidP="007B2CF5">
      <w:pPr>
        <w:rPr>
          <w:rFonts w:cs="Times New Roman"/>
        </w:rPr>
      </w:pPr>
      <w:r w:rsidRPr="006414E6">
        <w:rPr>
          <w:rFonts w:cs="Times New Roman"/>
        </w:rPr>
        <w:t xml:space="preserve">Ciljevi za obnovljive izvore energije, energetsku učinkovitost </w:t>
      </w:r>
      <w:r w:rsidR="007B2CF5" w:rsidRPr="006414E6">
        <w:rPr>
          <w:rFonts w:cs="Times New Roman"/>
        </w:rPr>
        <w:t xml:space="preserve">te sektorski ciljevi proizlaze </w:t>
      </w:r>
      <w:r w:rsidRPr="006414E6">
        <w:rPr>
          <w:rFonts w:cs="Times New Roman"/>
        </w:rPr>
        <w:t>iz gore navedenih ciljeva</w:t>
      </w:r>
      <w:r w:rsidR="007B2CF5" w:rsidRPr="006414E6">
        <w:rPr>
          <w:rFonts w:cs="Times New Roman"/>
        </w:rPr>
        <w:t>. P</w:t>
      </w:r>
      <w:r w:rsidRPr="006414E6">
        <w:rPr>
          <w:rFonts w:cs="Times New Roman"/>
        </w:rPr>
        <w:t>rovedbeni dokument za razdoblje do 2030. godine je</w:t>
      </w:r>
      <w:r w:rsidR="007B2CF5" w:rsidRPr="006414E6">
        <w:rPr>
          <w:rFonts w:cs="Times New Roman"/>
        </w:rPr>
        <w:t xml:space="preserve"> </w:t>
      </w:r>
      <w:r w:rsidR="00695954" w:rsidRPr="006414E6">
        <w:rPr>
          <w:rFonts w:cs="Times New Roman"/>
        </w:rPr>
        <w:t>Integrirani energetski i klimatski plan za razdoblje od 2021. do 2030. godine</w:t>
      </w:r>
      <w:r w:rsidR="007B2CF5" w:rsidRPr="006414E6">
        <w:rPr>
          <w:rFonts w:cs="Times New Roman"/>
        </w:rPr>
        <w:t>.</w:t>
      </w:r>
      <w:r w:rsidRPr="006414E6">
        <w:rPr>
          <w:rFonts w:cs="Times New Roman"/>
        </w:rPr>
        <w:t xml:space="preserve"> </w:t>
      </w:r>
    </w:p>
    <w:p w14:paraId="56E0CCD2" w14:textId="77777777" w:rsidR="00A1329E" w:rsidRPr="006414E6" w:rsidRDefault="001241B9" w:rsidP="00EE3488">
      <w:pPr>
        <w:pStyle w:val="Heading3"/>
      </w:pPr>
      <w:bookmarkStart w:id="183" w:name="_Toc476226509"/>
      <w:bookmarkStart w:id="184" w:name="_Toc475716135"/>
      <w:bookmarkStart w:id="185" w:name="_Toc475714722"/>
      <w:bookmarkStart w:id="186" w:name="_Toc436823712"/>
      <w:bookmarkStart w:id="187" w:name="_Toc477868476"/>
      <w:bookmarkStart w:id="188" w:name="_Toc478995874"/>
      <w:bookmarkStart w:id="189" w:name="_Toc484158978"/>
      <w:bookmarkStart w:id="190" w:name="_Toc39133270"/>
      <w:r w:rsidRPr="006414E6">
        <w:t>3</w:t>
      </w:r>
      <w:r w:rsidR="007B2CF5" w:rsidRPr="006414E6">
        <w:t>.2.</w:t>
      </w:r>
      <w:r w:rsidR="00FF0EEE" w:rsidRPr="006414E6">
        <w:t>3</w:t>
      </w:r>
      <w:r w:rsidR="00A1329E" w:rsidRPr="006414E6">
        <w:t>.</w:t>
      </w:r>
      <w:r w:rsidR="00A1329E" w:rsidRPr="006414E6">
        <w:tab/>
        <w:t>Ciljevi Republike Hrvatske do 2050. godine</w:t>
      </w:r>
      <w:bookmarkEnd w:id="183"/>
      <w:bookmarkEnd w:id="184"/>
      <w:bookmarkEnd w:id="185"/>
      <w:bookmarkEnd w:id="186"/>
      <w:bookmarkEnd w:id="187"/>
      <w:bookmarkEnd w:id="188"/>
      <w:bookmarkEnd w:id="189"/>
      <w:bookmarkEnd w:id="190"/>
      <w:r w:rsidR="00A1329E" w:rsidRPr="006414E6">
        <w:t xml:space="preserve"> </w:t>
      </w:r>
    </w:p>
    <w:p w14:paraId="6E4E86D9" w14:textId="77777777" w:rsidR="00A1329E" w:rsidRPr="00B70D71" w:rsidRDefault="008A7B25" w:rsidP="00B70D71">
      <w:pPr>
        <w:rPr>
          <w:rFonts w:cs="Times New Roman"/>
        </w:rPr>
      </w:pPr>
      <w:r w:rsidRPr="00B70D71">
        <w:rPr>
          <w:rFonts w:cs="Times New Roman"/>
        </w:rPr>
        <w:t xml:space="preserve">Cilj smanjenja emisija stakleničkih plinova </w:t>
      </w:r>
      <w:r w:rsidR="00A1329E" w:rsidRPr="00B70D71">
        <w:rPr>
          <w:rFonts w:cs="Times New Roman"/>
        </w:rPr>
        <w:t xml:space="preserve">do 2050. godine je: </w:t>
      </w:r>
    </w:p>
    <w:p w14:paraId="4A9A35A3" w14:textId="77777777" w:rsidR="00A1329E" w:rsidRPr="00B70D71" w:rsidRDefault="00802F44" w:rsidP="00B70D71">
      <w:pPr>
        <w:pStyle w:val="ListParagraph"/>
        <w:numPr>
          <w:ilvl w:val="0"/>
          <w:numId w:val="14"/>
        </w:numPr>
        <w:rPr>
          <w:rFonts w:cs="Times New Roman"/>
          <w:b/>
        </w:rPr>
      </w:pPr>
      <w:r w:rsidRPr="00B70D71">
        <w:rPr>
          <w:rFonts w:cs="Times New Roman"/>
          <w:b/>
        </w:rPr>
        <w:t>s</w:t>
      </w:r>
      <w:r w:rsidR="00A1329E" w:rsidRPr="00B70D71">
        <w:rPr>
          <w:rFonts w:cs="Times New Roman"/>
          <w:b/>
        </w:rPr>
        <w:t>manjenj</w:t>
      </w:r>
      <w:r w:rsidRPr="00B70D71">
        <w:rPr>
          <w:rFonts w:cs="Times New Roman"/>
          <w:b/>
        </w:rPr>
        <w:t>e</w:t>
      </w:r>
      <w:r w:rsidR="00A1329E" w:rsidRPr="00B70D71">
        <w:rPr>
          <w:rFonts w:cs="Times New Roman"/>
          <w:b/>
        </w:rPr>
        <w:t xml:space="preserve"> </w:t>
      </w:r>
      <w:r w:rsidR="008A7B25" w:rsidRPr="00B70D71">
        <w:rPr>
          <w:rFonts w:cs="Times New Roman"/>
          <w:b/>
        </w:rPr>
        <w:t xml:space="preserve">emisija stakleničkih plinova </w:t>
      </w:r>
      <w:r w:rsidR="00A1329E" w:rsidRPr="00B70D71">
        <w:rPr>
          <w:rFonts w:cs="Times New Roman"/>
          <w:b/>
        </w:rPr>
        <w:t xml:space="preserve">s putanjom koja se nalazi u prostoru između </w:t>
      </w:r>
      <w:proofErr w:type="spellStart"/>
      <w:r w:rsidR="00A1329E" w:rsidRPr="00B70D71">
        <w:rPr>
          <w:rFonts w:cs="Times New Roman"/>
          <w:b/>
        </w:rPr>
        <w:t>niskougljičnog</w:t>
      </w:r>
      <w:proofErr w:type="spellEnd"/>
      <w:r w:rsidR="00A1329E" w:rsidRPr="00B70D71">
        <w:rPr>
          <w:rFonts w:cs="Times New Roman"/>
          <w:b/>
        </w:rPr>
        <w:t xml:space="preserve"> scenarija NU1 i NU2, s </w:t>
      </w:r>
      <w:r w:rsidRPr="00B70D71">
        <w:rPr>
          <w:rFonts w:cs="Times New Roman"/>
          <w:b/>
        </w:rPr>
        <w:t xml:space="preserve">težnjom </w:t>
      </w:r>
      <w:r w:rsidR="00A1329E" w:rsidRPr="00B70D71">
        <w:rPr>
          <w:rFonts w:cs="Times New Roman"/>
          <w:b/>
        </w:rPr>
        <w:t xml:space="preserve">prema </w:t>
      </w:r>
      <w:r w:rsidRPr="00B70D71">
        <w:rPr>
          <w:rFonts w:cs="Times New Roman"/>
          <w:b/>
        </w:rPr>
        <w:t xml:space="preserve">ambicioznijem </w:t>
      </w:r>
      <w:r w:rsidR="00A1329E" w:rsidRPr="00B70D71">
        <w:rPr>
          <w:rFonts w:cs="Times New Roman"/>
          <w:b/>
        </w:rPr>
        <w:t>scenariju NU2</w:t>
      </w:r>
      <w:r w:rsidR="008A7B25" w:rsidRPr="00B70D71">
        <w:rPr>
          <w:rFonts w:cs="Times New Roman"/>
          <w:b/>
        </w:rPr>
        <w:t>.</w:t>
      </w:r>
    </w:p>
    <w:p w14:paraId="785DE6FC" w14:textId="77777777" w:rsidR="00A1329E" w:rsidRPr="006414E6" w:rsidRDefault="00A1329E" w:rsidP="00A60271">
      <w:pPr>
        <w:rPr>
          <w:rFonts w:cs="Times New Roman"/>
        </w:rPr>
      </w:pPr>
      <w:r w:rsidRPr="006414E6">
        <w:rPr>
          <w:rFonts w:cs="Times New Roman"/>
        </w:rPr>
        <w:t xml:space="preserve">U razdoblju do 2030. godine, razlike između scenarija NU1 i NU2 su relativno male, međutim u 2050. godini ovi su scenariji po dubini primjena mjera i ukupnom smanjenju emisije vrlo različiti. Republika Hrvatska treba odrediti ponovo svoju </w:t>
      </w:r>
      <w:proofErr w:type="spellStart"/>
      <w:r w:rsidRPr="006414E6">
        <w:rPr>
          <w:rFonts w:cs="Times New Roman"/>
        </w:rPr>
        <w:t>niskougljičnu</w:t>
      </w:r>
      <w:proofErr w:type="spellEnd"/>
      <w:r w:rsidRPr="006414E6">
        <w:rPr>
          <w:rFonts w:cs="Times New Roman"/>
        </w:rPr>
        <w:t xml:space="preserve"> putanju pri kraju sljedećeg desetogodišnjeg razdoblja. Za države čiji </w:t>
      </w:r>
      <w:r w:rsidR="008A7B25" w:rsidRPr="006414E6">
        <w:rPr>
          <w:rFonts w:cs="Times New Roman"/>
        </w:rPr>
        <w:t xml:space="preserve">je </w:t>
      </w:r>
      <w:r w:rsidRPr="006414E6">
        <w:rPr>
          <w:rFonts w:cs="Times New Roman"/>
        </w:rPr>
        <w:t xml:space="preserve">doprinos u okviru Pariškog sporazuma  utvrđen do 2030. godine obveza komunikacije ili ažuriranja tog doprinosa je svakih pet godina pa bi 2025. godine trebalo predvidjeti provedbu revizije ciljeva. </w:t>
      </w:r>
    </w:p>
    <w:p w14:paraId="754D5653" w14:textId="77777777" w:rsidR="00DC6F31" w:rsidRPr="006414E6" w:rsidRDefault="00DC6F31" w:rsidP="00A60271">
      <w:pPr>
        <w:rPr>
          <w:rFonts w:cs="Times New Roman"/>
          <w:sz w:val="16"/>
          <w:szCs w:val="16"/>
        </w:rPr>
      </w:pPr>
      <w:r w:rsidRPr="006414E6">
        <w:rPr>
          <w:rFonts w:cs="Times New Roman"/>
        </w:rPr>
        <w:t xml:space="preserve">Obzirom na ambiciozni impuls koji donosi novi Europski zeleni plan iz 2019. godine, </w:t>
      </w:r>
      <w:r w:rsidR="000107FD" w:rsidRPr="006414E6">
        <w:rPr>
          <w:rFonts w:cs="Times New Roman"/>
        </w:rPr>
        <w:t xml:space="preserve">slijedeća revizija </w:t>
      </w:r>
      <w:proofErr w:type="spellStart"/>
      <w:r w:rsidR="006F570A" w:rsidRPr="006414E6">
        <w:rPr>
          <w:rFonts w:cs="Times New Roman"/>
        </w:rPr>
        <w:t>N</w:t>
      </w:r>
      <w:r w:rsidR="000107FD" w:rsidRPr="006414E6">
        <w:rPr>
          <w:rFonts w:cs="Times New Roman"/>
        </w:rPr>
        <w:t>iskougljične</w:t>
      </w:r>
      <w:proofErr w:type="spellEnd"/>
      <w:r w:rsidR="000107FD" w:rsidRPr="006414E6">
        <w:rPr>
          <w:rFonts w:cs="Times New Roman"/>
        </w:rPr>
        <w:t xml:space="preserve"> strategije analizirat će </w:t>
      </w:r>
      <w:r w:rsidRPr="006414E6">
        <w:rPr>
          <w:rFonts w:cs="Times New Roman"/>
        </w:rPr>
        <w:t>mogućnost postignuća neto n</w:t>
      </w:r>
      <w:r w:rsidR="006F570A" w:rsidRPr="006414E6">
        <w:rPr>
          <w:rFonts w:cs="Times New Roman"/>
        </w:rPr>
        <w:t xml:space="preserve">ulte </w:t>
      </w:r>
      <w:r w:rsidRPr="006414E6">
        <w:rPr>
          <w:rFonts w:cs="Times New Roman"/>
        </w:rPr>
        <w:t xml:space="preserve"> emisije stakleničkih plinova do 2050. godine, a s tim u vezi i moguće povećanje ambicije</w:t>
      </w:r>
      <w:r w:rsidR="000107FD" w:rsidRPr="006414E6">
        <w:rPr>
          <w:rFonts w:cs="Times New Roman"/>
        </w:rPr>
        <w:t xml:space="preserve"> i </w:t>
      </w:r>
      <w:r w:rsidRPr="006414E6">
        <w:rPr>
          <w:rFonts w:cs="Times New Roman"/>
        </w:rPr>
        <w:t>do 2030</w:t>
      </w:r>
      <w:r w:rsidR="000107FD" w:rsidRPr="006414E6">
        <w:rPr>
          <w:rFonts w:cs="Times New Roman"/>
        </w:rPr>
        <w:t xml:space="preserve">. godine. </w:t>
      </w:r>
    </w:p>
    <w:p w14:paraId="1209FA9B" w14:textId="77777777" w:rsidR="005464A7" w:rsidRPr="006414E6" w:rsidRDefault="001241B9" w:rsidP="00EE3488">
      <w:pPr>
        <w:pStyle w:val="Heading2"/>
      </w:pPr>
      <w:bookmarkStart w:id="191" w:name="_Toc39133271"/>
      <w:r w:rsidRPr="006414E6">
        <w:t>3</w:t>
      </w:r>
      <w:r w:rsidR="005464A7" w:rsidRPr="006414E6">
        <w:t>.3.</w:t>
      </w:r>
      <w:r w:rsidR="005464A7" w:rsidRPr="006414E6">
        <w:tab/>
        <w:t>TREND RAZVOJA</w:t>
      </w:r>
      <w:bookmarkEnd w:id="191"/>
      <w:r w:rsidR="005464A7" w:rsidRPr="006414E6">
        <w:t xml:space="preserve">  </w:t>
      </w:r>
    </w:p>
    <w:p w14:paraId="59BEF456" w14:textId="77777777" w:rsidR="0064315E" w:rsidRPr="006414E6" w:rsidRDefault="0064315E" w:rsidP="00EE3488">
      <w:pPr>
        <w:pStyle w:val="Heading3"/>
      </w:pPr>
      <w:bookmarkStart w:id="192" w:name="_Toc39133272"/>
      <w:r w:rsidRPr="006414E6">
        <w:t>3.3.1.</w:t>
      </w:r>
      <w:r w:rsidRPr="006414E6">
        <w:tab/>
        <w:t>Makroekonomski parametri</w:t>
      </w:r>
      <w:bookmarkEnd w:id="192"/>
      <w:r w:rsidRPr="006414E6">
        <w:t xml:space="preserve"> </w:t>
      </w:r>
    </w:p>
    <w:p w14:paraId="458E7183" w14:textId="77777777" w:rsidR="000E0737" w:rsidRPr="006414E6" w:rsidRDefault="000E0737" w:rsidP="000E0737">
      <w:pPr>
        <w:rPr>
          <w:rFonts w:cs="Times New Roman"/>
          <w:u w:val="single"/>
        </w:rPr>
      </w:pPr>
      <w:bookmarkStart w:id="193" w:name="_Toc475714725"/>
      <w:bookmarkStart w:id="194" w:name="_Toc475716138"/>
      <w:bookmarkStart w:id="195" w:name="_Toc476226512"/>
      <w:bookmarkStart w:id="196" w:name="_Toc477868479"/>
      <w:bookmarkStart w:id="197" w:name="_Toc478995877"/>
      <w:bookmarkStart w:id="198" w:name="_Toc484158981"/>
      <w:r w:rsidRPr="006414E6">
        <w:rPr>
          <w:rFonts w:cs="Times New Roman"/>
          <w:u w:val="single"/>
        </w:rPr>
        <w:t>Broj stanovnika i stopa rasta bruto domaćeg proizvoda</w:t>
      </w:r>
      <w:bookmarkEnd w:id="193"/>
      <w:bookmarkEnd w:id="194"/>
      <w:bookmarkEnd w:id="195"/>
      <w:bookmarkEnd w:id="196"/>
      <w:bookmarkEnd w:id="197"/>
      <w:bookmarkEnd w:id="198"/>
    </w:p>
    <w:p w14:paraId="5DF6CF8E" w14:textId="77777777" w:rsidR="00A276F8" w:rsidRPr="006414E6" w:rsidRDefault="00A276F8" w:rsidP="00A276F8">
      <w:pPr>
        <w:rPr>
          <w:rFonts w:cs="Times New Roman"/>
        </w:rPr>
      </w:pPr>
      <w:r w:rsidRPr="006414E6">
        <w:rPr>
          <w:rFonts w:cs="Times New Roman"/>
        </w:rPr>
        <w:lastRenderedPageBreak/>
        <w:t xml:space="preserve">Broj i sastav stanovništva prema različitim demografskim i </w:t>
      </w:r>
      <w:proofErr w:type="spellStart"/>
      <w:r w:rsidRPr="006414E6">
        <w:rPr>
          <w:rFonts w:cs="Times New Roman"/>
        </w:rPr>
        <w:t>socio</w:t>
      </w:r>
      <w:proofErr w:type="spellEnd"/>
      <w:r w:rsidRPr="006414E6">
        <w:rPr>
          <w:rFonts w:cs="Times New Roman"/>
        </w:rPr>
        <w:t>-gospodarskim obilježjima čini temeljnu odrednicu sadašnjeg i predvidivog društvenog i gospodarskog rasta i razvoja.</w:t>
      </w:r>
      <w:r w:rsidR="00784CDC" w:rsidRPr="006414E6">
        <w:rPr>
          <w:rFonts w:cs="Times New Roman"/>
        </w:rPr>
        <w:t xml:space="preserve"> </w:t>
      </w:r>
      <w:r w:rsidRPr="006414E6">
        <w:rPr>
          <w:rFonts w:cs="Times New Roman"/>
        </w:rPr>
        <w:t>Stanovništvo je temeljni čimbenik koji svojom aktivnošću mijenja društvene, gospodarske,</w:t>
      </w:r>
      <w:r w:rsidR="00784CDC" w:rsidRPr="006414E6">
        <w:rPr>
          <w:rFonts w:cs="Times New Roman"/>
        </w:rPr>
        <w:t xml:space="preserve"> </w:t>
      </w:r>
      <w:r w:rsidRPr="006414E6">
        <w:rPr>
          <w:rFonts w:cs="Times New Roman"/>
        </w:rPr>
        <w:t>socijalne, kulturne, psihološke i druge uvjete razvoja. Osobito je važno imati u vidu činjenicu</w:t>
      </w:r>
      <w:r w:rsidR="00784CDC" w:rsidRPr="006414E6">
        <w:rPr>
          <w:rFonts w:cs="Times New Roman"/>
        </w:rPr>
        <w:t xml:space="preserve"> </w:t>
      </w:r>
      <w:r w:rsidRPr="006414E6">
        <w:rPr>
          <w:rFonts w:cs="Times New Roman"/>
        </w:rPr>
        <w:t>da su demografski procesi po svojoj naravi dugoročni, koliko u nastajanju, toliko i po budućim</w:t>
      </w:r>
    </w:p>
    <w:p w14:paraId="6085521A" w14:textId="77777777" w:rsidR="00784CDC" w:rsidRPr="006414E6" w:rsidRDefault="00A276F8" w:rsidP="00A276F8">
      <w:pPr>
        <w:rPr>
          <w:rFonts w:cs="Times New Roman"/>
        </w:rPr>
      </w:pPr>
      <w:r w:rsidRPr="006414E6">
        <w:rPr>
          <w:rFonts w:cs="Times New Roman"/>
        </w:rPr>
        <w:t xml:space="preserve">učincima. U svrhu izrade projekcije potrošnje energije za potrebe izrade </w:t>
      </w:r>
      <w:r w:rsidR="00784CDC" w:rsidRPr="006414E6">
        <w:rPr>
          <w:rFonts w:cs="Times New Roman"/>
        </w:rPr>
        <w:t>E</w:t>
      </w:r>
      <w:r w:rsidRPr="006414E6">
        <w:rPr>
          <w:rFonts w:cs="Times New Roman"/>
        </w:rPr>
        <w:t>nergetske strategije</w:t>
      </w:r>
      <w:r w:rsidR="00784CDC" w:rsidRPr="006414E6">
        <w:rPr>
          <w:rFonts w:cs="Times New Roman"/>
        </w:rPr>
        <w:t xml:space="preserve"> </w:t>
      </w:r>
      <w:r w:rsidRPr="006414E6">
        <w:rPr>
          <w:rFonts w:cs="Times New Roman"/>
        </w:rPr>
        <w:t>kreirane su projekcije demografskih kretanja za Republiku Hrvatsku</w:t>
      </w:r>
      <w:r w:rsidR="00784CDC" w:rsidRPr="006414E6">
        <w:rPr>
          <w:rFonts w:cs="Times New Roman"/>
        </w:rPr>
        <w:t>. Te s</w:t>
      </w:r>
      <w:r w:rsidR="00FB14A5" w:rsidRPr="006414E6">
        <w:rPr>
          <w:rFonts w:cs="Times New Roman"/>
        </w:rPr>
        <w:t>u</w:t>
      </w:r>
      <w:r w:rsidR="00784CDC" w:rsidRPr="006414E6">
        <w:rPr>
          <w:rFonts w:cs="Times New Roman"/>
        </w:rPr>
        <w:t xml:space="preserve"> projekcije kori</w:t>
      </w:r>
      <w:r w:rsidR="00FB14A5" w:rsidRPr="006414E6">
        <w:rPr>
          <w:rFonts w:cs="Times New Roman"/>
        </w:rPr>
        <w:t>štene</w:t>
      </w:r>
      <w:r w:rsidR="00784CDC" w:rsidRPr="006414E6">
        <w:rPr>
          <w:rFonts w:cs="Times New Roman"/>
        </w:rPr>
        <w:t xml:space="preserve"> i pri analizama u ne-energetskim sektorima.</w:t>
      </w:r>
    </w:p>
    <w:p w14:paraId="51A47CD8" w14:textId="77777777" w:rsidR="00FB14A5" w:rsidRPr="006414E6" w:rsidRDefault="00FB14A5" w:rsidP="00FB14A5">
      <w:pPr>
        <w:rPr>
          <w:rFonts w:cs="Times New Roman"/>
          <w:szCs w:val="24"/>
        </w:rPr>
      </w:pPr>
      <w:r w:rsidRPr="006414E6">
        <w:rPr>
          <w:rFonts w:cs="Times New Roman"/>
          <w:szCs w:val="24"/>
        </w:rPr>
        <w:t>Pretpostavke pri izradi projekcija demografskih kretanja uključuju:</w:t>
      </w:r>
    </w:p>
    <w:p w14:paraId="40D1C1FD" w14:textId="77777777" w:rsidR="00FB14A5" w:rsidRPr="006414E6" w:rsidRDefault="00FB14A5" w:rsidP="003A2F37">
      <w:pPr>
        <w:pStyle w:val="ListParagraph"/>
        <w:numPr>
          <w:ilvl w:val="0"/>
          <w:numId w:val="17"/>
        </w:numPr>
        <w:rPr>
          <w:rFonts w:cs="Times New Roman"/>
          <w:szCs w:val="24"/>
        </w:rPr>
      </w:pPr>
      <w:r w:rsidRPr="006414E6">
        <w:rPr>
          <w:rFonts w:cs="Times New Roman"/>
          <w:szCs w:val="24"/>
        </w:rPr>
        <w:t>Porast buduće totalne stope fertiliteta u skladu s najnovijom projekcijom Populacijskog odjela UN-a</w:t>
      </w:r>
    </w:p>
    <w:p w14:paraId="4A0BE399" w14:textId="77777777" w:rsidR="00FB14A5" w:rsidRPr="006414E6" w:rsidRDefault="00FB14A5" w:rsidP="003A2F37">
      <w:pPr>
        <w:pStyle w:val="ListParagraph"/>
        <w:numPr>
          <w:ilvl w:val="0"/>
          <w:numId w:val="17"/>
        </w:numPr>
        <w:rPr>
          <w:rFonts w:cs="Times New Roman"/>
          <w:szCs w:val="24"/>
        </w:rPr>
      </w:pPr>
      <w:r w:rsidRPr="006414E6">
        <w:rPr>
          <w:rFonts w:cs="Times New Roman"/>
          <w:szCs w:val="24"/>
        </w:rPr>
        <w:t>Rast očekivanog trajanja života za oba spola</w:t>
      </w:r>
    </w:p>
    <w:p w14:paraId="45273282" w14:textId="77777777" w:rsidR="00FB14A5" w:rsidRPr="006414E6" w:rsidRDefault="00FB14A5" w:rsidP="003A2F37">
      <w:pPr>
        <w:pStyle w:val="ListParagraph"/>
        <w:numPr>
          <w:ilvl w:val="0"/>
          <w:numId w:val="17"/>
        </w:numPr>
        <w:rPr>
          <w:rFonts w:cs="Times New Roman"/>
          <w:szCs w:val="24"/>
        </w:rPr>
      </w:pPr>
      <w:r w:rsidRPr="006414E6">
        <w:rPr>
          <w:rFonts w:cs="Times New Roman"/>
          <w:szCs w:val="24"/>
        </w:rPr>
        <w:t>Usporavanje iseljavanja u inozemstvo. Nulte neto migracije od 2025.godine za županije s visokom stopom emigracije, a od 2020. godine za županije s niskom stopom emigracije.</w:t>
      </w:r>
    </w:p>
    <w:p w14:paraId="4B92870E" w14:textId="77777777" w:rsidR="006C2CF0" w:rsidRPr="006414E6" w:rsidRDefault="00784CDC" w:rsidP="00302BDA">
      <w:pPr>
        <w:rPr>
          <w:rFonts w:cs="Times New Roman"/>
        </w:rPr>
      </w:pPr>
      <w:r w:rsidRPr="006414E6">
        <w:rPr>
          <w:rFonts w:cs="Times New Roman"/>
        </w:rPr>
        <w:t>Rezultati projekcija stanovništva pokazuju značajan pad ukupnog broja stanovnika. Također, uz pad ukupnog broja stanovnika mijenja se i</w:t>
      </w:r>
      <w:r w:rsidR="00302BDA" w:rsidRPr="006414E6">
        <w:rPr>
          <w:rFonts w:cs="Times New Roman"/>
        </w:rPr>
        <w:t xml:space="preserve"> dobna struktura stanovništva prema sve manjem udjelu mladog (0-14 godina) stanovništva, stagnaciji ili blagom padu stanovništva u radnoj dobi (15-64) i konstantnom udjelu ili porastu starog stanovništva (65+). </w:t>
      </w:r>
    </w:p>
    <w:p w14:paraId="6515F533" w14:textId="77777777" w:rsidR="006C2CF0" w:rsidRPr="006414E6" w:rsidRDefault="006C2CF0" w:rsidP="00302BDA">
      <w:pPr>
        <w:rPr>
          <w:rFonts w:cs="Times New Roman"/>
        </w:rPr>
      </w:pPr>
      <w:r w:rsidRPr="006414E6">
        <w:rPr>
          <w:rFonts w:cs="Times New Roman"/>
        </w:rPr>
        <w:t>Projekcija broja stanovnika u Republici Hrvatskoj do 2050. godine prikazane su u tablici 3-</w:t>
      </w:r>
      <w:r w:rsidR="00AF1B66" w:rsidRPr="006414E6">
        <w:rPr>
          <w:rFonts w:cs="Times New Roman"/>
        </w:rPr>
        <w:t>4</w:t>
      </w:r>
      <w:r w:rsidRPr="006414E6">
        <w:rPr>
          <w:rFonts w:cs="Times New Roman"/>
        </w:rPr>
        <w:t>.</w:t>
      </w:r>
    </w:p>
    <w:p w14:paraId="5B98883B" w14:textId="77777777" w:rsidR="00156A97" w:rsidRPr="006414E6" w:rsidRDefault="00156A97" w:rsidP="00F401F7">
      <w:pPr>
        <w:pStyle w:val="Tablicanaslov"/>
        <w:spacing w:after="120"/>
        <w:rPr>
          <w:rFonts w:cs="Times New Roman"/>
          <w:i/>
          <w:sz w:val="24"/>
          <w:szCs w:val="24"/>
        </w:rPr>
      </w:pPr>
      <w:bookmarkStart w:id="199" w:name="_Toc33417113"/>
      <w:r w:rsidRPr="006414E6">
        <w:rPr>
          <w:rFonts w:cs="Times New Roman"/>
          <w:i/>
          <w:sz w:val="24"/>
          <w:szCs w:val="24"/>
        </w:rPr>
        <w:t>Tablica 3-</w:t>
      </w:r>
      <w:r w:rsidR="00AF1B66" w:rsidRPr="006414E6">
        <w:rPr>
          <w:rFonts w:cs="Times New Roman"/>
          <w:i/>
          <w:sz w:val="24"/>
          <w:szCs w:val="24"/>
        </w:rPr>
        <w:t>4</w:t>
      </w:r>
      <w:r w:rsidRPr="006414E6">
        <w:rPr>
          <w:rFonts w:cs="Times New Roman"/>
          <w:i/>
          <w:sz w:val="24"/>
          <w:szCs w:val="24"/>
        </w:rPr>
        <w:t>: Projekcija broja stanovnika u Republici Hrvatskoj do 2050. godine, tisuća stan.</w:t>
      </w:r>
      <w:bookmarkEnd w:id="199"/>
    </w:p>
    <w:tbl>
      <w:tblPr>
        <w:tblW w:w="9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14"/>
        <w:gridCol w:w="907"/>
        <w:gridCol w:w="907"/>
        <w:gridCol w:w="907"/>
        <w:gridCol w:w="907"/>
        <w:gridCol w:w="907"/>
        <w:gridCol w:w="907"/>
        <w:gridCol w:w="907"/>
        <w:gridCol w:w="907"/>
      </w:tblGrid>
      <w:tr w:rsidR="00156A97" w:rsidRPr="006414E6" w14:paraId="4752B048" w14:textId="77777777" w:rsidTr="00061CE3">
        <w:trPr>
          <w:trHeight w:val="397"/>
        </w:trPr>
        <w:tc>
          <w:tcPr>
            <w:tcW w:w="1814" w:type="dxa"/>
            <w:shd w:val="clear" w:color="auto" w:fill="F2F2F2" w:themeFill="background1" w:themeFillShade="F2"/>
            <w:vAlign w:val="center"/>
          </w:tcPr>
          <w:p w14:paraId="05AF397F"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w w:val="105"/>
              </w:rPr>
              <w:t>Dob</w:t>
            </w:r>
            <w:r w:rsidRPr="006414E6">
              <w:rPr>
                <w:rFonts w:cs="Times New Roman"/>
                <w:b/>
                <w:spacing w:val="2"/>
                <w:w w:val="105"/>
              </w:rPr>
              <w:t xml:space="preserve"> </w:t>
            </w:r>
            <w:r w:rsidRPr="006414E6">
              <w:rPr>
                <w:rFonts w:cs="Times New Roman"/>
                <w:b/>
                <w:w w:val="105"/>
              </w:rPr>
              <w:t>\</w:t>
            </w:r>
            <w:r w:rsidRPr="006414E6">
              <w:rPr>
                <w:rFonts w:cs="Times New Roman"/>
                <w:b/>
                <w:spacing w:val="2"/>
                <w:w w:val="105"/>
              </w:rPr>
              <w:t xml:space="preserve"> </w:t>
            </w:r>
            <w:r w:rsidRPr="006414E6">
              <w:rPr>
                <w:rFonts w:cs="Times New Roman"/>
                <w:b/>
                <w:spacing w:val="-2"/>
                <w:w w:val="105"/>
              </w:rPr>
              <w:t>G</w:t>
            </w:r>
            <w:r w:rsidRPr="006414E6">
              <w:rPr>
                <w:rFonts w:cs="Times New Roman"/>
                <w:b/>
                <w:spacing w:val="-1"/>
                <w:w w:val="105"/>
              </w:rPr>
              <w:t>odin</w:t>
            </w:r>
            <w:r w:rsidRPr="006414E6">
              <w:rPr>
                <w:rFonts w:cs="Times New Roman"/>
                <w:b/>
                <w:spacing w:val="-2"/>
                <w:w w:val="105"/>
              </w:rPr>
              <w:t>a</w:t>
            </w:r>
          </w:p>
        </w:tc>
        <w:tc>
          <w:tcPr>
            <w:tcW w:w="907" w:type="dxa"/>
            <w:shd w:val="clear" w:color="auto" w:fill="F2F2F2" w:themeFill="background1" w:themeFillShade="F2"/>
            <w:vAlign w:val="center"/>
          </w:tcPr>
          <w:p w14:paraId="2E3D6C7E"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2016.</w:t>
            </w:r>
          </w:p>
        </w:tc>
        <w:tc>
          <w:tcPr>
            <w:tcW w:w="907" w:type="dxa"/>
            <w:shd w:val="clear" w:color="auto" w:fill="F2F2F2" w:themeFill="background1" w:themeFillShade="F2"/>
            <w:vAlign w:val="center"/>
          </w:tcPr>
          <w:p w14:paraId="0577EFD3"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2021.</w:t>
            </w:r>
          </w:p>
        </w:tc>
        <w:tc>
          <w:tcPr>
            <w:tcW w:w="907" w:type="dxa"/>
            <w:shd w:val="clear" w:color="auto" w:fill="F2F2F2" w:themeFill="background1" w:themeFillShade="F2"/>
            <w:vAlign w:val="center"/>
          </w:tcPr>
          <w:p w14:paraId="65382128"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2026.</w:t>
            </w:r>
          </w:p>
        </w:tc>
        <w:tc>
          <w:tcPr>
            <w:tcW w:w="907" w:type="dxa"/>
            <w:shd w:val="clear" w:color="auto" w:fill="F2F2F2" w:themeFill="background1" w:themeFillShade="F2"/>
            <w:vAlign w:val="center"/>
          </w:tcPr>
          <w:p w14:paraId="355CDB84"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2031.</w:t>
            </w:r>
          </w:p>
        </w:tc>
        <w:tc>
          <w:tcPr>
            <w:tcW w:w="907" w:type="dxa"/>
            <w:shd w:val="clear" w:color="auto" w:fill="F2F2F2" w:themeFill="background1" w:themeFillShade="F2"/>
            <w:vAlign w:val="center"/>
          </w:tcPr>
          <w:p w14:paraId="465E2494"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2036.</w:t>
            </w:r>
          </w:p>
        </w:tc>
        <w:tc>
          <w:tcPr>
            <w:tcW w:w="907" w:type="dxa"/>
            <w:shd w:val="clear" w:color="auto" w:fill="F2F2F2" w:themeFill="background1" w:themeFillShade="F2"/>
            <w:vAlign w:val="center"/>
          </w:tcPr>
          <w:p w14:paraId="24AE2280"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2041.</w:t>
            </w:r>
          </w:p>
        </w:tc>
        <w:tc>
          <w:tcPr>
            <w:tcW w:w="907" w:type="dxa"/>
            <w:shd w:val="clear" w:color="auto" w:fill="F2F2F2" w:themeFill="background1" w:themeFillShade="F2"/>
            <w:vAlign w:val="center"/>
          </w:tcPr>
          <w:p w14:paraId="476E4F15"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2046.</w:t>
            </w:r>
          </w:p>
        </w:tc>
        <w:tc>
          <w:tcPr>
            <w:tcW w:w="907" w:type="dxa"/>
            <w:shd w:val="clear" w:color="auto" w:fill="F2F2F2" w:themeFill="background1" w:themeFillShade="F2"/>
            <w:vAlign w:val="center"/>
          </w:tcPr>
          <w:p w14:paraId="6DDCB683" w14:textId="77777777" w:rsidR="00156A97" w:rsidRPr="006414E6" w:rsidRDefault="00156A97"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2051.</w:t>
            </w:r>
          </w:p>
        </w:tc>
      </w:tr>
      <w:tr w:rsidR="006161AD" w:rsidRPr="006414E6" w14:paraId="74A4ADD3" w14:textId="77777777" w:rsidTr="00061CE3">
        <w:trPr>
          <w:trHeight w:val="397"/>
        </w:trPr>
        <w:tc>
          <w:tcPr>
            <w:tcW w:w="1814" w:type="dxa"/>
            <w:shd w:val="clear" w:color="auto" w:fill="F2F2F2" w:themeFill="background1" w:themeFillShade="F2"/>
            <w:vAlign w:val="center"/>
          </w:tcPr>
          <w:p w14:paraId="4A419B30" w14:textId="77777777" w:rsidR="006161AD" w:rsidRPr="006414E6" w:rsidRDefault="006161AD" w:rsidP="00061CE3">
            <w:pPr>
              <w:keepNext/>
              <w:kinsoku w:val="0"/>
              <w:overflowPunct w:val="0"/>
              <w:autoSpaceDE w:val="0"/>
              <w:autoSpaceDN w:val="0"/>
              <w:adjustRightInd w:val="0"/>
              <w:spacing w:line="240" w:lineRule="auto"/>
              <w:jc w:val="center"/>
              <w:rPr>
                <w:rFonts w:cs="Times New Roman"/>
                <w:b/>
              </w:rPr>
            </w:pPr>
            <w:r w:rsidRPr="006414E6">
              <w:rPr>
                <w:rFonts w:cs="Times New Roman"/>
                <w:b/>
                <w:spacing w:val="-1"/>
              </w:rPr>
              <w:t>0-14</w:t>
            </w:r>
          </w:p>
        </w:tc>
        <w:tc>
          <w:tcPr>
            <w:tcW w:w="907" w:type="dxa"/>
            <w:vAlign w:val="center"/>
          </w:tcPr>
          <w:p w14:paraId="51EB62E4"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594</w:t>
            </w:r>
          </w:p>
        </w:tc>
        <w:tc>
          <w:tcPr>
            <w:tcW w:w="907" w:type="dxa"/>
            <w:vAlign w:val="center"/>
          </w:tcPr>
          <w:p w14:paraId="4E3DB897"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566</w:t>
            </w:r>
          </w:p>
        </w:tc>
        <w:tc>
          <w:tcPr>
            <w:tcW w:w="907" w:type="dxa"/>
            <w:vAlign w:val="center"/>
          </w:tcPr>
          <w:p w14:paraId="30DF6B0C"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527</w:t>
            </w:r>
          </w:p>
        </w:tc>
        <w:tc>
          <w:tcPr>
            <w:tcW w:w="907" w:type="dxa"/>
            <w:vAlign w:val="center"/>
          </w:tcPr>
          <w:p w14:paraId="061A7E4F"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502</w:t>
            </w:r>
          </w:p>
        </w:tc>
        <w:tc>
          <w:tcPr>
            <w:tcW w:w="907" w:type="dxa"/>
            <w:vAlign w:val="center"/>
          </w:tcPr>
          <w:p w14:paraId="416C5319"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481</w:t>
            </w:r>
          </w:p>
        </w:tc>
        <w:tc>
          <w:tcPr>
            <w:tcW w:w="907" w:type="dxa"/>
            <w:vAlign w:val="center"/>
          </w:tcPr>
          <w:p w14:paraId="73BCBAF9"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463</w:t>
            </w:r>
          </w:p>
        </w:tc>
        <w:tc>
          <w:tcPr>
            <w:tcW w:w="907" w:type="dxa"/>
            <w:vAlign w:val="center"/>
          </w:tcPr>
          <w:p w14:paraId="2A5DDAF2"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449</w:t>
            </w:r>
          </w:p>
        </w:tc>
        <w:tc>
          <w:tcPr>
            <w:tcW w:w="907" w:type="dxa"/>
            <w:vAlign w:val="center"/>
          </w:tcPr>
          <w:p w14:paraId="6DA52C62"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436</w:t>
            </w:r>
          </w:p>
        </w:tc>
      </w:tr>
      <w:tr w:rsidR="006161AD" w:rsidRPr="006414E6" w14:paraId="1F0E02BE" w14:textId="77777777" w:rsidTr="00061CE3">
        <w:trPr>
          <w:trHeight w:val="397"/>
        </w:trPr>
        <w:tc>
          <w:tcPr>
            <w:tcW w:w="1814" w:type="dxa"/>
            <w:shd w:val="clear" w:color="auto" w:fill="F2F2F2" w:themeFill="background1" w:themeFillShade="F2"/>
            <w:vAlign w:val="center"/>
          </w:tcPr>
          <w:p w14:paraId="6CAD6C2A" w14:textId="77777777" w:rsidR="006161AD" w:rsidRPr="006414E6" w:rsidRDefault="006161AD" w:rsidP="00061CE3">
            <w:pPr>
              <w:keepNext/>
              <w:kinsoku w:val="0"/>
              <w:overflowPunct w:val="0"/>
              <w:autoSpaceDE w:val="0"/>
              <w:autoSpaceDN w:val="0"/>
              <w:adjustRightInd w:val="0"/>
              <w:spacing w:line="240" w:lineRule="auto"/>
              <w:jc w:val="center"/>
              <w:rPr>
                <w:rFonts w:cs="Times New Roman"/>
                <w:b/>
              </w:rPr>
            </w:pPr>
            <w:r w:rsidRPr="006414E6">
              <w:rPr>
                <w:rFonts w:cs="Times New Roman"/>
                <w:b/>
                <w:spacing w:val="-1"/>
              </w:rPr>
              <w:t>15-64</w:t>
            </w:r>
          </w:p>
        </w:tc>
        <w:tc>
          <w:tcPr>
            <w:tcW w:w="907" w:type="dxa"/>
            <w:vAlign w:val="center"/>
          </w:tcPr>
          <w:p w14:paraId="541B727B"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2.694</w:t>
            </w:r>
          </w:p>
        </w:tc>
        <w:tc>
          <w:tcPr>
            <w:tcW w:w="907" w:type="dxa"/>
            <w:vAlign w:val="center"/>
          </w:tcPr>
          <w:p w14:paraId="3C03AFD3"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2.513</w:t>
            </w:r>
          </w:p>
        </w:tc>
        <w:tc>
          <w:tcPr>
            <w:tcW w:w="907" w:type="dxa"/>
            <w:vAlign w:val="center"/>
          </w:tcPr>
          <w:p w14:paraId="747D1501"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2.373</w:t>
            </w:r>
          </w:p>
        </w:tc>
        <w:tc>
          <w:tcPr>
            <w:tcW w:w="907" w:type="dxa"/>
            <w:vAlign w:val="center"/>
          </w:tcPr>
          <w:p w14:paraId="7D9BC204"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2.263</w:t>
            </w:r>
          </w:p>
        </w:tc>
        <w:tc>
          <w:tcPr>
            <w:tcW w:w="907" w:type="dxa"/>
            <w:vAlign w:val="center"/>
          </w:tcPr>
          <w:p w14:paraId="5B6F20FE"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2.168</w:t>
            </w:r>
          </w:p>
        </w:tc>
        <w:tc>
          <w:tcPr>
            <w:tcW w:w="907" w:type="dxa"/>
            <w:vAlign w:val="center"/>
          </w:tcPr>
          <w:p w14:paraId="51518EC2"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2.074</w:t>
            </w:r>
          </w:p>
        </w:tc>
        <w:tc>
          <w:tcPr>
            <w:tcW w:w="907" w:type="dxa"/>
            <w:vAlign w:val="center"/>
          </w:tcPr>
          <w:p w14:paraId="40DE8430"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1.971</w:t>
            </w:r>
          </w:p>
        </w:tc>
        <w:tc>
          <w:tcPr>
            <w:tcW w:w="907" w:type="dxa"/>
            <w:vAlign w:val="center"/>
          </w:tcPr>
          <w:p w14:paraId="33820BDE"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1.874</w:t>
            </w:r>
          </w:p>
        </w:tc>
      </w:tr>
      <w:tr w:rsidR="006161AD" w:rsidRPr="006414E6" w14:paraId="204E54CE" w14:textId="77777777" w:rsidTr="00061CE3">
        <w:trPr>
          <w:trHeight w:val="397"/>
        </w:trPr>
        <w:tc>
          <w:tcPr>
            <w:tcW w:w="1814" w:type="dxa"/>
            <w:tcBorders>
              <w:bottom w:val="double" w:sz="4" w:space="0" w:color="000000"/>
            </w:tcBorders>
            <w:shd w:val="clear" w:color="auto" w:fill="F2F2F2" w:themeFill="background1" w:themeFillShade="F2"/>
            <w:vAlign w:val="center"/>
          </w:tcPr>
          <w:p w14:paraId="778BE440" w14:textId="77777777" w:rsidR="006161AD" w:rsidRPr="006414E6" w:rsidRDefault="006161AD" w:rsidP="00061CE3">
            <w:pPr>
              <w:keepNext/>
              <w:kinsoku w:val="0"/>
              <w:overflowPunct w:val="0"/>
              <w:autoSpaceDE w:val="0"/>
              <w:autoSpaceDN w:val="0"/>
              <w:adjustRightInd w:val="0"/>
              <w:spacing w:line="240" w:lineRule="auto"/>
              <w:jc w:val="center"/>
              <w:rPr>
                <w:rFonts w:cs="Times New Roman"/>
                <w:b/>
              </w:rPr>
            </w:pPr>
            <w:r w:rsidRPr="006414E6">
              <w:rPr>
                <w:rFonts w:cs="Times New Roman"/>
                <w:b/>
              </w:rPr>
              <w:t>65+</w:t>
            </w:r>
          </w:p>
        </w:tc>
        <w:tc>
          <w:tcPr>
            <w:tcW w:w="907" w:type="dxa"/>
            <w:tcBorders>
              <w:bottom w:val="double" w:sz="4" w:space="0" w:color="000000"/>
            </w:tcBorders>
            <w:vAlign w:val="center"/>
          </w:tcPr>
          <w:p w14:paraId="4CC0520D"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811</w:t>
            </w:r>
          </w:p>
        </w:tc>
        <w:tc>
          <w:tcPr>
            <w:tcW w:w="907" w:type="dxa"/>
            <w:tcBorders>
              <w:bottom w:val="double" w:sz="4" w:space="0" w:color="000000"/>
            </w:tcBorders>
            <w:vAlign w:val="center"/>
          </w:tcPr>
          <w:p w14:paraId="09189EA8"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875</w:t>
            </w:r>
          </w:p>
        </w:tc>
        <w:tc>
          <w:tcPr>
            <w:tcW w:w="907" w:type="dxa"/>
            <w:tcBorders>
              <w:bottom w:val="double" w:sz="4" w:space="0" w:color="000000"/>
            </w:tcBorders>
            <w:vAlign w:val="center"/>
          </w:tcPr>
          <w:p w14:paraId="108B5605"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933</w:t>
            </w:r>
          </w:p>
        </w:tc>
        <w:tc>
          <w:tcPr>
            <w:tcW w:w="907" w:type="dxa"/>
            <w:tcBorders>
              <w:bottom w:val="double" w:sz="4" w:space="0" w:color="000000"/>
            </w:tcBorders>
            <w:vAlign w:val="center"/>
          </w:tcPr>
          <w:p w14:paraId="4C6FC021"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972</w:t>
            </w:r>
          </w:p>
        </w:tc>
        <w:tc>
          <w:tcPr>
            <w:tcW w:w="907" w:type="dxa"/>
            <w:tcBorders>
              <w:bottom w:val="double" w:sz="4" w:space="0" w:color="000000"/>
            </w:tcBorders>
            <w:vAlign w:val="center"/>
          </w:tcPr>
          <w:p w14:paraId="762A824F"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977</w:t>
            </w:r>
          </w:p>
        </w:tc>
        <w:tc>
          <w:tcPr>
            <w:tcW w:w="907" w:type="dxa"/>
            <w:tcBorders>
              <w:bottom w:val="double" w:sz="4" w:space="0" w:color="000000"/>
            </w:tcBorders>
            <w:vAlign w:val="center"/>
          </w:tcPr>
          <w:p w14:paraId="57D6061C"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970</w:t>
            </w:r>
          </w:p>
        </w:tc>
        <w:tc>
          <w:tcPr>
            <w:tcW w:w="907" w:type="dxa"/>
            <w:tcBorders>
              <w:bottom w:val="double" w:sz="4" w:space="0" w:color="000000"/>
            </w:tcBorders>
            <w:vAlign w:val="center"/>
          </w:tcPr>
          <w:p w14:paraId="48B5524A"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969</w:t>
            </w:r>
          </w:p>
        </w:tc>
        <w:tc>
          <w:tcPr>
            <w:tcW w:w="907" w:type="dxa"/>
            <w:tcBorders>
              <w:bottom w:val="double" w:sz="4" w:space="0" w:color="000000"/>
            </w:tcBorders>
            <w:vAlign w:val="center"/>
          </w:tcPr>
          <w:p w14:paraId="6F22ACDC" w14:textId="77777777" w:rsidR="006161AD" w:rsidRPr="006414E6" w:rsidRDefault="006161AD" w:rsidP="00330390">
            <w:pPr>
              <w:keepNext/>
              <w:kinsoku w:val="0"/>
              <w:overflowPunct w:val="0"/>
              <w:autoSpaceDE w:val="0"/>
              <w:autoSpaceDN w:val="0"/>
              <w:adjustRightInd w:val="0"/>
              <w:spacing w:line="240" w:lineRule="auto"/>
              <w:jc w:val="center"/>
              <w:rPr>
                <w:rFonts w:cs="Times New Roman"/>
              </w:rPr>
            </w:pPr>
            <w:r w:rsidRPr="006414E6">
              <w:rPr>
                <w:rFonts w:cs="Times New Roman"/>
              </w:rPr>
              <w:t>962</w:t>
            </w:r>
          </w:p>
        </w:tc>
      </w:tr>
      <w:tr w:rsidR="006161AD" w:rsidRPr="006414E6" w14:paraId="0A0FC3E0" w14:textId="77777777" w:rsidTr="00061CE3">
        <w:trPr>
          <w:trHeight w:val="397"/>
        </w:trPr>
        <w:tc>
          <w:tcPr>
            <w:tcW w:w="1814" w:type="dxa"/>
            <w:tcBorders>
              <w:top w:val="double" w:sz="4" w:space="0" w:color="000000"/>
            </w:tcBorders>
            <w:shd w:val="clear" w:color="auto" w:fill="F2F2F2" w:themeFill="background1" w:themeFillShade="F2"/>
            <w:vAlign w:val="center"/>
          </w:tcPr>
          <w:p w14:paraId="7818376D" w14:textId="77777777" w:rsidR="006161AD" w:rsidRPr="006414E6" w:rsidRDefault="006161AD" w:rsidP="00061CE3">
            <w:pPr>
              <w:keepNext/>
              <w:kinsoku w:val="0"/>
              <w:overflowPunct w:val="0"/>
              <w:autoSpaceDE w:val="0"/>
              <w:autoSpaceDN w:val="0"/>
              <w:adjustRightInd w:val="0"/>
              <w:spacing w:line="240" w:lineRule="auto"/>
              <w:jc w:val="center"/>
              <w:rPr>
                <w:rFonts w:cs="Times New Roman"/>
                <w:b/>
              </w:rPr>
            </w:pPr>
            <w:r w:rsidRPr="006414E6">
              <w:rPr>
                <w:rFonts w:cs="Times New Roman"/>
                <w:b/>
                <w:w w:val="110"/>
              </w:rPr>
              <w:t>Ukupno</w:t>
            </w:r>
          </w:p>
        </w:tc>
        <w:tc>
          <w:tcPr>
            <w:tcW w:w="907" w:type="dxa"/>
            <w:tcBorders>
              <w:top w:val="double" w:sz="4" w:space="0" w:color="000000"/>
            </w:tcBorders>
            <w:vAlign w:val="center"/>
          </w:tcPr>
          <w:p w14:paraId="54135392" w14:textId="77777777" w:rsidR="006161AD" w:rsidRPr="006414E6" w:rsidRDefault="006161AD"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4.099</w:t>
            </w:r>
          </w:p>
        </w:tc>
        <w:tc>
          <w:tcPr>
            <w:tcW w:w="907" w:type="dxa"/>
            <w:tcBorders>
              <w:top w:val="double" w:sz="4" w:space="0" w:color="000000"/>
            </w:tcBorders>
            <w:vAlign w:val="center"/>
          </w:tcPr>
          <w:p w14:paraId="0479F55D" w14:textId="77777777" w:rsidR="006161AD" w:rsidRPr="006414E6" w:rsidRDefault="006161AD"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3.955</w:t>
            </w:r>
          </w:p>
        </w:tc>
        <w:tc>
          <w:tcPr>
            <w:tcW w:w="907" w:type="dxa"/>
            <w:tcBorders>
              <w:top w:val="double" w:sz="4" w:space="0" w:color="000000"/>
            </w:tcBorders>
            <w:vAlign w:val="center"/>
          </w:tcPr>
          <w:p w14:paraId="55C6A4C9" w14:textId="77777777" w:rsidR="006161AD" w:rsidRPr="006414E6" w:rsidRDefault="006161AD"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3.834</w:t>
            </w:r>
          </w:p>
        </w:tc>
        <w:tc>
          <w:tcPr>
            <w:tcW w:w="907" w:type="dxa"/>
            <w:tcBorders>
              <w:top w:val="double" w:sz="4" w:space="0" w:color="000000"/>
            </w:tcBorders>
            <w:vAlign w:val="center"/>
          </w:tcPr>
          <w:p w14:paraId="40AC8F1B" w14:textId="77777777" w:rsidR="006161AD" w:rsidRPr="006414E6" w:rsidRDefault="006161AD"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3.736</w:t>
            </w:r>
          </w:p>
        </w:tc>
        <w:tc>
          <w:tcPr>
            <w:tcW w:w="907" w:type="dxa"/>
            <w:tcBorders>
              <w:top w:val="double" w:sz="4" w:space="0" w:color="000000"/>
            </w:tcBorders>
            <w:vAlign w:val="center"/>
          </w:tcPr>
          <w:p w14:paraId="36FAE1B7" w14:textId="77777777" w:rsidR="006161AD" w:rsidRPr="006414E6" w:rsidRDefault="006161AD"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3.626</w:t>
            </w:r>
          </w:p>
        </w:tc>
        <w:tc>
          <w:tcPr>
            <w:tcW w:w="907" w:type="dxa"/>
            <w:tcBorders>
              <w:top w:val="double" w:sz="4" w:space="0" w:color="000000"/>
            </w:tcBorders>
            <w:vAlign w:val="center"/>
          </w:tcPr>
          <w:p w14:paraId="51B1FA54" w14:textId="77777777" w:rsidR="006161AD" w:rsidRPr="006414E6" w:rsidRDefault="006161AD"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3.508</w:t>
            </w:r>
          </w:p>
        </w:tc>
        <w:tc>
          <w:tcPr>
            <w:tcW w:w="907" w:type="dxa"/>
            <w:tcBorders>
              <w:top w:val="double" w:sz="4" w:space="0" w:color="000000"/>
            </w:tcBorders>
            <w:vAlign w:val="center"/>
          </w:tcPr>
          <w:p w14:paraId="33DD41FB" w14:textId="77777777" w:rsidR="006161AD" w:rsidRPr="006414E6" w:rsidRDefault="006161AD"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3.389</w:t>
            </w:r>
          </w:p>
        </w:tc>
        <w:tc>
          <w:tcPr>
            <w:tcW w:w="907" w:type="dxa"/>
            <w:tcBorders>
              <w:top w:val="double" w:sz="4" w:space="0" w:color="000000"/>
            </w:tcBorders>
            <w:vAlign w:val="center"/>
          </w:tcPr>
          <w:p w14:paraId="4A390F60" w14:textId="77777777" w:rsidR="006161AD" w:rsidRPr="006414E6" w:rsidRDefault="006161AD" w:rsidP="00330390">
            <w:pPr>
              <w:keepNext/>
              <w:kinsoku w:val="0"/>
              <w:overflowPunct w:val="0"/>
              <w:autoSpaceDE w:val="0"/>
              <w:autoSpaceDN w:val="0"/>
              <w:adjustRightInd w:val="0"/>
              <w:spacing w:line="240" w:lineRule="auto"/>
              <w:jc w:val="center"/>
              <w:rPr>
                <w:rFonts w:cs="Times New Roman"/>
                <w:b/>
              </w:rPr>
            </w:pPr>
            <w:r w:rsidRPr="006414E6">
              <w:rPr>
                <w:rFonts w:cs="Times New Roman"/>
                <w:b/>
              </w:rPr>
              <w:t>3.272</w:t>
            </w:r>
          </w:p>
        </w:tc>
      </w:tr>
    </w:tbl>
    <w:p w14:paraId="5D65E325" w14:textId="77777777" w:rsidR="006161AD" w:rsidRPr="006414E6" w:rsidRDefault="007E7724" w:rsidP="006161AD">
      <w:pPr>
        <w:rPr>
          <w:rFonts w:cs="Times New Roman"/>
        </w:rPr>
      </w:pPr>
      <w:r w:rsidRPr="006414E6">
        <w:rPr>
          <w:rFonts w:cs="Times New Roman"/>
        </w:rPr>
        <w:t>P</w:t>
      </w:r>
      <w:r w:rsidR="006161AD" w:rsidRPr="006414E6">
        <w:rPr>
          <w:rFonts w:cs="Times New Roman"/>
        </w:rPr>
        <w:t>rojekcije gospodarskih kretanja u razdoblju do 2050. godine</w:t>
      </w:r>
      <w:r w:rsidRPr="006414E6">
        <w:rPr>
          <w:rFonts w:cs="Times New Roman"/>
        </w:rPr>
        <w:t xml:space="preserve"> uključuju </w:t>
      </w:r>
      <w:r w:rsidR="006161AD" w:rsidRPr="006414E6">
        <w:rPr>
          <w:rFonts w:cs="Times New Roman"/>
        </w:rPr>
        <w:t>projekcije bruto domaćeg proizvoda (dalje</w:t>
      </w:r>
      <w:r w:rsidRPr="006414E6">
        <w:rPr>
          <w:rFonts w:cs="Times New Roman"/>
        </w:rPr>
        <w:t xml:space="preserve"> </w:t>
      </w:r>
      <w:r w:rsidR="006161AD" w:rsidRPr="006414E6">
        <w:rPr>
          <w:rFonts w:cs="Times New Roman"/>
        </w:rPr>
        <w:t>u tekstu: BDP</w:t>
      </w:r>
      <w:r w:rsidRPr="006414E6">
        <w:rPr>
          <w:rFonts w:cs="Times New Roman"/>
        </w:rPr>
        <w:t xml:space="preserve">) i </w:t>
      </w:r>
      <w:r w:rsidR="006161AD" w:rsidRPr="006414E6">
        <w:rPr>
          <w:rFonts w:cs="Times New Roman"/>
        </w:rPr>
        <w:t>bruto dodane vrijednosti (dalje u tekstu:</w:t>
      </w:r>
      <w:r w:rsidRPr="006414E6">
        <w:rPr>
          <w:rFonts w:cs="Times New Roman"/>
        </w:rPr>
        <w:t xml:space="preserve"> </w:t>
      </w:r>
      <w:r w:rsidR="006161AD" w:rsidRPr="006414E6">
        <w:rPr>
          <w:rFonts w:cs="Times New Roman"/>
        </w:rPr>
        <w:t xml:space="preserve">BDV) </w:t>
      </w:r>
      <w:r w:rsidRPr="006414E6">
        <w:rPr>
          <w:rFonts w:cs="Times New Roman"/>
        </w:rPr>
        <w:t>R</w:t>
      </w:r>
      <w:r w:rsidR="006161AD" w:rsidRPr="006414E6">
        <w:rPr>
          <w:rFonts w:cs="Times New Roman"/>
        </w:rPr>
        <w:t>epublike Hrvatske po sektorima djelatnosti: industrija,</w:t>
      </w:r>
      <w:r w:rsidRPr="006414E6">
        <w:rPr>
          <w:rFonts w:cs="Times New Roman"/>
        </w:rPr>
        <w:t xml:space="preserve"> </w:t>
      </w:r>
      <w:r w:rsidR="006161AD" w:rsidRPr="006414E6">
        <w:rPr>
          <w:rFonts w:cs="Times New Roman"/>
        </w:rPr>
        <w:t xml:space="preserve">poljoprivreda, </w:t>
      </w:r>
      <w:r w:rsidRPr="006414E6">
        <w:rPr>
          <w:rFonts w:cs="Times New Roman"/>
        </w:rPr>
        <w:t>promet</w:t>
      </w:r>
      <w:r w:rsidR="006161AD" w:rsidRPr="006414E6">
        <w:rPr>
          <w:rFonts w:cs="Times New Roman"/>
        </w:rPr>
        <w:t xml:space="preserve">, </w:t>
      </w:r>
      <w:r w:rsidRPr="006414E6">
        <w:rPr>
          <w:rFonts w:cs="Times New Roman"/>
        </w:rPr>
        <w:t>kućanstva, usluge (</w:t>
      </w:r>
      <w:r w:rsidR="006161AD" w:rsidRPr="006414E6">
        <w:rPr>
          <w:rFonts w:cs="Times New Roman"/>
        </w:rPr>
        <w:t>hoteli i restorani</w:t>
      </w:r>
      <w:r w:rsidRPr="006414E6">
        <w:rPr>
          <w:rFonts w:cs="Times New Roman"/>
        </w:rPr>
        <w:t>)</w:t>
      </w:r>
      <w:r w:rsidR="0084534A" w:rsidRPr="006414E6">
        <w:rPr>
          <w:rFonts w:cs="Times New Roman"/>
        </w:rPr>
        <w:t xml:space="preserve"> i</w:t>
      </w:r>
      <w:r w:rsidR="006161AD" w:rsidRPr="006414E6">
        <w:rPr>
          <w:rFonts w:cs="Times New Roman"/>
        </w:rPr>
        <w:t xml:space="preserve"> ostale usluge. Polazna godina za</w:t>
      </w:r>
      <w:r w:rsidRPr="006414E6">
        <w:rPr>
          <w:rFonts w:cs="Times New Roman"/>
        </w:rPr>
        <w:t xml:space="preserve"> projekcije je </w:t>
      </w:r>
      <w:r w:rsidR="006161AD" w:rsidRPr="006414E6">
        <w:rPr>
          <w:rFonts w:cs="Times New Roman"/>
        </w:rPr>
        <w:t>2016. Prognostičke vrijednosti za BDP prikazane su u stalnim cijenama iz 2010.</w:t>
      </w:r>
      <w:r w:rsidRPr="006414E6">
        <w:rPr>
          <w:rFonts w:cs="Times New Roman"/>
        </w:rPr>
        <w:t xml:space="preserve"> </w:t>
      </w:r>
      <w:r w:rsidR="006161AD" w:rsidRPr="006414E6">
        <w:rPr>
          <w:rFonts w:cs="Times New Roman"/>
        </w:rPr>
        <w:t>godine</w:t>
      </w:r>
      <w:r w:rsidRPr="006414E6">
        <w:rPr>
          <w:rFonts w:cs="Times New Roman"/>
        </w:rPr>
        <w:t xml:space="preserve"> (tablica 3-</w:t>
      </w:r>
      <w:r w:rsidR="00AF1B66" w:rsidRPr="006414E6">
        <w:rPr>
          <w:rFonts w:cs="Times New Roman"/>
        </w:rPr>
        <w:t>5</w:t>
      </w:r>
      <w:r w:rsidRPr="006414E6">
        <w:rPr>
          <w:rFonts w:cs="Times New Roman"/>
        </w:rPr>
        <w:t>).</w:t>
      </w:r>
    </w:p>
    <w:p w14:paraId="1837B25D" w14:textId="77777777" w:rsidR="007E7724" w:rsidRPr="006414E6" w:rsidRDefault="007E7724" w:rsidP="00F401F7">
      <w:pPr>
        <w:pStyle w:val="Tablicanaslov"/>
        <w:spacing w:after="120"/>
        <w:rPr>
          <w:rFonts w:cs="Times New Roman"/>
          <w:i/>
          <w:sz w:val="24"/>
          <w:szCs w:val="24"/>
        </w:rPr>
      </w:pPr>
      <w:bookmarkStart w:id="200" w:name="_Toc33417114"/>
      <w:r w:rsidRPr="006414E6">
        <w:rPr>
          <w:rFonts w:cs="Times New Roman"/>
          <w:i/>
          <w:sz w:val="24"/>
          <w:szCs w:val="24"/>
        </w:rPr>
        <w:t>Tablica 3-</w:t>
      </w:r>
      <w:r w:rsidR="00AF1B66" w:rsidRPr="006414E6">
        <w:rPr>
          <w:rFonts w:cs="Times New Roman"/>
          <w:i/>
          <w:sz w:val="24"/>
          <w:szCs w:val="24"/>
        </w:rPr>
        <w:t>5</w:t>
      </w:r>
      <w:r w:rsidRPr="006414E6">
        <w:rPr>
          <w:rFonts w:cs="Times New Roman"/>
          <w:i/>
          <w:sz w:val="24"/>
          <w:szCs w:val="24"/>
        </w:rPr>
        <w:t>: Projekcija ekonomskih parametara</w:t>
      </w:r>
      <w:bookmarkEnd w:id="200"/>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52"/>
        <w:gridCol w:w="964"/>
        <w:gridCol w:w="964"/>
        <w:gridCol w:w="964"/>
        <w:gridCol w:w="964"/>
        <w:gridCol w:w="964"/>
      </w:tblGrid>
      <w:tr w:rsidR="00276260" w:rsidRPr="006414E6" w14:paraId="4EDE1025" w14:textId="77777777" w:rsidTr="00DD0FF2">
        <w:trPr>
          <w:trHeight w:val="397"/>
        </w:trPr>
        <w:tc>
          <w:tcPr>
            <w:tcW w:w="4252" w:type="dxa"/>
            <w:shd w:val="clear" w:color="auto" w:fill="F2F2F2" w:themeFill="background1" w:themeFillShade="F2"/>
            <w:vAlign w:val="center"/>
          </w:tcPr>
          <w:p w14:paraId="2BC25342" w14:textId="77777777" w:rsidR="00276260" w:rsidRPr="006414E6" w:rsidRDefault="00276260" w:rsidP="00AF1B66">
            <w:pPr>
              <w:keepNext/>
              <w:kinsoku w:val="0"/>
              <w:overflowPunct w:val="0"/>
              <w:autoSpaceDE w:val="0"/>
              <w:autoSpaceDN w:val="0"/>
              <w:adjustRightInd w:val="0"/>
              <w:spacing w:line="240" w:lineRule="auto"/>
              <w:jc w:val="center"/>
              <w:rPr>
                <w:rFonts w:cs="Times New Roman"/>
                <w:b/>
              </w:rPr>
            </w:pPr>
            <w:r w:rsidRPr="006414E6">
              <w:rPr>
                <w:rFonts w:cs="Times New Roman"/>
                <w:b/>
                <w:w w:val="105"/>
              </w:rPr>
              <w:t>Ekonomski</w:t>
            </w:r>
            <w:r w:rsidRPr="006414E6">
              <w:rPr>
                <w:rFonts w:cs="Times New Roman"/>
                <w:b/>
                <w:spacing w:val="46"/>
                <w:w w:val="105"/>
              </w:rPr>
              <w:t xml:space="preserve"> </w:t>
            </w:r>
            <w:r w:rsidRPr="006414E6">
              <w:rPr>
                <w:rFonts w:cs="Times New Roman"/>
                <w:b/>
                <w:w w:val="105"/>
              </w:rPr>
              <w:t>parametri</w:t>
            </w:r>
          </w:p>
        </w:tc>
        <w:tc>
          <w:tcPr>
            <w:tcW w:w="964" w:type="dxa"/>
            <w:shd w:val="clear" w:color="auto" w:fill="F2F2F2" w:themeFill="background1" w:themeFillShade="F2"/>
            <w:vAlign w:val="center"/>
          </w:tcPr>
          <w:p w14:paraId="5900CAAA" w14:textId="77777777" w:rsidR="00276260" w:rsidRPr="006414E6" w:rsidRDefault="00276260" w:rsidP="00AF1B66">
            <w:pPr>
              <w:keepNext/>
              <w:kinsoku w:val="0"/>
              <w:overflowPunct w:val="0"/>
              <w:autoSpaceDE w:val="0"/>
              <w:autoSpaceDN w:val="0"/>
              <w:adjustRightInd w:val="0"/>
              <w:spacing w:line="240" w:lineRule="auto"/>
              <w:jc w:val="center"/>
              <w:rPr>
                <w:rFonts w:cs="Times New Roman"/>
                <w:b/>
              </w:rPr>
            </w:pPr>
            <w:r w:rsidRPr="006414E6">
              <w:rPr>
                <w:rFonts w:cs="Times New Roman"/>
                <w:b/>
              </w:rPr>
              <w:t>2016.</w:t>
            </w:r>
          </w:p>
        </w:tc>
        <w:tc>
          <w:tcPr>
            <w:tcW w:w="964" w:type="dxa"/>
            <w:shd w:val="clear" w:color="auto" w:fill="F2F2F2" w:themeFill="background1" w:themeFillShade="F2"/>
            <w:vAlign w:val="center"/>
          </w:tcPr>
          <w:p w14:paraId="0E6BC4BC" w14:textId="77777777" w:rsidR="00276260" w:rsidRPr="006414E6" w:rsidRDefault="00276260" w:rsidP="00AF1B66">
            <w:pPr>
              <w:keepNext/>
              <w:kinsoku w:val="0"/>
              <w:overflowPunct w:val="0"/>
              <w:autoSpaceDE w:val="0"/>
              <w:autoSpaceDN w:val="0"/>
              <w:adjustRightInd w:val="0"/>
              <w:spacing w:line="240" w:lineRule="auto"/>
              <w:jc w:val="center"/>
              <w:rPr>
                <w:rFonts w:cs="Times New Roman"/>
                <w:b/>
              </w:rPr>
            </w:pPr>
            <w:r w:rsidRPr="006414E6">
              <w:rPr>
                <w:rFonts w:cs="Times New Roman"/>
                <w:b/>
              </w:rPr>
              <w:t>2020.</w:t>
            </w:r>
          </w:p>
        </w:tc>
        <w:tc>
          <w:tcPr>
            <w:tcW w:w="964" w:type="dxa"/>
            <w:shd w:val="clear" w:color="auto" w:fill="F2F2F2" w:themeFill="background1" w:themeFillShade="F2"/>
            <w:vAlign w:val="center"/>
          </w:tcPr>
          <w:p w14:paraId="57672621" w14:textId="77777777" w:rsidR="00276260" w:rsidRPr="006414E6" w:rsidRDefault="00276260" w:rsidP="00AF1B66">
            <w:pPr>
              <w:keepNext/>
              <w:kinsoku w:val="0"/>
              <w:overflowPunct w:val="0"/>
              <w:autoSpaceDE w:val="0"/>
              <w:autoSpaceDN w:val="0"/>
              <w:adjustRightInd w:val="0"/>
              <w:spacing w:line="240" w:lineRule="auto"/>
              <w:jc w:val="center"/>
              <w:rPr>
                <w:rFonts w:cs="Times New Roman"/>
                <w:b/>
              </w:rPr>
            </w:pPr>
            <w:r w:rsidRPr="006414E6">
              <w:rPr>
                <w:rFonts w:cs="Times New Roman"/>
                <w:b/>
              </w:rPr>
              <w:t>2030.</w:t>
            </w:r>
          </w:p>
        </w:tc>
        <w:tc>
          <w:tcPr>
            <w:tcW w:w="964" w:type="dxa"/>
            <w:shd w:val="clear" w:color="auto" w:fill="F2F2F2" w:themeFill="background1" w:themeFillShade="F2"/>
            <w:vAlign w:val="center"/>
          </w:tcPr>
          <w:p w14:paraId="2B2EA4EB" w14:textId="77777777" w:rsidR="00276260" w:rsidRPr="006414E6" w:rsidRDefault="00276260" w:rsidP="00AF1B66">
            <w:pPr>
              <w:keepNext/>
              <w:kinsoku w:val="0"/>
              <w:overflowPunct w:val="0"/>
              <w:autoSpaceDE w:val="0"/>
              <w:autoSpaceDN w:val="0"/>
              <w:adjustRightInd w:val="0"/>
              <w:spacing w:line="240" w:lineRule="auto"/>
              <w:jc w:val="center"/>
              <w:rPr>
                <w:rFonts w:cs="Times New Roman"/>
                <w:b/>
              </w:rPr>
            </w:pPr>
            <w:r w:rsidRPr="006414E6">
              <w:rPr>
                <w:rFonts w:cs="Times New Roman"/>
                <w:b/>
              </w:rPr>
              <w:t>2040.</w:t>
            </w:r>
          </w:p>
        </w:tc>
        <w:tc>
          <w:tcPr>
            <w:tcW w:w="964" w:type="dxa"/>
            <w:shd w:val="clear" w:color="auto" w:fill="F2F2F2" w:themeFill="background1" w:themeFillShade="F2"/>
            <w:vAlign w:val="center"/>
          </w:tcPr>
          <w:p w14:paraId="3779988C" w14:textId="77777777" w:rsidR="00276260" w:rsidRPr="006414E6" w:rsidRDefault="00276260" w:rsidP="00AF1B66">
            <w:pPr>
              <w:keepNext/>
              <w:kinsoku w:val="0"/>
              <w:overflowPunct w:val="0"/>
              <w:autoSpaceDE w:val="0"/>
              <w:autoSpaceDN w:val="0"/>
              <w:adjustRightInd w:val="0"/>
              <w:spacing w:line="240" w:lineRule="auto"/>
              <w:jc w:val="center"/>
              <w:rPr>
                <w:rFonts w:cs="Times New Roman"/>
                <w:b/>
              </w:rPr>
            </w:pPr>
            <w:r w:rsidRPr="006414E6">
              <w:rPr>
                <w:rFonts w:cs="Times New Roman"/>
                <w:b/>
              </w:rPr>
              <w:t>2050.</w:t>
            </w:r>
          </w:p>
        </w:tc>
      </w:tr>
      <w:tr w:rsidR="00A779FF" w:rsidRPr="006414E6" w14:paraId="4DAEBC6C" w14:textId="77777777" w:rsidTr="00DD0FF2">
        <w:trPr>
          <w:trHeight w:val="397"/>
        </w:trPr>
        <w:tc>
          <w:tcPr>
            <w:tcW w:w="4252" w:type="dxa"/>
            <w:shd w:val="clear" w:color="auto" w:fill="F2F2F2" w:themeFill="background1" w:themeFillShade="F2"/>
            <w:vAlign w:val="center"/>
          </w:tcPr>
          <w:p w14:paraId="381E3AC0" w14:textId="77777777" w:rsidR="00A779FF" w:rsidRPr="006414E6" w:rsidRDefault="00A779FF" w:rsidP="00AF1B66">
            <w:pPr>
              <w:keepNext/>
              <w:kinsoku w:val="0"/>
              <w:overflowPunct w:val="0"/>
              <w:autoSpaceDE w:val="0"/>
              <w:autoSpaceDN w:val="0"/>
              <w:adjustRightInd w:val="0"/>
              <w:spacing w:line="240" w:lineRule="auto"/>
              <w:jc w:val="center"/>
              <w:rPr>
                <w:rFonts w:cs="Times New Roman"/>
                <w:w w:val="105"/>
              </w:rPr>
            </w:pPr>
          </w:p>
        </w:tc>
        <w:tc>
          <w:tcPr>
            <w:tcW w:w="4820" w:type="dxa"/>
            <w:gridSpan w:val="5"/>
            <w:shd w:val="clear" w:color="auto" w:fill="F2F2F2" w:themeFill="background1" w:themeFillShade="F2"/>
            <w:vAlign w:val="center"/>
          </w:tcPr>
          <w:p w14:paraId="7AC0B362" w14:textId="77777777" w:rsidR="00A779FF" w:rsidRPr="006414E6" w:rsidRDefault="00A779FF" w:rsidP="00AF1B66">
            <w:pPr>
              <w:keepNext/>
              <w:kinsoku w:val="0"/>
              <w:overflowPunct w:val="0"/>
              <w:autoSpaceDE w:val="0"/>
              <w:autoSpaceDN w:val="0"/>
              <w:adjustRightInd w:val="0"/>
              <w:spacing w:line="240" w:lineRule="auto"/>
              <w:jc w:val="center"/>
              <w:rPr>
                <w:rFonts w:cs="Times New Roman"/>
                <w:b/>
              </w:rPr>
            </w:pPr>
            <w:r w:rsidRPr="006414E6">
              <w:rPr>
                <w:rFonts w:cs="Times New Roman"/>
                <w:b/>
              </w:rPr>
              <w:t>Bazna produktivnost</w:t>
            </w:r>
          </w:p>
        </w:tc>
      </w:tr>
      <w:tr w:rsidR="00A779FF" w:rsidRPr="006414E6" w14:paraId="7E27B40E" w14:textId="77777777" w:rsidTr="00DD0FF2">
        <w:trPr>
          <w:trHeight w:val="397"/>
        </w:trPr>
        <w:tc>
          <w:tcPr>
            <w:tcW w:w="4252" w:type="dxa"/>
            <w:shd w:val="clear" w:color="auto" w:fill="F2F2F2" w:themeFill="background1" w:themeFillShade="F2"/>
            <w:vAlign w:val="center"/>
          </w:tcPr>
          <w:p w14:paraId="437F64F5" w14:textId="7EA2BFEA" w:rsidR="00A779FF" w:rsidRPr="006414E6" w:rsidRDefault="00A779FF" w:rsidP="00AF1B66">
            <w:pPr>
              <w:keepNext/>
              <w:kinsoku w:val="0"/>
              <w:overflowPunct w:val="0"/>
              <w:autoSpaceDE w:val="0"/>
              <w:autoSpaceDN w:val="0"/>
              <w:adjustRightInd w:val="0"/>
              <w:spacing w:line="240" w:lineRule="auto"/>
              <w:jc w:val="left"/>
              <w:rPr>
                <w:rFonts w:cs="Times New Roman"/>
                <w:b/>
              </w:rPr>
            </w:pPr>
            <w:r w:rsidRPr="006414E6">
              <w:rPr>
                <w:rFonts w:cs="Times New Roman"/>
              </w:rPr>
              <w:t>BDP, stalne cijene 2010., m</w:t>
            </w:r>
            <w:r w:rsidR="006F2DC0" w:rsidRPr="006414E6">
              <w:rPr>
                <w:rFonts w:cs="Times New Roman"/>
              </w:rPr>
              <w:t>ilijarde</w:t>
            </w:r>
            <w:r w:rsidRPr="006414E6">
              <w:rPr>
                <w:rFonts w:cs="Times New Roman"/>
              </w:rPr>
              <w:t xml:space="preserve"> HRK</w:t>
            </w:r>
          </w:p>
        </w:tc>
        <w:tc>
          <w:tcPr>
            <w:tcW w:w="964" w:type="dxa"/>
            <w:vAlign w:val="center"/>
          </w:tcPr>
          <w:p w14:paraId="0950F029"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335,902</w:t>
            </w:r>
          </w:p>
        </w:tc>
        <w:tc>
          <w:tcPr>
            <w:tcW w:w="964" w:type="dxa"/>
            <w:vAlign w:val="center"/>
          </w:tcPr>
          <w:p w14:paraId="011A109E"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373,595</w:t>
            </w:r>
          </w:p>
        </w:tc>
        <w:tc>
          <w:tcPr>
            <w:tcW w:w="964" w:type="dxa"/>
            <w:vAlign w:val="center"/>
          </w:tcPr>
          <w:p w14:paraId="5FFC27F5"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408,987</w:t>
            </w:r>
          </w:p>
        </w:tc>
        <w:tc>
          <w:tcPr>
            <w:tcW w:w="964" w:type="dxa"/>
            <w:vAlign w:val="center"/>
          </w:tcPr>
          <w:p w14:paraId="6795C270"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454,649</w:t>
            </w:r>
          </w:p>
        </w:tc>
        <w:tc>
          <w:tcPr>
            <w:tcW w:w="964" w:type="dxa"/>
            <w:vAlign w:val="center"/>
          </w:tcPr>
          <w:p w14:paraId="77511F39"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520,277</w:t>
            </w:r>
          </w:p>
        </w:tc>
      </w:tr>
      <w:tr w:rsidR="00A779FF" w:rsidRPr="006414E6" w14:paraId="45F51B28" w14:textId="77777777" w:rsidTr="00DD0FF2">
        <w:trPr>
          <w:trHeight w:val="397"/>
        </w:trPr>
        <w:tc>
          <w:tcPr>
            <w:tcW w:w="4252" w:type="dxa"/>
            <w:shd w:val="clear" w:color="auto" w:fill="F2F2F2" w:themeFill="background1" w:themeFillShade="F2"/>
            <w:vAlign w:val="center"/>
          </w:tcPr>
          <w:p w14:paraId="54338215" w14:textId="77777777" w:rsidR="00A779FF" w:rsidRPr="006414E6" w:rsidRDefault="00A779FF" w:rsidP="00AF1B66">
            <w:pPr>
              <w:keepNext/>
              <w:kinsoku w:val="0"/>
              <w:overflowPunct w:val="0"/>
              <w:autoSpaceDE w:val="0"/>
              <w:autoSpaceDN w:val="0"/>
              <w:adjustRightInd w:val="0"/>
              <w:spacing w:line="240" w:lineRule="auto"/>
              <w:jc w:val="left"/>
              <w:rPr>
                <w:rFonts w:cs="Times New Roman"/>
                <w:b/>
              </w:rPr>
            </w:pPr>
            <w:r w:rsidRPr="006414E6">
              <w:rPr>
                <w:rFonts w:cs="Times New Roman"/>
              </w:rPr>
              <w:t>BDP, indeks 2016. = 100</w:t>
            </w:r>
          </w:p>
        </w:tc>
        <w:tc>
          <w:tcPr>
            <w:tcW w:w="964" w:type="dxa"/>
            <w:vAlign w:val="center"/>
          </w:tcPr>
          <w:p w14:paraId="5712495A"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100,0</w:t>
            </w:r>
          </w:p>
        </w:tc>
        <w:tc>
          <w:tcPr>
            <w:tcW w:w="964" w:type="dxa"/>
            <w:vAlign w:val="center"/>
          </w:tcPr>
          <w:p w14:paraId="7394E6D8"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111,2</w:t>
            </w:r>
          </w:p>
        </w:tc>
        <w:tc>
          <w:tcPr>
            <w:tcW w:w="964" w:type="dxa"/>
            <w:vAlign w:val="center"/>
          </w:tcPr>
          <w:p w14:paraId="3268F4EA"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121,8</w:t>
            </w:r>
          </w:p>
        </w:tc>
        <w:tc>
          <w:tcPr>
            <w:tcW w:w="964" w:type="dxa"/>
            <w:vAlign w:val="center"/>
          </w:tcPr>
          <w:p w14:paraId="7F888600"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135,4</w:t>
            </w:r>
          </w:p>
        </w:tc>
        <w:tc>
          <w:tcPr>
            <w:tcW w:w="964" w:type="dxa"/>
            <w:vAlign w:val="center"/>
          </w:tcPr>
          <w:p w14:paraId="3389BBC4" w14:textId="77777777" w:rsidR="00A779FF" w:rsidRPr="006414E6" w:rsidRDefault="00A779FF" w:rsidP="00AF1B66">
            <w:pPr>
              <w:keepNext/>
              <w:kinsoku w:val="0"/>
              <w:overflowPunct w:val="0"/>
              <w:autoSpaceDE w:val="0"/>
              <w:autoSpaceDN w:val="0"/>
              <w:adjustRightInd w:val="0"/>
              <w:spacing w:line="240" w:lineRule="auto"/>
              <w:jc w:val="center"/>
              <w:rPr>
                <w:rFonts w:cs="Times New Roman"/>
              </w:rPr>
            </w:pPr>
            <w:r w:rsidRPr="006414E6">
              <w:rPr>
                <w:rFonts w:cs="Times New Roman"/>
              </w:rPr>
              <w:t>154,9</w:t>
            </w:r>
          </w:p>
        </w:tc>
      </w:tr>
      <w:tr w:rsidR="00A779FF" w:rsidRPr="006414E6" w14:paraId="18656C47" w14:textId="77777777" w:rsidTr="00DD0FF2">
        <w:trPr>
          <w:trHeight w:val="397"/>
        </w:trPr>
        <w:tc>
          <w:tcPr>
            <w:tcW w:w="4252" w:type="dxa"/>
            <w:shd w:val="clear" w:color="auto" w:fill="F2F2F2" w:themeFill="background1" w:themeFillShade="F2"/>
            <w:vAlign w:val="center"/>
          </w:tcPr>
          <w:p w14:paraId="671F95E9" w14:textId="77777777" w:rsidR="00A779FF" w:rsidRPr="006414E6" w:rsidRDefault="00A779FF" w:rsidP="00DD0FF2">
            <w:pPr>
              <w:kinsoku w:val="0"/>
              <w:overflowPunct w:val="0"/>
              <w:autoSpaceDE w:val="0"/>
              <w:autoSpaceDN w:val="0"/>
              <w:adjustRightInd w:val="0"/>
              <w:spacing w:line="240" w:lineRule="auto"/>
              <w:jc w:val="left"/>
              <w:rPr>
                <w:rFonts w:cs="Times New Roman"/>
                <w:b/>
                <w:spacing w:val="-1"/>
              </w:rPr>
            </w:pPr>
            <w:r w:rsidRPr="006414E6">
              <w:rPr>
                <w:rFonts w:cs="Times New Roman"/>
              </w:rPr>
              <w:t>BDP po stanovniku, stalne cijene 2010., tisuća HRK</w:t>
            </w:r>
          </w:p>
        </w:tc>
        <w:tc>
          <w:tcPr>
            <w:tcW w:w="964" w:type="dxa"/>
            <w:vAlign w:val="center"/>
          </w:tcPr>
          <w:p w14:paraId="41C6F751"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82</w:t>
            </w:r>
          </w:p>
        </w:tc>
        <w:tc>
          <w:tcPr>
            <w:tcW w:w="964" w:type="dxa"/>
            <w:vAlign w:val="center"/>
          </w:tcPr>
          <w:p w14:paraId="090AB8F1"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94</w:t>
            </w:r>
          </w:p>
        </w:tc>
        <w:tc>
          <w:tcPr>
            <w:tcW w:w="964" w:type="dxa"/>
            <w:vAlign w:val="center"/>
          </w:tcPr>
          <w:p w14:paraId="7B65B935"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109</w:t>
            </w:r>
          </w:p>
        </w:tc>
        <w:tc>
          <w:tcPr>
            <w:tcW w:w="964" w:type="dxa"/>
            <w:vAlign w:val="center"/>
          </w:tcPr>
          <w:p w14:paraId="087F2749"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129</w:t>
            </w:r>
          </w:p>
        </w:tc>
        <w:tc>
          <w:tcPr>
            <w:tcW w:w="964" w:type="dxa"/>
            <w:vAlign w:val="center"/>
          </w:tcPr>
          <w:p w14:paraId="1112C6E8"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158</w:t>
            </w:r>
          </w:p>
        </w:tc>
      </w:tr>
      <w:tr w:rsidR="00A779FF" w:rsidRPr="006414E6" w14:paraId="19FC28A2" w14:textId="77777777" w:rsidTr="00DD0FF2">
        <w:trPr>
          <w:trHeight w:val="397"/>
        </w:trPr>
        <w:tc>
          <w:tcPr>
            <w:tcW w:w="4252" w:type="dxa"/>
            <w:shd w:val="clear" w:color="auto" w:fill="F2F2F2" w:themeFill="background1" w:themeFillShade="F2"/>
            <w:vAlign w:val="center"/>
          </w:tcPr>
          <w:p w14:paraId="05F7A9E7" w14:textId="77777777" w:rsidR="00A779FF" w:rsidRPr="006414E6" w:rsidRDefault="00A779FF" w:rsidP="00DD0FF2">
            <w:pPr>
              <w:kinsoku w:val="0"/>
              <w:overflowPunct w:val="0"/>
              <w:autoSpaceDE w:val="0"/>
              <w:autoSpaceDN w:val="0"/>
              <w:adjustRightInd w:val="0"/>
              <w:spacing w:line="240" w:lineRule="auto"/>
              <w:jc w:val="left"/>
              <w:rPr>
                <w:rFonts w:cs="Times New Roman"/>
                <w:b/>
                <w:spacing w:val="-1"/>
              </w:rPr>
            </w:pPr>
            <w:r w:rsidRPr="006414E6">
              <w:rPr>
                <w:rFonts w:cs="Times New Roman"/>
              </w:rPr>
              <w:lastRenderedPageBreak/>
              <w:t>BDP po stanovniku, indeks 2016. = 100</w:t>
            </w:r>
          </w:p>
        </w:tc>
        <w:tc>
          <w:tcPr>
            <w:tcW w:w="964" w:type="dxa"/>
            <w:vAlign w:val="center"/>
          </w:tcPr>
          <w:p w14:paraId="093DA8AF"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100,0</w:t>
            </w:r>
          </w:p>
        </w:tc>
        <w:tc>
          <w:tcPr>
            <w:tcW w:w="964" w:type="dxa"/>
            <w:vAlign w:val="center"/>
          </w:tcPr>
          <w:p w14:paraId="1D7D0A08"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114,4</w:t>
            </w:r>
          </w:p>
        </w:tc>
        <w:tc>
          <w:tcPr>
            <w:tcW w:w="964" w:type="dxa"/>
            <w:vAlign w:val="center"/>
          </w:tcPr>
          <w:p w14:paraId="60F6A12E"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132,9</w:t>
            </w:r>
          </w:p>
        </w:tc>
        <w:tc>
          <w:tcPr>
            <w:tcW w:w="964" w:type="dxa"/>
            <w:vAlign w:val="center"/>
          </w:tcPr>
          <w:p w14:paraId="70925E77"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157,1</w:t>
            </w:r>
          </w:p>
        </w:tc>
        <w:tc>
          <w:tcPr>
            <w:tcW w:w="964" w:type="dxa"/>
            <w:vAlign w:val="center"/>
          </w:tcPr>
          <w:p w14:paraId="3A3EE5A1"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192,7</w:t>
            </w:r>
          </w:p>
        </w:tc>
      </w:tr>
      <w:tr w:rsidR="00A779FF" w:rsidRPr="006414E6" w14:paraId="636B2D6F" w14:textId="77777777" w:rsidTr="00DD0FF2">
        <w:trPr>
          <w:trHeight w:val="397"/>
        </w:trPr>
        <w:tc>
          <w:tcPr>
            <w:tcW w:w="4252" w:type="dxa"/>
            <w:shd w:val="clear" w:color="auto" w:fill="F2F2F2" w:themeFill="background1" w:themeFillShade="F2"/>
            <w:vAlign w:val="center"/>
          </w:tcPr>
          <w:p w14:paraId="79AF8BD7" w14:textId="77777777" w:rsidR="00A779FF" w:rsidRPr="006414E6" w:rsidRDefault="00A779FF" w:rsidP="00DD0FF2">
            <w:pPr>
              <w:kinsoku w:val="0"/>
              <w:overflowPunct w:val="0"/>
              <w:autoSpaceDE w:val="0"/>
              <w:autoSpaceDN w:val="0"/>
              <w:adjustRightInd w:val="0"/>
              <w:spacing w:line="240" w:lineRule="auto"/>
              <w:jc w:val="left"/>
              <w:rPr>
                <w:rFonts w:cs="Times New Roman"/>
                <w:b/>
                <w:spacing w:val="-1"/>
              </w:rPr>
            </w:pPr>
            <w:r w:rsidRPr="006414E6">
              <w:rPr>
                <w:rFonts w:cs="Times New Roman"/>
              </w:rPr>
              <w:t>Broj stanovnika, u milijunima</w:t>
            </w:r>
          </w:p>
        </w:tc>
        <w:tc>
          <w:tcPr>
            <w:tcW w:w="964" w:type="dxa"/>
            <w:vAlign w:val="center"/>
          </w:tcPr>
          <w:p w14:paraId="5E94B1C3"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4,099</w:t>
            </w:r>
          </w:p>
        </w:tc>
        <w:tc>
          <w:tcPr>
            <w:tcW w:w="964" w:type="dxa"/>
            <w:vAlign w:val="center"/>
          </w:tcPr>
          <w:p w14:paraId="09746D05"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3,984</w:t>
            </w:r>
          </w:p>
        </w:tc>
        <w:tc>
          <w:tcPr>
            <w:tcW w:w="964" w:type="dxa"/>
            <w:vAlign w:val="center"/>
          </w:tcPr>
          <w:p w14:paraId="528710DD"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3,755</w:t>
            </w:r>
          </w:p>
        </w:tc>
        <w:tc>
          <w:tcPr>
            <w:tcW w:w="964" w:type="dxa"/>
            <w:vAlign w:val="center"/>
          </w:tcPr>
          <w:p w14:paraId="229EC308"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3,532</w:t>
            </w:r>
          </w:p>
        </w:tc>
        <w:tc>
          <w:tcPr>
            <w:tcW w:w="964" w:type="dxa"/>
            <w:vAlign w:val="center"/>
          </w:tcPr>
          <w:p w14:paraId="3FACCE17"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3,295</w:t>
            </w:r>
          </w:p>
        </w:tc>
      </w:tr>
      <w:tr w:rsidR="00A779FF" w:rsidRPr="006414E6" w14:paraId="15BD25DE" w14:textId="77777777" w:rsidTr="00DD0FF2">
        <w:trPr>
          <w:trHeight w:val="397"/>
        </w:trPr>
        <w:tc>
          <w:tcPr>
            <w:tcW w:w="4252" w:type="dxa"/>
            <w:shd w:val="clear" w:color="auto" w:fill="F2F2F2" w:themeFill="background1" w:themeFillShade="F2"/>
            <w:vAlign w:val="center"/>
          </w:tcPr>
          <w:p w14:paraId="21BAD670" w14:textId="77777777" w:rsidR="00A779FF" w:rsidRPr="006414E6" w:rsidRDefault="00A779FF" w:rsidP="00DD0FF2">
            <w:pPr>
              <w:kinsoku w:val="0"/>
              <w:overflowPunct w:val="0"/>
              <w:autoSpaceDE w:val="0"/>
              <w:autoSpaceDN w:val="0"/>
              <w:adjustRightInd w:val="0"/>
              <w:spacing w:line="240" w:lineRule="auto"/>
              <w:jc w:val="left"/>
              <w:rPr>
                <w:rFonts w:cs="Times New Roman"/>
                <w:b/>
                <w:spacing w:val="-1"/>
              </w:rPr>
            </w:pPr>
            <w:r w:rsidRPr="006414E6">
              <w:rPr>
                <w:rFonts w:cs="Times New Roman"/>
              </w:rPr>
              <w:t>Broj zaposlenih, konstantna aktivnost, u milijunima</w:t>
            </w:r>
          </w:p>
        </w:tc>
        <w:tc>
          <w:tcPr>
            <w:tcW w:w="964" w:type="dxa"/>
            <w:vAlign w:val="center"/>
          </w:tcPr>
          <w:p w14:paraId="17C15BBC"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1,550</w:t>
            </w:r>
          </w:p>
        </w:tc>
        <w:tc>
          <w:tcPr>
            <w:tcW w:w="964" w:type="dxa"/>
            <w:vAlign w:val="center"/>
          </w:tcPr>
          <w:p w14:paraId="6FE8F4FD"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1,559</w:t>
            </w:r>
          </w:p>
        </w:tc>
        <w:tc>
          <w:tcPr>
            <w:tcW w:w="964" w:type="dxa"/>
            <w:vAlign w:val="center"/>
          </w:tcPr>
          <w:p w14:paraId="570B88DE"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1,434</w:t>
            </w:r>
          </w:p>
        </w:tc>
        <w:tc>
          <w:tcPr>
            <w:tcW w:w="964" w:type="dxa"/>
            <w:vAlign w:val="center"/>
          </w:tcPr>
          <w:p w14:paraId="708E8955"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1,315</w:t>
            </w:r>
          </w:p>
        </w:tc>
        <w:tc>
          <w:tcPr>
            <w:tcW w:w="964" w:type="dxa"/>
            <w:vAlign w:val="center"/>
          </w:tcPr>
          <w:p w14:paraId="2737762B" w14:textId="77777777" w:rsidR="00A779FF" w:rsidRPr="006414E6" w:rsidRDefault="00A779FF" w:rsidP="00DD0FF2">
            <w:pPr>
              <w:kinsoku w:val="0"/>
              <w:overflowPunct w:val="0"/>
              <w:autoSpaceDE w:val="0"/>
              <w:autoSpaceDN w:val="0"/>
              <w:adjustRightInd w:val="0"/>
              <w:spacing w:line="240" w:lineRule="auto"/>
              <w:jc w:val="center"/>
              <w:rPr>
                <w:rFonts w:cs="Times New Roman"/>
              </w:rPr>
            </w:pPr>
            <w:r w:rsidRPr="006414E6">
              <w:rPr>
                <w:rFonts w:cs="Times New Roman"/>
              </w:rPr>
              <w:t>1,191</w:t>
            </w:r>
          </w:p>
        </w:tc>
      </w:tr>
      <w:tr w:rsidR="001F2EC6" w:rsidRPr="006414E6" w14:paraId="2136312D" w14:textId="77777777" w:rsidTr="00DD0FF2">
        <w:trPr>
          <w:trHeight w:val="397"/>
        </w:trPr>
        <w:tc>
          <w:tcPr>
            <w:tcW w:w="4252" w:type="dxa"/>
            <w:shd w:val="clear" w:color="auto" w:fill="F2F2F2" w:themeFill="background1" w:themeFillShade="F2"/>
            <w:vAlign w:val="center"/>
          </w:tcPr>
          <w:p w14:paraId="14626BC0" w14:textId="77777777" w:rsidR="001F2EC6" w:rsidRPr="006414E6" w:rsidRDefault="001F2EC6" w:rsidP="00DD0FF2">
            <w:pPr>
              <w:kinsoku w:val="0"/>
              <w:overflowPunct w:val="0"/>
              <w:autoSpaceDE w:val="0"/>
              <w:autoSpaceDN w:val="0"/>
              <w:adjustRightInd w:val="0"/>
              <w:spacing w:line="240" w:lineRule="auto"/>
              <w:jc w:val="center"/>
              <w:rPr>
                <w:rFonts w:cs="Times New Roman"/>
                <w:w w:val="105"/>
              </w:rPr>
            </w:pPr>
          </w:p>
        </w:tc>
        <w:tc>
          <w:tcPr>
            <w:tcW w:w="4820" w:type="dxa"/>
            <w:gridSpan w:val="5"/>
            <w:shd w:val="clear" w:color="auto" w:fill="F2F2F2" w:themeFill="background1" w:themeFillShade="F2"/>
            <w:vAlign w:val="center"/>
          </w:tcPr>
          <w:p w14:paraId="1ECC5DC6" w14:textId="77777777" w:rsidR="001F2EC6" w:rsidRPr="006414E6" w:rsidRDefault="001F2EC6" w:rsidP="00DD0FF2">
            <w:pPr>
              <w:kinsoku w:val="0"/>
              <w:overflowPunct w:val="0"/>
              <w:autoSpaceDE w:val="0"/>
              <w:autoSpaceDN w:val="0"/>
              <w:adjustRightInd w:val="0"/>
              <w:spacing w:line="240" w:lineRule="auto"/>
              <w:jc w:val="center"/>
              <w:rPr>
                <w:rFonts w:cs="Times New Roman"/>
                <w:b/>
              </w:rPr>
            </w:pPr>
            <w:r w:rsidRPr="006414E6">
              <w:rPr>
                <w:rFonts w:cs="Times New Roman"/>
                <w:b/>
              </w:rPr>
              <w:t>Konvergencija produktivnosti</w:t>
            </w:r>
          </w:p>
        </w:tc>
      </w:tr>
      <w:tr w:rsidR="001F2EC6" w:rsidRPr="006414E6" w14:paraId="65965808" w14:textId="77777777" w:rsidTr="00DD0FF2">
        <w:trPr>
          <w:trHeight w:val="397"/>
        </w:trPr>
        <w:tc>
          <w:tcPr>
            <w:tcW w:w="4252" w:type="dxa"/>
            <w:shd w:val="clear" w:color="auto" w:fill="F2F2F2" w:themeFill="background1" w:themeFillShade="F2"/>
            <w:vAlign w:val="center"/>
          </w:tcPr>
          <w:p w14:paraId="37094053" w14:textId="33DC0D5D" w:rsidR="001F2EC6" w:rsidRPr="006414E6" w:rsidRDefault="001F2EC6" w:rsidP="00DD0FF2">
            <w:pPr>
              <w:kinsoku w:val="0"/>
              <w:overflowPunct w:val="0"/>
              <w:autoSpaceDE w:val="0"/>
              <w:autoSpaceDN w:val="0"/>
              <w:adjustRightInd w:val="0"/>
              <w:spacing w:line="240" w:lineRule="auto"/>
              <w:jc w:val="left"/>
              <w:rPr>
                <w:rFonts w:cs="Times New Roman"/>
                <w:b/>
              </w:rPr>
            </w:pPr>
            <w:r w:rsidRPr="006414E6">
              <w:rPr>
                <w:rFonts w:cs="Times New Roman"/>
              </w:rPr>
              <w:t>BDP, stalne cijene 2010., m</w:t>
            </w:r>
            <w:r w:rsidR="006F2DC0" w:rsidRPr="006414E6">
              <w:rPr>
                <w:rFonts w:cs="Times New Roman"/>
              </w:rPr>
              <w:t xml:space="preserve">ilijarde </w:t>
            </w:r>
            <w:r w:rsidRPr="006414E6">
              <w:rPr>
                <w:rFonts w:cs="Times New Roman"/>
              </w:rPr>
              <w:t>HRK</w:t>
            </w:r>
          </w:p>
        </w:tc>
        <w:tc>
          <w:tcPr>
            <w:tcW w:w="964" w:type="dxa"/>
            <w:vAlign w:val="center"/>
          </w:tcPr>
          <w:p w14:paraId="78F573BC"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335,902</w:t>
            </w:r>
          </w:p>
        </w:tc>
        <w:tc>
          <w:tcPr>
            <w:tcW w:w="964" w:type="dxa"/>
            <w:vAlign w:val="center"/>
          </w:tcPr>
          <w:p w14:paraId="7B65ED5A"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373,595</w:t>
            </w:r>
          </w:p>
        </w:tc>
        <w:tc>
          <w:tcPr>
            <w:tcW w:w="964" w:type="dxa"/>
            <w:vAlign w:val="center"/>
          </w:tcPr>
          <w:p w14:paraId="104F91DB"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4</w:t>
            </w:r>
            <w:r w:rsidR="003C60E4" w:rsidRPr="006414E6">
              <w:rPr>
                <w:rFonts w:cs="Times New Roman"/>
              </w:rPr>
              <w:t>62,111</w:t>
            </w:r>
          </w:p>
        </w:tc>
        <w:tc>
          <w:tcPr>
            <w:tcW w:w="964" w:type="dxa"/>
            <w:vAlign w:val="center"/>
          </w:tcPr>
          <w:p w14:paraId="579B3149" w14:textId="77777777" w:rsidR="001F2EC6"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551,311</w:t>
            </w:r>
          </w:p>
        </w:tc>
        <w:tc>
          <w:tcPr>
            <w:tcW w:w="964" w:type="dxa"/>
            <w:vAlign w:val="center"/>
          </w:tcPr>
          <w:p w14:paraId="77BE963B" w14:textId="77777777" w:rsidR="001F2EC6"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649,695</w:t>
            </w:r>
          </w:p>
        </w:tc>
      </w:tr>
      <w:tr w:rsidR="001F2EC6" w:rsidRPr="006414E6" w14:paraId="60892EBF" w14:textId="77777777" w:rsidTr="00DD0FF2">
        <w:trPr>
          <w:trHeight w:val="397"/>
        </w:trPr>
        <w:tc>
          <w:tcPr>
            <w:tcW w:w="4252" w:type="dxa"/>
            <w:shd w:val="clear" w:color="auto" w:fill="F2F2F2" w:themeFill="background1" w:themeFillShade="F2"/>
            <w:vAlign w:val="center"/>
          </w:tcPr>
          <w:p w14:paraId="53BC1BD3" w14:textId="77777777" w:rsidR="001F2EC6" w:rsidRPr="006414E6" w:rsidRDefault="001F2EC6" w:rsidP="00DD0FF2">
            <w:pPr>
              <w:kinsoku w:val="0"/>
              <w:overflowPunct w:val="0"/>
              <w:autoSpaceDE w:val="0"/>
              <w:autoSpaceDN w:val="0"/>
              <w:adjustRightInd w:val="0"/>
              <w:spacing w:line="240" w:lineRule="auto"/>
              <w:jc w:val="left"/>
              <w:rPr>
                <w:rFonts w:cs="Times New Roman"/>
                <w:b/>
              </w:rPr>
            </w:pPr>
            <w:r w:rsidRPr="006414E6">
              <w:rPr>
                <w:rFonts w:cs="Times New Roman"/>
              </w:rPr>
              <w:t>BDP, indeks 2016. = 100</w:t>
            </w:r>
          </w:p>
        </w:tc>
        <w:tc>
          <w:tcPr>
            <w:tcW w:w="964" w:type="dxa"/>
            <w:vAlign w:val="center"/>
          </w:tcPr>
          <w:p w14:paraId="72843D39"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100,0</w:t>
            </w:r>
          </w:p>
        </w:tc>
        <w:tc>
          <w:tcPr>
            <w:tcW w:w="964" w:type="dxa"/>
            <w:vAlign w:val="center"/>
          </w:tcPr>
          <w:p w14:paraId="562DB029"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111,2</w:t>
            </w:r>
          </w:p>
        </w:tc>
        <w:tc>
          <w:tcPr>
            <w:tcW w:w="964" w:type="dxa"/>
            <w:vAlign w:val="center"/>
          </w:tcPr>
          <w:p w14:paraId="31CC09DC"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1</w:t>
            </w:r>
            <w:r w:rsidR="003C60E4" w:rsidRPr="006414E6">
              <w:rPr>
                <w:rFonts w:cs="Times New Roman"/>
              </w:rPr>
              <w:t>37,6</w:t>
            </w:r>
          </w:p>
        </w:tc>
        <w:tc>
          <w:tcPr>
            <w:tcW w:w="964" w:type="dxa"/>
            <w:vAlign w:val="center"/>
          </w:tcPr>
          <w:p w14:paraId="7BA30526"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1</w:t>
            </w:r>
            <w:r w:rsidR="003C60E4" w:rsidRPr="006414E6">
              <w:rPr>
                <w:rFonts w:cs="Times New Roman"/>
              </w:rPr>
              <w:t>64,1</w:t>
            </w:r>
          </w:p>
        </w:tc>
        <w:tc>
          <w:tcPr>
            <w:tcW w:w="964" w:type="dxa"/>
            <w:vAlign w:val="center"/>
          </w:tcPr>
          <w:p w14:paraId="380986E7"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1</w:t>
            </w:r>
            <w:r w:rsidR="003C60E4" w:rsidRPr="006414E6">
              <w:rPr>
                <w:rFonts w:cs="Times New Roman"/>
              </w:rPr>
              <w:t>93,4</w:t>
            </w:r>
          </w:p>
        </w:tc>
      </w:tr>
      <w:tr w:rsidR="001F2EC6" w:rsidRPr="006414E6" w14:paraId="3A304A19" w14:textId="77777777" w:rsidTr="00DD0FF2">
        <w:trPr>
          <w:trHeight w:val="397"/>
        </w:trPr>
        <w:tc>
          <w:tcPr>
            <w:tcW w:w="4252" w:type="dxa"/>
            <w:shd w:val="clear" w:color="auto" w:fill="F2F2F2" w:themeFill="background1" w:themeFillShade="F2"/>
            <w:vAlign w:val="center"/>
          </w:tcPr>
          <w:p w14:paraId="09D345A2" w14:textId="77777777" w:rsidR="001F2EC6" w:rsidRPr="006414E6" w:rsidRDefault="001F2EC6" w:rsidP="00DD0FF2">
            <w:pPr>
              <w:kinsoku w:val="0"/>
              <w:overflowPunct w:val="0"/>
              <w:autoSpaceDE w:val="0"/>
              <w:autoSpaceDN w:val="0"/>
              <w:adjustRightInd w:val="0"/>
              <w:spacing w:line="240" w:lineRule="auto"/>
              <w:jc w:val="left"/>
              <w:rPr>
                <w:rFonts w:cs="Times New Roman"/>
                <w:b/>
                <w:spacing w:val="-1"/>
              </w:rPr>
            </w:pPr>
            <w:r w:rsidRPr="006414E6">
              <w:rPr>
                <w:rFonts w:cs="Times New Roman"/>
              </w:rPr>
              <w:t>BDP po stanovniku, stalne cijene 2010., tisuća HRK</w:t>
            </w:r>
          </w:p>
        </w:tc>
        <w:tc>
          <w:tcPr>
            <w:tcW w:w="964" w:type="dxa"/>
            <w:vAlign w:val="center"/>
          </w:tcPr>
          <w:p w14:paraId="09230F14"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82</w:t>
            </w:r>
          </w:p>
        </w:tc>
        <w:tc>
          <w:tcPr>
            <w:tcW w:w="964" w:type="dxa"/>
            <w:vAlign w:val="center"/>
          </w:tcPr>
          <w:p w14:paraId="210620B9"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94</w:t>
            </w:r>
          </w:p>
        </w:tc>
        <w:tc>
          <w:tcPr>
            <w:tcW w:w="964" w:type="dxa"/>
            <w:vAlign w:val="center"/>
          </w:tcPr>
          <w:p w14:paraId="0322245D"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1</w:t>
            </w:r>
            <w:r w:rsidR="003C60E4" w:rsidRPr="006414E6">
              <w:rPr>
                <w:rFonts w:cs="Times New Roman"/>
              </w:rPr>
              <w:t>23</w:t>
            </w:r>
          </w:p>
        </w:tc>
        <w:tc>
          <w:tcPr>
            <w:tcW w:w="964" w:type="dxa"/>
            <w:vAlign w:val="center"/>
          </w:tcPr>
          <w:p w14:paraId="4FD9BE61"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1</w:t>
            </w:r>
            <w:r w:rsidR="003C60E4" w:rsidRPr="006414E6">
              <w:rPr>
                <w:rFonts w:cs="Times New Roman"/>
              </w:rPr>
              <w:t>56</w:t>
            </w:r>
          </w:p>
        </w:tc>
        <w:tc>
          <w:tcPr>
            <w:tcW w:w="964" w:type="dxa"/>
            <w:vAlign w:val="center"/>
          </w:tcPr>
          <w:p w14:paraId="6F696ABA" w14:textId="77777777" w:rsidR="001F2EC6" w:rsidRPr="006414E6" w:rsidRDefault="001F2EC6" w:rsidP="00DD0FF2">
            <w:pPr>
              <w:kinsoku w:val="0"/>
              <w:overflowPunct w:val="0"/>
              <w:autoSpaceDE w:val="0"/>
              <w:autoSpaceDN w:val="0"/>
              <w:adjustRightInd w:val="0"/>
              <w:spacing w:line="240" w:lineRule="auto"/>
              <w:jc w:val="center"/>
              <w:rPr>
                <w:rFonts w:cs="Times New Roman"/>
              </w:rPr>
            </w:pPr>
            <w:r w:rsidRPr="006414E6">
              <w:rPr>
                <w:rFonts w:cs="Times New Roman"/>
              </w:rPr>
              <w:t>1</w:t>
            </w:r>
            <w:r w:rsidR="003C60E4" w:rsidRPr="006414E6">
              <w:rPr>
                <w:rFonts w:cs="Times New Roman"/>
              </w:rPr>
              <w:t>97</w:t>
            </w:r>
          </w:p>
        </w:tc>
      </w:tr>
      <w:tr w:rsidR="003C60E4" w:rsidRPr="006414E6" w14:paraId="6C625331" w14:textId="77777777" w:rsidTr="00DD0FF2">
        <w:trPr>
          <w:trHeight w:val="397"/>
        </w:trPr>
        <w:tc>
          <w:tcPr>
            <w:tcW w:w="4252" w:type="dxa"/>
            <w:shd w:val="clear" w:color="auto" w:fill="F2F2F2" w:themeFill="background1" w:themeFillShade="F2"/>
            <w:vAlign w:val="center"/>
          </w:tcPr>
          <w:p w14:paraId="6997638B" w14:textId="77777777" w:rsidR="003C60E4" w:rsidRPr="006414E6" w:rsidRDefault="003C60E4" w:rsidP="00DD0FF2">
            <w:pPr>
              <w:kinsoku w:val="0"/>
              <w:overflowPunct w:val="0"/>
              <w:autoSpaceDE w:val="0"/>
              <w:autoSpaceDN w:val="0"/>
              <w:adjustRightInd w:val="0"/>
              <w:spacing w:line="240" w:lineRule="auto"/>
              <w:jc w:val="left"/>
              <w:rPr>
                <w:rFonts w:cs="Times New Roman"/>
                <w:b/>
                <w:spacing w:val="-1"/>
              </w:rPr>
            </w:pPr>
            <w:r w:rsidRPr="006414E6">
              <w:rPr>
                <w:rFonts w:cs="Times New Roman"/>
              </w:rPr>
              <w:t>BDP po stanovniku, indeks 2016. = 100</w:t>
            </w:r>
          </w:p>
        </w:tc>
        <w:tc>
          <w:tcPr>
            <w:tcW w:w="964" w:type="dxa"/>
            <w:vAlign w:val="center"/>
          </w:tcPr>
          <w:p w14:paraId="6FD2A9C1"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100,0</w:t>
            </w:r>
          </w:p>
        </w:tc>
        <w:tc>
          <w:tcPr>
            <w:tcW w:w="964" w:type="dxa"/>
            <w:vAlign w:val="center"/>
          </w:tcPr>
          <w:p w14:paraId="7FC73E48"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114,4</w:t>
            </w:r>
          </w:p>
        </w:tc>
        <w:tc>
          <w:tcPr>
            <w:tcW w:w="964" w:type="dxa"/>
            <w:vAlign w:val="center"/>
          </w:tcPr>
          <w:p w14:paraId="19AD4306"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150,2</w:t>
            </w:r>
          </w:p>
        </w:tc>
        <w:tc>
          <w:tcPr>
            <w:tcW w:w="964" w:type="dxa"/>
            <w:vAlign w:val="center"/>
          </w:tcPr>
          <w:p w14:paraId="26F10231"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190,5</w:t>
            </w:r>
          </w:p>
        </w:tc>
        <w:tc>
          <w:tcPr>
            <w:tcW w:w="964" w:type="dxa"/>
            <w:vAlign w:val="center"/>
          </w:tcPr>
          <w:p w14:paraId="06EDD072"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240,6</w:t>
            </w:r>
          </w:p>
        </w:tc>
      </w:tr>
      <w:tr w:rsidR="003C60E4" w:rsidRPr="006414E6" w14:paraId="55951AC5" w14:textId="77777777" w:rsidTr="00DD0FF2">
        <w:trPr>
          <w:trHeight w:val="397"/>
        </w:trPr>
        <w:tc>
          <w:tcPr>
            <w:tcW w:w="4252" w:type="dxa"/>
            <w:shd w:val="clear" w:color="auto" w:fill="F2F2F2" w:themeFill="background1" w:themeFillShade="F2"/>
            <w:vAlign w:val="center"/>
          </w:tcPr>
          <w:p w14:paraId="131E7E55" w14:textId="77777777" w:rsidR="003C60E4" w:rsidRPr="006414E6" w:rsidRDefault="003C60E4" w:rsidP="00DD0FF2">
            <w:pPr>
              <w:kinsoku w:val="0"/>
              <w:overflowPunct w:val="0"/>
              <w:autoSpaceDE w:val="0"/>
              <w:autoSpaceDN w:val="0"/>
              <w:adjustRightInd w:val="0"/>
              <w:spacing w:line="240" w:lineRule="auto"/>
              <w:jc w:val="left"/>
              <w:rPr>
                <w:rFonts w:cs="Times New Roman"/>
                <w:b/>
                <w:spacing w:val="-1"/>
              </w:rPr>
            </w:pPr>
            <w:r w:rsidRPr="006414E6">
              <w:rPr>
                <w:rFonts w:cs="Times New Roman"/>
              </w:rPr>
              <w:t>Broj stanovnika, u milijunima</w:t>
            </w:r>
          </w:p>
        </w:tc>
        <w:tc>
          <w:tcPr>
            <w:tcW w:w="964" w:type="dxa"/>
            <w:vAlign w:val="center"/>
          </w:tcPr>
          <w:p w14:paraId="13E13C5A"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4,099</w:t>
            </w:r>
          </w:p>
        </w:tc>
        <w:tc>
          <w:tcPr>
            <w:tcW w:w="964" w:type="dxa"/>
            <w:vAlign w:val="center"/>
          </w:tcPr>
          <w:p w14:paraId="42D50862"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3,984</w:t>
            </w:r>
          </w:p>
        </w:tc>
        <w:tc>
          <w:tcPr>
            <w:tcW w:w="964" w:type="dxa"/>
            <w:vAlign w:val="center"/>
          </w:tcPr>
          <w:p w14:paraId="01AF8095"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3,755</w:t>
            </w:r>
          </w:p>
        </w:tc>
        <w:tc>
          <w:tcPr>
            <w:tcW w:w="964" w:type="dxa"/>
            <w:vAlign w:val="center"/>
          </w:tcPr>
          <w:p w14:paraId="44E47399"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3,532</w:t>
            </w:r>
          </w:p>
        </w:tc>
        <w:tc>
          <w:tcPr>
            <w:tcW w:w="964" w:type="dxa"/>
            <w:vAlign w:val="center"/>
          </w:tcPr>
          <w:p w14:paraId="0B339984"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3,295</w:t>
            </w:r>
          </w:p>
        </w:tc>
      </w:tr>
      <w:tr w:rsidR="003C60E4" w:rsidRPr="006414E6" w14:paraId="1F8EBA1E" w14:textId="77777777" w:rsidTr="00DD0FF2">
        <w:trPr>
          <w:trHeight w:val="397"/>
        </w:trPr>
        <w:tc>
          <w:tcPr>
            <w:tcW w:w="4252" w:type="dxa"/>
            <w:shd w:val="clear" w:color="auto" w:fill="F2F2F2" w:themeFill="background1" w:themeFillShade="F2"/>
            <w:vAlign w:val="center"/>
          </w:tcPr>
          <w:p w14:paraId="5430CBC9" w14:textId="77777777" w:rsidR="003C60E4" w:rsidRPr="006414E6" w:rsidRDefault="003C60E4" w:rsidP="00DD0FF2">
            <w:pPr>
              <w:kinsoku w:val="0"/>
              <w:overflowPunct w:val="0"/>
              <w:autoSpaceDE w:val="0"/>
              <w:autoSpaceDN w:val="0"/>
              <w:adjustRightInd w:val="0"/>
              <w:spacing w:line="240" w:lineRule="auto"/>
              <w:jc w:val="left"/>
              <w:rPr>
                <w:rFonts w:cs="Times New Roman"/>
                <w:b/>
                <w:spacing w:val="-1"/>
              </w:rPr>
            </w:pPr>
            <w:r w:rsidRPr="006414E6">
              <w:rPr>
                <w:rFonts w:cs="Times New Roman"/>
              </w:rPr>
              <w:t>Broj zaposlenih, konstantna aktivnost, u milijunima</w:t>
            </w:r>
          </w:p>
        </w:tc>
        <w:tc>
          <w:tcPr>
            <w:tcW w:w="964" w:type="dxa"/>
            <w:vAlign w:val="center"/>
          </w:tcPr>
          <w:p w14:paraId="6F06BE26"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1,550</w:t>
            </w:r>
          </w:p>
        </w:tc>
        <w:tc>
          <w:tcPr>
            <w:tcW w:w="964" w:type="dxa"/>
            <w:vAlign w:val="center"/>
          </w:tcPr>
          <w:p w14:paraId="70B9B9BA"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1,576</w:t>
            </w:r>
          </w:p>
        </w:tc>
        <w:tc>
          <w:tcPr>
            <w:tcW w:w="964" w:type="dxa"/>
            <w:vAlign w:val="center"/>
          </w:tcPr>
          <w:p w14:paraId="20171393"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1,502</w:t>
            </w:r>
          </w:p>
        </w:tc>
        <w:tc>
          <w:tcPr>
            <w:tcW w:w="964" w:type="dxa"/>
            <w:vAlign w:val="center"/>
          </w:tcPr>
          <w:p w14:paraId="3056C3BF"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1,429</w:t>
            </w:r>
          </w:p>
        </w:tc>
        <w:tc>
          <w:tcPr>
            <w:tcW w:w="964" w:type="dxa"/>
            <w:vAlign w:val="center"/>
          </w:tcPr>
          <w:p w14:paraId="0BA04BF5" w14:textId="77777777" w:rsidR="003C60E4" w:rsidRPr="006414E6" w:rsidRDefault="003C60E4" w:rsidP="00DD0FF2">
            <w:pPr>
              <w:kinsoku w:val="0"/>
              <w:overflowPunct w:val="0"/>
              <w:autoSpaceDE w:val="0"/>
              <w:autoSpaceDN w:val="0"/>
              <w:adjustRightInd w:val="0"/>
              <w:spacing w:line="240" w:lineRule="auto"/>
              <w:jc w:val="center"/>
              <w:rPr>
                <w:rFonts w:cs="Times New Roman"/>
              </w:rPr>
            </w:pPr>
            <w:r w:rsidRPr="006414E6">
              <w:rPr>
                <w:rFonts w:cs="Times New Roman"/>
              </w:rPr>
              <w:t>1,342</w:t>
            </w:r>
          </w:p>
        </w:tc>
      </w:tr>
    </w:tbl>
    <w:p w14:paraId="6ACC412C" w14:textId="77777777" w:rsidR="00274A80" w:rsidRPr="006414E6" w:rsidRDefault="009D0AA9" w:rsidP="00015F65">
      <w:pPr>
        <w:rPr>
          <w:rFonts w:cs="Times New Roman"/>
        </w:rPr>
      </w:pPr>
      <w:r w:rsidRPr="006414E6">
        <w:rPr>
          <w:rFonts w:cs="Times New Roman"/>
        </w:rPr>
        <w:t>Scenarij konvergencije omogućava Republici Hrvatskoj da u određenoj mjeri smanji jaz u razvijenosti prema drugim članicama EU-a, iako ni ta brzina ne osigurava dostizanje prosjeka EU. Prema scenariju konvergencije predviđa se da će BDP u 2030. biti za 37,6% veći nego u 2016. te za 93,4% u 2050. godini. Pritom bi BDP po stanovniku iznosio 123.000 HRK u 2030. i 197.000 HRK u 2050. godini prema 82.000 HRK u 2016. godini.</w:t>
      </w:r>
    </w:p>
    <w:p w14:paraId="7E57ED2E" w14:textId="77777777" w:rsidR="000E0737" w:rsidRPr="00F401F7" w:rsidRDefault="000E0737" w:rsidP="00F401F7">
      <w:pPr>
        <w:rPr>
          <w:rFonts w:cs="Times New Roman"/>
          <w:u w:val="single"/>
        </w:rPr>
      </w:pPr>
      <w:r w:rsidRPr="006414E6">
        <w:rPr>
          <w:rFonts w:cs="Times New Roman"/>
          <w:u w:val="single"/>
        </w:rPr>
        <w:t xml:space="preserve">Cijene goriva </w:t>
      </w:r>
    </w:p>
    <w:p w14:paraId="53E7FB7A" w14:textId="77777777" w:rsidR="004917FE" w:rsidRPr="006414E6" w:rsidRDefault="004917FE" w:rsidP="00F401F7">
      <w:pPr>
        <w:rPr>
          <w:rFonts w:cs="Times New Roman"/>
        </w:rPr>
      </w:pPr>
      <w:r w:rsidRPr="006414E6">
        <w:rPr>
          <w:rFonts w:cs="Times New Roman"/>
        </w:rPr>
        <w:t xml:space="preserve">Cijene fosilnih goriva do 2050. godine pretpostavljene su u skladu s predviđanjima Međunarodne agencije za energiju. </w:t>
      </w:r>
    </w:p>
    <w:p w14:paraId="00E3EC6C" w14:textId="77777777" w:rsidR="004917FE" w:rsidRPr="006414E6" w:rsidRDefault="004917FE" w:rsidP="004917FE">
      <w:pPr>
        <w:rPr>
          <w:rFonts w:cs="Times New Roman"/>
        </w:rPr>
      </w:pPr>
      <w:r w:rsidRPr="006414E6">
        <w:rPr>
          <w:rFonts w:cs="Times New Roman"/>
        </w:rPr>
        <w:t>Cijene za razdoblje nakon 2040. godine su ekstrapolirane i za potrebe analize svedene na euro iz 2015. godine. Na slici 3-</w:t>
      </w:r>
      <w:r w:rsidR="000C360D" w:rsidRPr="006414E6">
        <w:rPr>
          <w:rFonts w:cs="Times New Roman"/>
        </w:rPr>
        <w:t>2</w:t>
      </w:r>
      <w:r w:rsidRPr="006414E6">
        <w:rPr>
          <w:rFonts w:cs="Times New Roman"/>
        </w:rPr>
        <w:t xml:space="preserve"> prikazana je razina tako pretpostavljenih cijena za fosilna goriva u EUR/GJ.</w:t>
      </w:r>
    </w:p>
    <w:p w14:paraId="4900EDB2" w14:textId="77777777" w:rsidR="004917FE" w:rsidRPr="006414E6" w:rsidRDefault="004917FE" w:rsidP="004917FE">
      <w:pPr>
        <w:rPr>
          <w:rFonts w:cs="Times New Roman"/>
        </w:rPr>
      </w:pPr>
      <w:r w:rsidRPr="006414E6">
        <w:rPr>
          <w:rFonts w:cs="Times New Roman"/>
        </w:rPr>
        <w:t>Za prirodni plin i za ugljen preuzete su cijene relevantne za područje EU-a. Za nuklearno gorivo pretpostavljena je nepromjenjiva cijena od 0,74 EUR/GJ, a za biomasu 4,6 EUR/GJ.</w:t>
      </w:r>
    </w:p>
    <w:p w14:paraId="7CAE5DEB" w14:textId="5389DA2B" w:rsidR="004B2CFF" w:rsidRPr="00A61675" w:rsidRDefault="00A61675" w:rsidP="004917FE">
      <w:pPr>
        <w:pStyle w:val="Slika"/>
        <w:spacing w:before="120"/>
        <w:jc w:val="center"/>
        <w:rPr>
          <w:rFonts w:ascii="Times New Roman" w:eastAsia="Calibri" w:hAnsi="Times New Roman"/>
        </w:rPr>
      </w:pPr>
      <w:bookmarkStart w:id="201" w:name="_Toc484158369"/>
      <w:bookmarkStart w:id="202" w:name="_Toc33417100"/>
      <w:r>
        <w:rPr>
          <w:rFonts w:ascii="Times New Roman" w:eastAsia="Calibri" w:hAnsi="Times New Roman"/>
          <w:noProof/>
          <w:lang w:eastAsia="hr-HR"/>
        </w:rPr>
        <w:drawing>
          <wp:inline distT="0" distB="0" distL="0" distR="0" wp14:anchorId="6A8390A4" wp14:editId="3A261088">
            <wp:extent cx="4255008" cy="2176272"/>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2.jpg"/>
                    <pic:cNvPicPr/>
                  </pic:nvPicPr>
                  <pic:blipFill>
                    <a:blip r:embed="rId19">
                      <a:extLst>
                        <a:ext uri="{28A0092B-C50C-407E-A947-70E740481C1C}">
                          <a14:useLocalDpi xmlns:a14="http://schemas.microsoft.com/office/drawing/2010/main" val="0"/>
                        </a:ext>
                      </a:extLst>
                    </a:blip>
                    <a:stretch>
                      <a:fillRect/>
                    </a:stretch>
                  </pic:blipFill>
                  <pic:spPr>
                    <a:xfrm>
                      <a:off x="0" y="0"/>
                      <a:ext cx="4255008" cy="2176272"/>
                    </a:xfrm>
                    <a:prstGeom prst="rect">
                      <a:avLst/>
                    </a:prstGeom>
                  </pic:spPr>
                </pic:pic>
              </a:graphicData>
            </a:graphic>
          </wp:inline>
        </w:drawing>
      </w:r>
    </w:p>
    <w:p w14:paraId="78FFEA2A" w14:textId="38D92006" w:rsidR="000E0737" w:rsidRPr="006414E6" w:rsidRDefault="000E0737" w:rsidP="004917FE">
      <w:pPr>
        <w:pStyle w:val="Slika"/>
        <w:spacing w:before="120"/>
        <w:jc w:val="center"/>
        <w:rPr>
          <w:rFonts w:ascii="Times New Roman" w:hAnsi="Times New Roman"/>
          <w:i/>
          <w:lang w:eastAsia="en-US"/>
        </w:rPr>
      </w:pPr>
      <w:r w:rsidRPr="006414E6">
        <w:rPr>
          <w:rFonts w:ascii="Times New Roman" w:eastAsia="Calibri" w:hAnsi="Times New Roman"/>
          <w:i/>
        </w:rPr>
        <w:t xml:space="preserve">Slika </w:t>
      </w:r>
      <w:r w:rsidR="00917037" w:rsidRPr="006414E6">
        <w:rPr>
          <w:rFonts w:ascii="Times New Roman" w:eastAsia="Calibri" w:hAnsi="Times New Roman"/>
          <w:i/>
        </w:rPr>
        <w:t>3-</w:t>
      </w:r>
      <w:r w:rsidR="000C360D" w:rsidRPr="006414E6">
        <w:rPr>
          <w:rFonts w:ascii="Times New Roman" w:eastAsia="Calibri" w:hAnsi="Times New Roman"/>
          <w:i/>
        </w:rPr>
        <w:t>2</w:t>
      </w:r>
      <w:r w:rsidR="00917037" w:rsidRPr="006414E6">
        <w:rPr>
          <w:rFonts w:ascii="Times New Roman" w:eastAsia="Calibri" w:hAnsi="Times New Roman"/>
          <w:i/>
        </w:rPr>
        <w:t>:</w:t>
      </w:r>
      <w:r w:rsidRPr="006414E6">
        <w:rPr>
          <w:rFonts w:ascii="Times New Roman" w:eastAsia="Calibri" w:hAnsi="Times New Roman"/>
          <w:i/>
        </w:rPr>
        <w:t xml:space="preserve"> Projekcije kretanja cijena fosilnih goriva</w:t>
      </w:r>
      <w:bookmarkEnd w:id="201"/>
      <w:r w:rsidR="00852B9D" w:rsidRPr="006414E6">
        <w:rPr>
          <w:rFonts w:ascii="Times New Roman" w:eastAsia="Calibri" w:hAnsi="Times New Roman"/>
          <w:i/>
        </w:rPr>
        <w:t xml:space="preserve"> do 2050. godine</w:t>
      </w:r>
      <w:bookmarkEnd w:id="202"/>
    </w:p>
    <w:p w14:paraId="5615CC7A" w14:textId="77777777" w:rsidR="004917FE" w:rsidRPr="006414E6" w:rsidRDefault="004917FE" w:rsidP="00F401F7">
      <w:pPr>
        <w:rPr>
          <w:rFonts w:cs="Times New Roman"/>
          <w:u w:val="single"/>
        </w:rPr>
      </w:pPr>
      <w:r w:rsidRPr="006414E6">
        <w:rPr>
          <w:rFonts w:cs="Times New Roman"/>
          <w:u w:val="single"/>
        </w:rPr>
        <w:t>Cijene na tržištu električne energije</w:t>
      </w:r>
    </w:p>
    <w:p w14:paraId="77F39362" w14:textId="77777777" w:rsidR="004917FE" w:rsidRPr="006414E6" w:rsidRDefault="004917FE" w:rsidP="00F401F7">
      <w:pPr>
        <w:rPr>
          <w:rFonts w:cs="Times New Roman"/>
        </w:rPr>
      </w:pPr>
      <w:r w:rsidRPr="006414E6">
        <w:rPr>
          <w:rFonts w:cs="Times New Roman"/>
        </w:rPr>
        <w:lastRenderedPageBreak/>
        <w:t xml:space="preserve">Ukupne potrebe za električnom energijom u Republici Hrvatskoj velikim dijelom se osiguravaju </w:t>
      </w:r>
      <w:r w:rsidR="00F43425" w:rsidRPr="006414E6">
        <w:rPr>
          <w:rFonts w:cs="Times New Roman"/>
        </w:rPr>
        <w:t>iz uvoza</w:t>
      </w:r>
      <w:r w:rsidRPr="006414E6">
        <w:rPr>
          <w:rFonts w:cs="Times New Roman"/>
        </w:rPr>
        <w:t xml:space="preserve"> te su cijene električne energije važan ulazni parametar u dugoročnim analizama. Za očekivati je da će se trend uvoza nastaviti u narednih 5-10 godina i da će ovisiti o cijenama, koje su s druge strane izravno povezane s raspoloživim količinama na tržištu.</w:t>
      </w:r>
    </w:p>
    <w:p w14:paraId="3B4DB8CC" w14:textId="77777777" w:rsidR="00852B9D" w:rsidRPr="006414E6" w:rsidRDefault="004917FE" w:rsidP="000C360D">
      <w:pPr>
        <w:rPr>
          <w:rFonts w:cs="Times New Roman"/>
        </w:rPr>
      </w:pPr>
      <w:r w:rsidRPr="006414E6">
        <w:rPr>
          <w:rFonts w:cs="Times New Roman"/>
        </w:rPr>
        <w:t xml:space="preserve">Za potrebe provedenih  analiza pretpostavljeno je da će u razdoblju do 2030. godine na raspolaganju biti dovoljne količine električne energije za potrebe pokrivanja potreba u hrvatskom </w:t>
      </w:r>
      <w:r w:rsidR="00691F71" w:rsidRPr="006414E6">
        <w:rPr>
          <w:rFonts w:cs="Times New Roman"/>
        </w:rPr>
        <w:t>elektroenergetskom sustavu</w:t>
      </w:r>
      <w:r w:rsidRPr="006414E6">
        <w:rPr>
          <w:rFonts w:cs="Times New Roman"/>
        </w:rPr>
        <w:t xml:space="preserve">, a da će dugoročno (do 2050. godine), ukupna godišnja neto razmjena sa susjednim sustavima biti u ravnoteži. </w:t>
      </w:r>
    </w:p>
    <w:p w14:paraId="25602B52" w14:textId="77777777" w:rsidR="004917FE" w:rsidRPr="006414E6" w:rsidRDefault="004917FE" w:rsidP="000C360D">
      <w:pPr>
        <w:rPr>
          <w:rFonts w:cs="Times New Roman"/>
        </w:rPr>
      </w:pPr>
      <w:r w:rsidRPr="006414E6">
        <w:rPr>
          <w:rFonts w:cs="Times New Roman"/>
        </w:rPr>
        <w:t xml:space="preserve">Pretpostavljene razine cijena prikazane su u tablici </w:t>
      </w:r>
      <w:r w:rsidR="00852B9D" w:rsidRPr="006414E6">
        <w:rPr>
          <w:rFonts w:cs="Times New Roman"/>
        </w:rPr>
        <w:t>3-</w:t>
      </w:r>
      <w:r w:rsidR="00AF1B66" w:rsidRPr="006414E6">
        <w:rPr>
          <w:rFonts w:cs="Times New Roman"/>
        </w:rPr>
        <w:t>6</w:t>
      </w:r>
      <w:r w:rsidRPr="006414E6">
        <w:rPr>
          <w:rFonts w:cs="Times New Roman"/>
        </w:rPr>
        <w:t>.</w:t>
      </w:r>
      <w:r w:rsidR="00852B9D" w:rsidRPr="006414E6">
        <w:rPr>
          <w:rFonts w:cs="Times New Roman"/>
        </w:rPr>
        <w:t xml:space="preserve"> </w:t>
      </w:r>
      <w:r w:rsidRPr="006414E6">
        <w:rPr>
          <w:rFonts w:cs="Times New Roman"/>
        </w:rPr>
        <w:t>Prikazane su očekivane prosječne godišnje razine cijena i pretpostavljena je dinamika</w:t>
      </w:r>
      <w:r w:rsidR="00852B9D" w:rsidRPr="006414E6">
        <w:rPr>
          <w:rFonts w:cs="Times New Roman"/>
        </w:rPr>
        <w:t xml:space="preserve"> </w:t>
      </w:r>
      <w:r w:rsidRPr="006414E6">
        <w:rPr>
          <w:rFonts w:cs="Times New Roman"/>
        </w:rPr>
        <w:t>sezonske (mjesečne) i dnevne promjene cijena na tržištu električne energije na temelju</w:t>
      </w:r>
      <w:r w:rsidR="00852B9D" w:rsidRPr="006414E6">
        <w:rPr>
          <w:rFonts w:cs="Times New Roman"/>
        </w:rPr>
        <w:t xml:space="preserve"> </w:t>
      </w:r>
      <w:r w:rsidRPr="006414E6">
        <w:rPr>
          <w:rFonts w:cs="Times New Roman"/>
        </w:rPr>
        <w:t>povijesnih podataka.</w:t>
      </w:r>
    </w:p>
    <w:p w14:paraId="19B6E350" w14:textId="77777777" w:rsidR="00852B9D" w:rsidRPr="006414E6" w:rsidRDefault="00852B9D" w:rsidP="00F401F7">
      <w:pPr>
        <w:pStyle w:val="Tablicanaslov"/>
        <w:spacing w:after="120"/>
        <w:rPr>
          <w:rFonts w:cs="Times New Roman"/>
          <w:i/>
          <w:sz w:val="24"/>
          <w:szCs w:val="24"/>
        </w:rPr>
      </w:pPr>
      <w:bookmarkStart w:id="203" w:name="_Toc33417115"/>
      <w:r w:rsidRPr="006414E6">
        <w:rPr>
          <w:rFonts w:cs="Times New Roman"/>
          <w:i/>
          <w:sz w:val="24"/>
          <w:szCs w:val="24"/>
        </w:rPr>
        <w:t>Tablica 3-</w:t>
      </w:r>
      <w:r w:rsidR="00AF1B66" w:rsidRPr="006414E6">
        <w:rPr>
          <w:rFonts w:cs="Times New Roman"/>
          <w:i/>
          <w:sz w:val="24"/>
          <w:szCs w:val="24"/>
        </w:rPr>
        <w:t>6</w:t>
      </w:r>
      <w:r w:rsidRPr="006414E6">
        <w:rPr>
          <w:rFonts w:cs="Times New Roman"/>
          <w:i/>
          <w:sz w:val="24"/>
          <w:szCs w:val="24"/>
        </w:rPr>
        <w:t>: Cijene na tržištu električne energije do 2050. godine</w:t>
      </w:r>
      <w:bookmarkEnd w:id="203"/>
    </w:p>
    <w:tbl>
      <w:tblPr>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268"/>
        <w:gridCol w:w="850"/>
        <w:gridCol w:w="850"/>
        <w:gridCol w:w="850"/>
        <w:gridCol w:w="850"/>
        <w:gridCol w:w="850"/>
        <w:gridCol w:w="850"/>
        <w:gridCol w:w="850"/>
        <w:gridCol w:w="850"/>
      </w:tblGrid>
      <w:tr w:rsidR="00852B9D" w:rsidRPr="006414E6" w14:paraId="6712084D" w14:textId="77777777" w:rsidTr="00DB6EDC">
        <w:trPr>
          <w:trHeight w:val="397"/>
        </w:trPr>
        <w:tc>
          <w:tcPr>
            <w:tcW w:w="2268" w:type="dxa"/>
            <w:shd w:val="clear" w:color="auto" w:fill="F2F2F2" w:themeFill="background1" w:themeFillShade="F2"/>
            <w:vAlign w:val="center"/>
          </w:tcPr>
          <w:p w14:paraId="183B2FEF" w14:textId="77777777" w:rsidR="00852B9D" w:rsidRPr="006414E6" w:rsidRDefault="00852B9D" w:rsidP="00695954">
            <w:pPr>
              <w:keepNext/>
              <w:kinsoku w:val="0"/>
              <w:overflowPunct w:val="0"/>
              <w:autoSpaceDE w:val="0"/>
              <w:autoSpaceDN w:val="0"/>
              <w:adjustRightInd w:val="0"/>
              <w:spacing w:line="240" w:lineRule="auto"/>
              <w:jc w:val="left"/>
              <w:rPr>
                <w:rFonts w:cs="Times New Roman"/>
              </w:rPr>
            </w:pPr>
          </w:p>
        </w:tc>
        <w:tc>
          <w:tcPr>
            <w:tcW w:w="850" w:type="dxa"/>
            <w:shd w:val="clear" w:color="auto" w:fill="F2F2F2" w:themeFill="background1" w:themeFillShade="F2"/>
            <w:vAlign w:val="center"/>
          </w:tcPr>
          <w:p w14:paraId="31AA9C52" w14:textId="77777777" w:rsidR="00852B9D" w:rsidRPr="006414E6" w:rsidRDefault="00852B9D" w:rsidP="00695954">
            <w:pPr>
              <w:keepNext/>
              <w:kinsoku w:val="0"/>
              <w:overflowPunct w:val="0"/>
              <w:autoSpaceDE w:val="0"/>
              <w:autoSpaceDN w:val="0"/>
              <w:adjustRightInd w:val="0"/>
              <w:spacing w:line="240" w:lineRule="auto"/>
              <w:jc w:val="center"/>
              <w:rPr>
                <w:rFonts w:cs="Times New Roman"/>
                <w:b/>
              </w:rPr>
            </w:pPr>
            <w:r w:rsidRPr="006414E6">
              <w:rPr>
                <w:rFonts w:cs="Times New Roman"/>
                <w:b/>
              </w:rPr>
              <w:t>2015.</w:t>
            </w:r>
          </w:p>
        </w:tc>
        <w:tc>
          <w:tcPr>
            <w:tcW w:w="850" w:type="dxa"/>
            <w:shd w:val="clear" w:color="auto" w:fill="F2F2F2" w:themeFill="background1" w:themeFillShade="F2"/>
            <w:vAlign w:val="center"/>
          </w:tcPr>
          <w:p w14:paraId="793BCDFA" w14:textId="77777777" w:rsidR="00852B9D" w:rsidRPr="006414E6" w:rsidRDefault="00852B9D" w:rsidP="00695954">
            <w:pPr>
              <w:keepNext/>
              <w:kinsoku w:val="0"/>
              <w:overflowPunct w:val="0"/>
              <w:autoSpaceDE w:val="0"/>
              <w:autoSpaceDN w:val="0"/>
              <w:adjustRightInd w:val="0"/>
              <w:spacing w:line="240" w:lineRule="auto"/>
              <w:jc w:val="center"/>
              <w:rPr>
                <w:rFonts w:cs="Times New Roman"/>
                <w:b/>
              </w:rPr>
            </w:pPr>
            <w:r w:rsidRPr="006414E6">
              <w:rPr>
                <w:rFonts w:cs="Times New Roman"/>
                <w:b/>
              </w:rPr>
              <w:t>2020.</w:t>
            </w:r>
          </w:p>
        </w:tc>
        <w:tc>
          <w:tcPr>
            <w:tcW w:w="850" w:type="dxa"/>
            <w:shd w:val="clear" w:color="auto" w:fill="F2F2F2" w:themeFill="background1" w:themeFillShade="F2"/>
            <w:vAlign w:val="center"/>
          </w:tcPr>
          <w:p w14:paraId="0659E802" w14:textId="77777777" w:rsidR="00852B9D" w:rsidRPr="006414E6" w:rsidRDefault="00852B9D" w:rsidP="00695954">
            <w:pPr>
              <w:keepNext/>
              <w:kinsoku w:val="0"/>
              <w:overflowPunct w:val="0"/>
              <w:autoSpaceDE w:val="0"/>
              <w:autoSpaceDN w:val="0"/>
              <w:adjustRightInd w:val="0"/>
              <w:spacing w:line="240" w:lineRule="auto"/>
              <w:jc w:val="center"/>
              <w:rPr>
                <w:rFonts w:cs="Times New Roman"/>
                <w:b/>
              </w:rPr>
            </w:pPr>
            <w:r w:rsidRPr="006414E6">
              <w:rPr>
                <w:rFonts w:cs="Times New Roman"/>
                <w:b/>
              </w:rPr>
              <w:t>2025.</w:t>
            </w:r>
          </w:p>
        </w:tc>
        <w:tc>
          <w:tcPr>
            <w:tcW w:w="850" w:type="dxa"/>
            <w:shd w:val="clear" w:color="auto" w:fill="F2F2F2" w:themeFill="background1" w:themeFillShade="F2"/>
            <w:vAlign w:val="center"/>
          </w:tcPr>
          <w:p w14:paraId="422655B1" w14:textId="77777777" w:rsidR="00852B9D" w:rsidRPr="006414E6" w:rsidRDefault="00852B9D" w:rsidP="00695954">
            <w:pPr>
              <w:keepNext/>
              <w:kinsoku w:val="0"/>
              <w:overflowPunct w:val="0"/>
              <w:autoSpaceDE w:val="0"/>
              <w:autoSpaceDN w:val="0"/>
              <w:adjustRightInd w:val="0"/>
              <w:spacing w:line="240" w:lineRule="auto"/>
              <w:jc w:val="center"/>
              <w:rPr>
                <w:rFonts w:cs="Times New Roman"/>
                <w:b/>
              </w:rPr>
            </w:pPr>
            <w:r w:rsidRPr="006414E6">
              <w:rPr>
                <w:rFonts w:cs="Times New Roman"/>
                <w:b/>
              </w:rPr>
              <w:t>2030.</w:t>
            </w:r>
          </w:p>
        </w:tc>
        <w:tc>
          <w:tcPr>
            <w:tcW w:w="850" w:type="dxa"/>
            <w:shd w:val="clear" w:color="auto" w:fill="F2F2F2" w:themeFill="background1" w:themeFillShade="F2"/>
            <w:vAlign w:val="center"/>
          </w:tcPr>
          <w:p w14:paraId="53B22D48" w14:textId="77777777" w:rsidR="00852B9D" w:rsidRPr="006414E6" w:rsidRDefault="00852B9D" w:rsidP="00695954">
            <w:pPr>
              <w:keepNext/>
              <w:kinsoku w:val="0"/>
              <w:overflowPunct w:val="0"/>
              <w:autoSpaceDE w:val="0"/>
              <w:autoSpaceDN w:val="0"/>
              <w:adjustRightInd w:val="0"/>
              <w:spacing w:line="240" w:lineRule="auto"/>
              <w:jc w:val="center"/>
              <w:rPr>
                <w:rFonts w:cs="Times New Roman"/>
                <w:b/>
              </w:rPr>
            </w:pPr>
            <w:r w:rsidRPr="006414E6">
              <w:rPr>
                <w:rFonts w:cs="Times New Roman"/>
                <w:b/>
              </w:rPr>
              <w:t>2035.</w:t>
            </w:r>
          </w:p>
        </w:tc>
        <w:tc>
          <w:tcPr>
            <w:tcW w:w="850" w:type="dxa"/>
            <w:shd w:val="clear" w:color="auto" w:fill="F2F2F2" w:themeFill="background1" w:themeFillShade="F2"/>
            <w:vAlign w:val="center"/>
          </w:tcPr>
          <w:p w14:paraId="75801605" w14:textId="77777777" w:rsidR="00852B9D" w:rsidRPr="006414E6" w:rsidRDefault="00852B9D" w:rsidP="00695954">
            <w:pPr>
              <w:keepNext/>
              <w:kinsoku w:val="0"/>
              <w:overflowPunct w:val="0"/>
              <w:autoSpaceDE w:val="0"/>
              <w:autoSpaceDN w:val="0"/>
              <w:adjustRightInd w:val="0"/>
              <w:spacing w:line="240" w:lineRule="auto"/>
              <w:jc w:val="center"/>
              <w:rPr>
                <w:rFonts w:cs="Times New Roman"/>
                <w:b/>
              </w:rPr>
            </w:pPr>
            <w:r w:rsidRPr="006414E6">
              <w:rPr>
                <w:rFonts w:cs="Times New Roman"/>
                <w:b/>
              </w:rPr>
              <w:t>2040.</w:t>
            </w:r>
          </w:p>
        </w:tc>
        <w:tc>
          <w:tcPr>
            <w:tcW w:w="850" w:type="dxa"/>
            <w:shd w:val="clear" w:color="auto" w:fill="F2F2F2" w:themeFill="background1" w:themeFillShade="F2"/>
            <w:vAlign w:val="center"/>
          </w:tcPr>
          <w:p w14:paraId="4DD9A91D" w14:textId="77777777" w:rsidR="00852B9D" w:rsidRPr="006414E6" w:rsidRDefault="00852B9D" w:rsidP="00695954">
            <w:pPr>
              <w:keepNext/>
              <w:kinsoku w:val="0"/>
              <w:overflowPunct w:val="0"/>
              <w:autoSpaceDE w:val="0"/>
              <w:autoSpaceDN w:val="0"/>
              <w:adjustRightInd w:val="0"/>
              <w:spacing w:line="240" w:lineRule="auto"/>
              <w:jc w:val="center"/>
              <w:rPr>
                <w:rFonts w:cs="Times New Roman"/>
                <w:b/>
              </w:rPr>
            </w:pPr>
            <w:r w:rsidRPr="006414E6">
              <w:rPr>
                <w:rFonts w:cs="Times New Roman"/>
                <w:b/>
              </w:rPr>
              <w:t>2045.</w:t>
            </w:r>
          </w:p>
        </w:tc>
        <w:tc>
          <w:tcPr>
            <w:tcW w:w="850" w:type="dxa"/>
            <w:shd w:val="clear" w:color="auto" w:fill="F2F2F2" w:themeFill="background1" w:themeFillShade="F2"/>
            <w:vAlign w:val="center"/>
          </w:tcPr>
          <w:p w14:paraId="32399B92" w14:textId="77777777" w:rsidR="00852B9D" w:rsidRPr="006414E6" w:rsidRDefault="00852B9D" w:rsidP="00695954">
            <w:pPr>
              <w:keepNext/>
              <w:kinsoku w:val="0"/>
              <w:overflowPunct w:val="0"/>
              <w:autoSpaceDE w:val="0"/>
              <w:autoSpaceDN w:val="0"/>
              <w:adjustRightInd w:val="0"/>
              <w:spacing w:line="240" w:lineRule="auto"/>
              <w:jc w:val="center"/>
              <w:rPr>
                <w:rFonts w:cs="Times New Roman"/>
                <w:b/>
              </w:rPr>
            </w:pPr>
            <w:r w:rsidRPr="006414E6">
              <w:rPr>
                <w:rFonts w:cs="Times New Roman"/>
                <w:b/>
              </w:rPr>
              <w:t>2050.</w:t>
            </w:r>
          </w:p>
        </w:tc>
      </w:tr>
      <w:tr w:rsidR="00852B9D" w:rsidRPr="006414E6" w14:paraId="3FCB9DFE" w14:textId="77777777" w:rsidTr="00852B9D">
        <w:trPr>
          <w:trHeight w:val="397"/>
        </w:trPr>
        <w:tc>
          <w:tcPr>
            <w:tcW w:w="2268" w:type="dxa"/>
            <w:shd w:val="clear" w:color="auto" w:fill="F2F2F2" w:themeFill="background1" w:themeFillShade="F2"/>
            <w:vAlign w:val="center"/>
          </w:tcPr>
          <w:p w14:paraId="39D57120" w14:textId="77777777" w:rsidR="00852B9D" w:rsidRPr="006414E6" w:rsidRDefault="00852B9D" w:rsidP="00695954">
            <w:pPr>
              <w:keepNext/>
              <w:kinsoku w:val="0"/>
              <w:overflowPunct w:val="0"/>
              <w:autoSpaceDE w:val="0"/>
              <w:autoSpaceDN w:val="0"/>
              <w:adjustRightInd w:val="0"/>
              <w:spacing w:line="240" w:lineRule="auto"/>
              <w:jc w:val="left"/>
              <w:rPr>
                <w:rFonts w:cs="Times New Roman"/>
                <w:b/>
                <w:bCs/>
                <w:spacing w:val="-1"/>
              </w:rPr>
            </w:pPr>
            <w:r w:rsidRPr="006414E6">
              <w:rPr>
                <w:rFonts w:cs="Times New Roman"/>
                <w:b/>
                <w:bCs/>
                <w:spacing w:val="-1"/>
              </w:rPr>
              <w:t>Električna energija [EUR/MWh]</w:t>
            </w:r>
          </w:p>
        </w:tc>
        <w:tc>
          <w:tcPr>
            <w:tcW w:w="850" w:type="dxa"/>
            <w:vAlign w:val="center"/>
          </w:tcPr>
          <w:p w14:paraId="4C61BBD4" w14:textId="77777777" w:rsidR="00852B9D" w:rsidRPr="006414E6" w:rsidRDefault="00852B9D" w:rsidP="00695954">
            <w:pPr>
              <w:keepNext/>
              <w:kinsoku w:val="0"/>
              <w:overflowPunct w:val="0"/>
              <w:autoSpaceDE w:val="0"/>
              <w:autoSpaceDN w:val="0"/>
              <w:adjustRightInd w:val="0"/>
              <w:spacing w:line="240" w:lineRule="auto"/>
              <w:jc w:val="center"/>
              <w:rPr>
                <w:rFonts w:cs="Times New Roman"/>
              </w:rPr>
            </w:pPr>
            <w:r w:rsidRPr="006414E6">
              <w:rPr>
                <w:rFonts w:cs="Times New Roman"/>
              </w:rPr>
              <w:t>41,0</w:t>
            </w:r>
          </w:p>
        </w:tc>
        <w:tc>
          <w:tcPr>
            <w:tcW w:w="850" w:type="dxa"/>
            <w:vAlign w:val="center"/>
          </w:tcPr>
          <w:p w14:paraId="5C6FA0BC" w14:textId="77777777" w:rsidR="00852B9D" w:rsidRPr="006414E6" w:rsidRDefault="00852B9D" w:rsidP="00695954">
            <w:pPr>
              <w:keepNext/>
              <w:kinsoku w:val="0"/>
              <w:overflowPunct w:val="0"/>
              <w:autoSpaceDE w:val="0"/>
              <w:autoSpaceDN w:val="0"/>
              <w:adjustRightInd w:val="0"/>
              <w:spacing w:line="240" w:lineRule="auto"/>
              <w:jc w:val="center"/>
              <w:rPr>
                <w:rFonts w:cs="Times New Roman"/>
              </w:rPr>
            </w:pPr>
            <w:r w:rsidRPr="006414E6">
              <w:rPr>
                <w:rFonts w:cs="Times New Roman"/>
              </w:rPr>
              <w:t>40,6</w:t>
            </w:r>
          </w:p>
        </w:tc>
        <w:tc>
          <w:tcPr>
            <w:tcW w:w="850" w:type="dxa"/>
            <w:vAlign w:val="center"/>
          </w:tcPr>
          <w:p w14:paraId="41763BA4" w14:textId="77777777" w:rsidR="00852B9D" w:rsidRPr="006414E6" w:rsidRDefault="00852B9D" w:rsidP="00695954">
            <w:pPr>
              <w:keepNext/>
              <w:kinsoku w:val="0"/>
              <w:overflowPunct w:val="0"/>
              <w:autoSpaceDE w:val="0"/>
              <w:autoSpaceDN w:val="0"/>
              <w:adjustRightInd w:val="0"/>
              <w:spacing w:line="240" w:lineRule="auto"/>
              <w:jc w:val="center"/>
              <w:rPr>
                <w:rFonts w:cs="Times New Roman"/>
              </w:rPr>
            </w:pPr>
            <w:r w:rsidRPr="006414E6">
              <w:rPr>
                <w:rFonts w:cs="Times New Roman"/>
              </w:rPr>
              <w:t>47,3</w:t>
            </w:r>
          </w:p>
        </w:tc>
        <w:tc>
          <w:tcPr>
            <w:tcW w:w="850" w:type="dxa"/>
            <w:vAlign w:val="center"/>
          </w:tcPr>
          <w:p w14:paraId="6FDAD944" w14:textId="77777777" w:rsidR="00852B9D" w:rsidRPr="006414E6" w:rsidRDefault="00852B9D" w:rsidP="00695954">
            <w:pPr>
              <w:keepNext/>
              <w:kinsoku w:val="0"/>
              <w:overflowPunct w:val="0"/>
              <w:autoSpaceDE w:val="0"/>
              <w:autoSpaceDN w:val="0"/>
              <w:adjustRightInd w:val="0"/>
              <w:spacing w:line="240" w:lineRule="auto"/>
              <w:jc w:val="center"/>
              <w:rPr>
                <w:rFonts w:cs="Times New Roman"/>
              </w:rPr>
            </w:pPr>
            <w:r w:rsidRPr="006414E6">
              <w:rPr>
                <w:rFonts w:cs="Times New Roman"/>
              </w:rPr>
              <w:t>60,0</w:t>
            </w:r>
          </w:p>
        </w:tc>
        <w:tc>
          <w:tcPr>
            <w:tcW w:w="850" w:type="dxa"/>
            <w:vAlign w:val="center"/>
          </w:tcPr>
          <w:p w14:paraId="39CE0BFA" w14:textId="77777777" w:rsidR="00852B9D" w:rsidRPr="006414E6" w:rsidRDefault="00852B9D" w:rsidP="00695954">
            <w:pPr>
              <w:keepNext/>
              <w:kinsoku w:val="0"/>
              <w:overflowPunct w:val="0"/>
              <w:autoSpaceDE w:val="0"/>
              <w:autoSpaceDN w:val="0"/>
              <w:adjustRightInd w:val="0"/>
              <w:spacing w:line="240" w:lineRule="auto"/>
              <w:jc w:val="center"/>
              <w:rPr>
                <w:rFonts w:cs="Times New Roman"/>
              </w:rPr>
            </w:pPr>
            <w:r w:rsidRPr="006414E6">
              <w:rPr>
                <w:rFonts w:cs="Times New Roman"/>
              </w:rPr>
              <w:t>70,6</w:t>
            </w:r>
          </w:p>
        </w:tc>
        <w:tc>
          <w:tcPr>
            <w:tcW w:w="850" w:type="dxa"/>
            <w:vAlign w:val="center"/>
          </w:tcPr>
          <w:p w14:paraId="30AE3C7B" w14:textId="77777777" w:rsidR="00852B9D" w:rsidRPr="006414E6" w:rsidRDefault="00852B9D" w:rsidP="00695954">
            <w:pPr>
              <w:keepNext/>
              <w:kinsoku w:val="0"/>
              <w:overflowPunct w:val="0"/>
              <w:autoSpaceDE w:val="0"/>
              <w:autoSpaceDN w:val="0"/>
              <w:adjustRightInd w:val="0"/>
              <w:spacing w:line="240" w:lineRule="auto"/>
              <w:jc w:val="center"/>
              <w:rPr>
                <w:rFonts w:cs="Times New Roman"/>
              </w:rPr>
            </w:pPr>
            <w:r w:rsidRPr="006414E6">
              <w:rPr>
                <w:rFonts w:cs="Times New Roman"/>
              </w:rPr>
              <w:t>77,3</w:t>
            </w:r>
          </w:p>
        </w:tc>
        <w:tc>
          <w:tcPr>
            <w:tcW w:w="850" w:type="dxa"/>
            <w:vAlign w:val="center"/>
          </w:tcPr>
          <w:p w14:paraId="2752F92D" w14:textId="77777777" w:rsidR="00852B9D" w:rsidRPr="006414E6" w:rsidRDefault="00852B9D" w:rsidP="00695954">
            <w:pPr>
              <w:keepNext/>
              <w:kinsoku w:val="0"/>
              <w:overflowPunct w:val="0"/>
              <w:autoSpaceDE w:val="0"/>
              <w:autoSpaceDN w:val="0"/>
              <w:adjustRightInd w:val="0"/>
              <w:spacing w:line="240" w:lineRule="auto"/>
              <w:jc w:val="center"/>
              <w:rPr>
                <w:rFonts w:cs="Times New Roman"/>
              </w:rPr>
            </w:pPr>
            <w:r w:rsidRPr="006414E6">
              <w:rPr>
                <w:rFonts w:cs="Times New Roman"/>
              </w:rPr>
              <w:t>81,4</w:t>
            </w:r>
          </w:p>
        </w:tc>
        <w:tc>
          <w:tcPr>
            <w:tcW w:w="850" w:type="dxa"/>
            <w:vAlign w:val="center"/>
          </w:tcPr>
          <w:p w14:paraId="352DF98E" w14:textId="77777777" w:rsidR="00852B9D" w:rsidRPr="006414E6" w:rsidRDefault="00852B9D" w:rsidP="00695954">
            <w:pPr>
              <w:keepNext/>
              <w:kinsoku w:val="0"/>
              <w:overflowPunct w:val="0"/>
              <w:autoSpaceDE w:val="0"/>
              <w:autoSpaceDN w:val="0"/>
              <w:adjustRightInd w:val="0"/>
              <w:spacing w:line="240" w:lineRule="auto"/>
              <w:jc w:val="center"/>
              <w:rPr>
                <w:rFonts w:cs="Times New Roman"/>
              </w:rPr>
            </w:pPr>
            <w:r w:rsidRPr="006414E6">
              <w:rPr>
                <w:rFonts w:cs="Times New Roman"/>
              </w:rPr>
              <w:t>83,7</w:t>
            </w:r>
          </w:p>
        </w:tc>
      </w:tr>
    </w:tbl>
    <w:p w14:paraId="18D6E86A" w14:textId="77777777" w:rsidR="000E0737" w:rsidRPr="006414E6" w:rsidRDefault="000E0737" w:rsidP="000E0737">
      <w:pPr>
        <w:rPr>
          <w:rFonts w:cs="Times New Roman"/>
          <w:sz w:val="32"/>
          <w:u w:val="single"/>
        </w:rPr>
      </w:pPr>
      <w:r w:rsidRPr="006414E6">
        <w:rPr>
          <w:rFonts w:cs="Times New Roman"/>
          <w:u w:val="single"/>
        </w:rPr>
        <w:t>Cijene emisijskih jedinica u ETS-u</w:t>
      </w:r>
      <w:r w:rsidRPr="006414E6">
        <w:rPr>
          <w:rFonts w:cs="Times New Roman"/>
          <w:sz w:val="32"/>
          <w:u w:val="single"/>
        </w:rPr>
        <w:t xml:space="preserve"> </w:t>
      </w:r>
    </w:p>
    <w:p w14:paraId="78A4FC74" w14:textId="77777777" w:rsidR="00DB6EDC" w:rsidRPr="006414E6" w:rsidRDefault="00DB6EDC" w:rsidP="00DB6EDC">
      <w:pPr>
        <w:rPr>
          <w:rFonts w:cs="Times New Roman"/>
        </w:rPr>
      </w:pPr>
      <w:r w:rsidRPr="006414E6">
        <w:rPr>
          <w:rFonts w:cs="Times New Roman"/>
        </w:rPr>
        <w:t>Trend porasta cijena emisijskih jedinica za ETS sustav preuzet iz EU Referentnog scenarija 2016. U tom modelu cijene emisijskih jedinica su proizašle kao endogene veličine modeliranja sustava, kao posljedica trenda smanjenja ukupne kvote ETS-a (kvota se smanjuje za 1,74% godišnje do 2020. godine, zatim 2,2% godišnje do 2030. godine). Porast cijene je gotovo konstantan do 2040. godine, kad</w:t>
      </w:r>
      <w:r w:rsidR="00AD49D3" w:rsidRPr="006414E6">
        <w:rPr>
          <w:rFonts w:cs="Times New Roman"/>
        </w:rPr>
        <w:t>a</w:t>
      </w:r>
      <w:r w:rsidRPr="006414E6">
        <w:rPr>
          <w:rFonts w:cs="Times New Roman"/>
        </w:rPr>
        <w:t xml:space="preserve"> se povećava do 2050. godine. Ovaj trend porasta treba shvatiti kao snažnu smjernicu za individualno planiranje u svakom investicijskom zahvatu.  </w:t>
      </w:r>
    </w:p>
    <w:p w14:paraId="01F696D3" w14:textId="77777777" w:rsidR="000B4D65" w:rsidRPr="006414E6" w:rsidRDefault="00AD49D3" w:rsidP="000B4D65">
      <w:pPr>
        <w:rPr>
          <w:rFonts w:cs="Times New Roman"/>
        </w:rPr>
      </w:pPr>
      <w:r w:rsidRPr="006414E6">
        <w:rPr>
          <w:rFonts w:cs="Times New Roman"/>
        </w:rPr>
        <w:t>Osnovne cijene izražene su u eurima iz 2013. godine. U tablici 3-</w:t>
      </w:r>
      <w:r w:rsidR="00AF1B66" w:rsidRPr="006414E6">
        <w:rPr>
          <w:rFonts w:cs="Times New Roman"/>
        </w:rPr>
        <w:t>7</w:t>
      </w:r>
      <w:r w:rsidRPr="006414E6">
        <w:rPr>
          <w:rFonts w:cs="Times New Roman"/>
        </w:rPr>
        <w:t xml:space="preserve"> dodatno su prikazane i cijene </w:t>
      </w:r>
      <w:r w:rsidR="00F111F2" w:rsidRPr="006414E6">
        <w:rPr>
          <w:rFonts w:cs="Times New Roman"/>
        </w:rPr>
        <w:t xml:space="preserve">izražene u eurima </w:t>
      </w:r>
      <w:r w:rsidRPr="006414E6">
        <w:rPr>
          <w:rFonts w:cs="Times New Roman"/>
        </w:rPr>
        <w:t>iz 2016. godine (vrijednosti koje se također navode u dokumentima E</w:t>
      </w:r>
      <w:r w:rsidR="000B4D65" w:rsidRPr="006414E6">
        <w:rPr>
          <w:rFonts w:cs="Times New Roman"/>
        </w:rPr>
        <w:t>K</w:t>
      </w:r>
      <w:r w:rsidRPr="006414E6">
        <w:rPr>
          <w:rFonts w:cs="Times New Roman"/>
        </w:rPr>
        <w:t>)</w:t>
      </w:r>
      <w:r w:rsidR="000B4D65" w:rsidRPr="006414E6">
        <w:rPr>
          <w:rFonts w:cs="Times New Roman"/>
        </w:rPr>
        <w:t>. Trenutne cijene na tržištu pokazuju i veće vrijednosti od onih preporučenih od strane EK. Temeljem takvih kretanja procijenjena je alternativna putanja cijena do 2030. godine, svedena</w:t>
      </w:r>
    </w:p>
    <w:p w14:paraId="6C04C795" w14:textId="77777777" w:rsidR="003922F2" w:rsidRPr="006414E6" w:rsidRDefault="000B4D65" w:rsidP="000B4D65">
      <w:pPr>
        <w:rPr>
          <w:rFonts w:cs="Times New Roman"/>
        </w:rPr>
      </w:pPr>
      <w:r w:rsidRPr="006414E6">
        <w:rPr>
          <w:rFonts w:cs="Times New Roman"/>
        </w:rPr>
        <w:t xml:space="preserve">na euro iz 2015. godine. Ove vrijednosti korištene su </w:t>
      </w:r>
      <w:r w:rsidR="003922F2" w:rsidRPr="006414E6">
        <w:rPr>
          <w:rFonts w:cs="Times New Roman"/>
        </w:rPr>
        <w:t xml:space="preserve">u analizama </w:t>
      </w:r>
      <w:r w:rsidRPr="006414E6">
        <w:rPr>
          <w:rFonts w:cs="Times New Roman"/>
        </w:rPr>
        <w:t xml:space="preserve">za optimiranje sustava proizvodnje električne energije </w:t>
      </w:r>
      <w:r w:rsidR="003922F2" w:rsidRPr="006414E6">
        <w:rPr>
          <w:rFonts w:cs="Times New Roman"/>
        </w:rPr>
        <w:t>(tablica 3-</w:t>
      </w:r>
      <w:r w:rsidR="00AF1B66" w:rsidRPr="006414E6">
        <w:rPr>
          <w:rFonts w:cs="Times New Roman"/>
        </w:rPr>
        <w:t>7</w:t>
      </w:r>
      <w:r w:rsidR="003922F2" w:rsidRPr="006414E6">
        <w:rPr>
          <w:rFonts w:cs="Times New Roman"/>
        </w:rPr>
        <w:t>).</w:t>
      </w:r>
    </w:p>
    <w:p w14:paraId="05884355" w14:textId="77777777" w:rsidR="00DB6EDC" w:rsidRPr="006414E6" w:rsidRDefault="00DB6EDC" w:rsidP="00AD49D3">
      <w:pPr>
        <w:pStyle w:val="Tablicanaslov"/>
        <w:spacing w:after="120"/>
        <w:rPr>
          <w:rFonts w:cs="Times New Roman"/>
          <w:i/>
          <w:sz w:val="24"/>
          <w:szCs w:val="24"/>
        </w:rPr>
      </w:pPr>
      <w:bookmarkStart w:id="204" w:name="_Toc484158406"/>
      <w:bookmarkStart w:id="205" w:name="_Toc33417116"/>
      <w:r w:rsidRPr="006414E6">
        <w:rPr>
          <w:rFonts w:cs="Times New Roman"/>
          <w:i/>
          <w:sz w:val="24"/>
          <w:szCs w:val="24"/>
        </w:rPr>
        <w:t xml:space="preserve">Tablica </w:t>
      </w:r>
      <w:r w:rsidR="00AD49D3" w:rsidRPr="006414E6">
        <w:rPr>
          <w:rFonts w:cs="Times New Roman"/>
          <w:i/>
          <w:sz w:val="24"/>
          <w:szCs w:val="24"/>
        </w:rPr>
        <w:t>3-</w:t>
      </w:r>
      <w:r w:rsidR="00AF1B66" w:rsidRPr="006414E6">
        <w:rPr>
          <w:rFonts w:cs="Times New Roman"/>
          <w:i/>
          <w:sz w:val="24"/>
          <w:szCs w:val="24"/>
        </w:rPr>
        <w:t>7</w:t>
      </w:r>
      <w:r w:rsidRPr="006414E6">
        <w:rPr>
          <w:rFonts w:cs="Times New Roman"/>
          <w:i/>
          <w:sz w:val="24"/>
          <w:szCs w:val="24"/>
        </w:rPr>
        <w:t>: Cijene emisijskih jedinica u ETS-u</w:t>
      </w:r>
      <w:bookmarkEnd w:id="204"/>
      <w:bookmarkEnd w:id="205"/>
    </w:p>
    <w:tbl>
      <w:tblPr>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18"/>
        <w:gridCol w:w="850"/>
        <w:gridCol w:w="850"/>
        <w:gridCol w:w="850"/>
        <w:gridCol w:w="850"/>
        <w:gridCol w:w="850"/>
        <w:gridCol w:w="850"/>
        <w:gridCol w:w="850"/>
      </w:tblGrid>
      <w:tr w:rsidR="00AD49D3" w:rsidRPr="006414E6" w14:paraId="57F785D3" w14:textId="77777777" w:rsidTr="00733B6B">
        <w:trPr>
          <w:trHeight w:val="397"/>
        </w:trPr>
        <w:tc>
          <w:tcPr>
            <w:tcW w:w="3118" w:type="dxa"/>
            <w:shd w:val="clear" w:color="auto" w:fill="F2F2F2" w:themeFill="background1" w:themeFillShade="F2"/>
            <w:vAlign w:val="center"/>
          </w:tcPr>
          <w:p w14:paraId="578BB54C" w14:textId="77777777" w:rsidR="00AD49D3" w:rsidRPr="006414E6" w:rsidRDefault="00AD49D3" w:rsidP="00C72233">
            <w:pPr>
              <w:kinsoku w:val="0"/>
              <w:overflowPunct w:val="0"/>
              <w:autoSpaceDE w:val="0"/>
              <w:autoSpaceDN w:val="0"/>
              <w:adjustRightInd w:val="0"/>
              <w:spacing w:line="240" w:lineRule="auto"/>
              <w:jc w:val="left"/>
              <w:rPr>
                <w:rFonts w:cs="Times New Roman"/>
              </w:rPr>
            </w:pPr>
          </w:p>
        </w:tc>
        <w:tc>
          <w:tcPr>
            <w:tcW w:w="850" w:type="dxa"/>
            <w:shd w:val="clear" w:color="auto" w:fill="F2F2F2" w:themeFill="background1" w:themeFillShade="F2"/>
            <w:vAlign w:val="center"/>
          </w:tcPr>
          <w:p w14:paraId="25B6FEE6" w14:textId="77777777" w:rsidR="00AD49D3" w:rsidRPr="006414E6" w:rsidRDefault="00AD49D3" w:rsidP="00AD49D3">
            <w:pPr>
              <w:kinsoku w:val="0"/>
              <w:overflowPunct w:val="0"/>
              <w:autoSpaceDE w:val="0"/>
              <w:autoSpaceDN w:val="0"/>
              <w:adjustRightInd w:val="0"/>
              <w:spacing w:line="240" w:lineRule="auto"/>
              <w:jc w:val="center"/>
              <w:rPr>
                <w:rFonts w:cs="Times New Roman"/>
                <w:b/>
              </w:rPr>
            </w:pPr>
            <w:r w:rsidRPr="006414E6">
              <w:rPr>
                <w:rFonts w:cs="Times New Roman"/>
                <w:b/>
              </w:rPr>
              <w:t>2015.</w:t>
            </w:r>
          </w:p>
        </w:tc>
        <w:tc>
          <w:tcPr>
            <w:tcW w:w="850" w:type="dxa"/>
            <w:shd w:val="clear" w:color="auto" w:fill="F2F2F2" w:themeFill="background1" w:themeFillShade="F2"/>
            <w:vAlign w:val="center"/>
          </w:tcPr>
          <w:p w14:paraId="785D92AC" w14:textId="77777777" w:rsidR="00AD49D3" w:rsidRPr="006414E6" w:rsidRDefault="00AD49D3" w:rsidP="00AD49D3">
            <w:pPr>
              <w:kinsoku w:val="0"/>
              <w:overflowPunct w:val="0"/>
              <w:autoSpaceDE w:val="0"/>
              <w:autoSpaceDN w:val="0"/>
              <w:adjustRightInd w:val="0"/>
              <w:spacing w:line="240" w:lineRule="auto"/>
              <w:jc w:val="center"/>
              <w:rPr>
                <w:rFonts w:cs="Times New Roman"/>
                <w:b/>
              </w:rPr>
            </w:pPr>
            <w:r w:rsidRPr="006414E6">
              <w:rPr>
                <w:rFonts w:cs="Times New Roman"/>
                <w:b/>
              </w:rPr>
              <w:t>2020.</w:t>
            </w:r>
          </w:p>
        </w:tc>
        <w:tc>
          <w:tcPr>
            <w:tcW w:w="850" w:type="dxa"/>
            <w:shd w:val="clear" w:color="auto" w:fill="F2F2F2" w:themeFill="background1" w:themeFillShade="F2"/>
            <w:vAlign w:val="center"/>
          </w:tcPr>
          <w:p w14:paraId="38D0B783" w14:textId="77777777" w:rsidR="00AD49D3" w:rsidRPr="006414E6" w:rsidRDefault="00AD49D3" w:rsidP="00AD49D3">
            <w:pPr>
              <w:kinsoku w:val="0"/>
              <w:overflowPunct w:val="0"/>
              <w:autoSpaceDE w:val="0"/>
              <w:autoSpaceDN w:val="0"/>
              <w:adjustRightInd w:val="0"/>
              <w:spacing w:line="240" w:lineRule="auto"/>
              <w:jc w:val="center"/>
              <w:rPr>
                <w:rFonts w:cs="Times New Roman"/>
                <w:b/>
              </w:rPr>
            </w:pPr>
            <w:r w:rsidRPr="006414E6">
              <w:rPr>
                <w:rFonts w:cs="Times New Roman"/>
                <w:b/>
              </w:rPr>
              <w:t>2025.</w:t>
            </w:r>
          </w:p>
        </w:tc>
        <w:tc>
          <w:tcPr>
            <w:tcW w:w="850" w:type="dxa"/>
            <w:shd w:val="clear" w:color="auto" w:fill="F2F2F2" w:themeFill="background1" w:themeFillShade="F2"/>
            <w:vAlign w:val="center"/>
          </w:tcPr>
          <w:p w14:paraId="3A1CED23" w14:textId="77777777" w:rsidR="00AD49D3" w:rsidRPr="006414E6" w:rsidRDefault="00AD49D3" w:rsidP="00AD49D3">
            <w:pPr>
              <w:kinsoku w:val="0"/>
              <w:overflowPunct w:val="0"/>
              <w:autoSpaceDE w:val="0"/>
              <w:autoSpaceDN w:val="0"/>
              <w:adjustRightInd w:val="0"/>
              <w:spacing w:line="240" w:lineRule="auto"/>
              <w:jc w:val="center"/>
              <w:rPr>
                <w:rFonts w:cs="Times New Roman"/>
                <w:b/>
              </w:rPr>
            </w:pPr>
            <w:r w:rsidRPr="006414E6">
              <w:rPr>
                <w:rFonts w:cs="Times New Roman"/>
                <w:b/>
              </w:rPr>
              <w:t>2030.</w:t>
            </w:r>
          </w:p>
        </w:tc>
        <w:tc>
          <w:tcPr>
            <w:tcW w:w="850" w:type="dxa"/>
            <w:shd w:val="clear" w:color="auto" w:fill="F2F2F2" w:themeFill="background1" w:themeFillShade="F2"/>
            <w:vAlign w:val="center"/>
          </w:tcPr>
          <w:p w14:paraId="02C23BAC" w14:textId="77777777" w:rsidR="00AD49D3" w:rsidRPr="006414E6" w:rsidRDefault="00AD49D3" w:rsidP="00AD49D3">
            <w:pPr>
              <w:kinsoku w:val="0"/>
              <w:overflowPunct w:val="0"/>
              <w:autoSpaceDE w:val="0"/>
              <w:autoSpaceDN w:val="0"/>
              <w:adjustRightInd w:val="0"/>
              <w:spacing w:line="240" w:lineRule="auto"/>
              <w:jc w:val="center"/>
              <w:rPr>
                <w:rFonts w:cs="Times New Roman"/>
                <w:b/>
              </w:rPr>
            </w:pPr>
            <w:r w:rsidRPr="006414E6">
              <w:rPr>
                <w:rFonts w:cs="Times New Roman"/>
                <w:b/>
              </w:rPr>
              <w:t>2035.</w:t>
            </w:r>
          </w:p>
        </w:tc>
        <w:tc>
          <w:tcPr>
            <w:tcW w:w="850" w:type="dxa"/>
            <w:shd w:val="clear" w:color="auto" w:fill="F2F2F2" w:themeFill="background1" w:themeFillShade="F2"/>
            <w:vAlign w:val="center"/>
          </w:tcPr>
          <w:p w14:paraId="7077F4CC" w14:textId="77777777" w:rsidR="00AD49D3" w:rsidRPr="006414E6" w:rsidRDefault="00AD49D3" w:rsidP="00AD49D3">
            <w:pPr>
              <w:kinsoku w:val="0"/>
              <w:overflowPunct w:val="0"/>
              <w:autoSpaceDE w:val="0"/>
              <w:autoSpaceDN w:val="0"/>
              <w:adjustRightInd w:val="0"/>
              <w:spacing w:line="240" w:lineRule="auto"/>
              <w:jc w:val="center"/>
              <w:rPr>
                <w:rFonts w:cs="Times New Roman"/>
                <w:b/>
              </w:rPr>
            </w:pPr>
            <w:r w:rsidRPr="006414E6">
              <w:rPr>
                <w:rFonts w:cs="Times New Roman"/>
                <w:b/>
              </w:rPr>
              <w:t>2040.</w:t>
            </w:r>
          </w:p>
        </w:tc>
        <w:tc>
          <w:tcPr>
            <w:tcW w:w="850" w:type="dxa"/>
            <w:shd w:val="clear" w:color="auto" w:fill="F2F2F2" w:themeFill="background1" w:themeFillShade="F2"/>
            <w:vAlign w:val="center"/>
          </w:tcPr>
          <w:p w14:paraId="44F7229C" w14:textId="77777777" w:rsidR="00AD49D3" w:rsidRPr="006414E6" w:rsidRDefault="00AD49D3" w:rsidP="00AD49D3">
            <w:pPr>
              <w:kinsoku w:val="0"/>
              <w:overflowPunct w:val="0"/>
              <w:autoSpaceDE w:val="0"/>
              <w:autoSpaceDN w:val="0"/>
              <w:adjustRightInd w:val="0"/>
              <w:spacing w:line="240" w:lineRule="auto"/>
              <w:jc w:val="center"/>
              <w:rPr>
                <w:rFonts w:cs="Times New Roman"/>
                <w:b/>
              </w:rPr>
            </w:pPr>
            <w:r w:rsidRPr="006414E6">
              <w:rPr>
                <w:rFonts w:cs="Times New Roman"/>
                <w:b/>
              </w:rPr>
              <w:t>2050.</w:t>
            </w:r>
          </w:p>
        </w:tc>
      </w:tr>
      <w:tr w:rsidR="00AD49D3" w:rsidRPr="006414E6" w14:paraId="2368EAD5" w14:textId="77777777" w:rsidTr="00733B6B">
        <w:trPr>
          <w:trHeight w:val="397"/>
        </w:trPr>
        <w:tc>
          <w:tcPr>
            <w:tcW w:w="3118" w:type="dxa"/>
            <w:shd w:val="clear" w:color="auto" w:fill="F2F2F2" w:themeFill="background1" w:themeFillShade="F2"/>
            <w:vAlign w:val="center"/>
          </w:tcPr>
          <w:p w14:paraId="4DD5D09C" w14:textId="77777777" w:rsidR="00AD49D3" w:rsidRPr="006414E6" w:rsidRDefault="00AD49D3" w:rsidP="00AD49D3">
            <w:pPr>
              <w:kinsoku w:val="0"/>
              <w:overflowPunct w:val="0"/>
              <w:autoSpaceDE w:val="0"/>
              <w:autoSpaceDN w:val="0"/>
              <w:adjustRightInd w:val="0"/>
              <w:spacing w:line="240" w:lineRule="auto"/>
              <w:jc w:val="left"/>
              <w:rPr>
                <w:rFonts w:cs="Times New Roman"/>
                <w:b/>
                <w:bCs/>
                <w:spacing w:val="-1"/>
              </w:rPr>
            </w:pPr>
            <w:r w:rsidRPr="006414E6">
              <w:rPr>
                <w:rFonts w:cs="Times New Roman"/>
                <w:b/>
              </w:rPr>
              <w:t>EUR'13/t CO</w:t>
            </w:r>
            <w:r w:rsidRPr="006414E6">
              <w:rPr>
                <w:rFonts w:cs="Times New Roman"/>
                <w:b/>
                <w:vertAlign w:val="subscript"/>
              </w:rPr>
              <w:t>2</w:t>
            </w:r>
            <w:r w:rsidRPr="006414E6">
              <w:rPr>
                <w:rFonts w:cs="Times New Roman"/>
                <w:b/>
              </w:rPr>
              <w:t>e</w:t>
            </w:r>
          </w:p>
        </w:tc>
        <w:tc>
          <w:tcPr>
            <w:tcW w:w="850" w:type="dxa"/>
            <w:vAlign w:val="center"/>
          </w:tcPr>
          <w:p w14:paraId="1EB0CC29"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7,0</w:t>
            </w:r>
          </w:p>
        </w:tc>
        <w:tc>
          <w:tcPr>
            <w:tcW w:w="850" w:type="dxa"/>
            <w:vAlign w:val="center"/>
          </w:tcPr>
          <w:p w14:paraId="7F95126A"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15,0</w:t>
            </w:r>
          </w:p>
        </w:tc>
        <w:tc>
          <w:tcPr>
            <w:tcW w:w="850" w:type="dxa"/>
            <w:vAlign w:val="center"/>
          </w:tcPr>
          <w:p w14:paraId="14F05E54"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22,5</w:t>
            </w:r>
          </w:p>
        </w:tc>
        <w:tc>
          <w:tcPr>
            <w:tcW w:w="850" w:type="dxa"/>
            <w:vAlign w:val="center"/>
          </w:tcPr>
          <w:p w14:paraId="645F6CB1"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33,5</w:t>
            </w:r>
          </w:p>
        </w:tc>
        <w:tc>
          <w:tcPr>
            <w:tcW w:w="850" w:type="dxa"/>
            <w:vAlign w:val="center"/>
          </w:tcPr>
          <w:p w14:paraId="3BD9BAA3"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42,0</w:t>
            </w:r>
          </w:p>
        </w:tc>
        <w:tc>
          <w:tcPr>
            <w:tcW w:w="850" w:type="dxa"/>
            <w:vAlign w:val="center"/>
          </w:tcPr>
          <w:p w14:paraId="2AD9CE1E"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eastAsia="MS Mincho" w:cs="Times New Roman"/>
              </w:rPr>
              <w:t>50,0</w:t>
            </w:r>
          </w:p>
        </w:tc>
        <w:tc>
          <w:tcPr>
            <w:tcW w:w="850" w:type="dxa"/>
            <w:vAlign w:val="center"/>
          </w:tcPr>
          <w:p w14:paraId="00C512A5"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90,0</w:t>
            </w:r>
          </w:p>
        </w:tc>
      </w:tr>
      <w:tr w:rsidR="00AD49D3" w:rsidRPr="006414E6" w14:paraId="2DFACD34" w14:textId="77777777" w:rsidTr="00733B6B">
        <w:trPr>
          <w:trHeight w:val="397"/>
        </w:trPr>
        <w:tc>
          <w:tcPr>
            <w:tcW w:w="3118" w:type="dxa"/>
            <w:shd w:val="clear" w:color="auto" w:fill="F2F2F2" w:themeFill="background1" w:themeFillShade="F2"/>
            <w:vAlign w:val="center"/>
          </w:tcPr>
          <w:p w14:paraId="0B05AB46" w14:textId="77777777" w:rsidR="00AD49D3" w:rsidRPr="006414E6" w:rsidRDefault="00AD49D3" w:rsidP="00AD49D3">
            <w:pPr>
              <w:kinsoku w:val="0"/>
              <w:overflowPunct w:val="0"/>
              <w:autoSpaceDE w:val="0"/>
              <w:autoSpaceDN w:val="0"/>
              <w:adjustRightInd w:val="0"/>
              <w:spacing w:line="240" w:lineRule="auto"/>
              <w:jc w:val="left"/>
              <w:rPr>
                <w:rFonts w:cs="Times New Roman"/>
                <w:b/>
              </w:rPr>
            </w:pPr>
            <w:r w:rsidRPr="006414E6">
              <w:rPr>
                <w:rFonts w:cs="Times New Roman"/>
                <w:b/>
              </w:rPr>
              <w:t>EUR'16/t CO</w:t>
            </w:r>
            <w:r w:rsidRPr="006414E6">
              <w:rPr>
                <w:rFonts w:cs="Times New Roman"/>
                <w:b/>
                <w:vertAlign w:val="subscript"/>
              </w:rPr>
              <w:t>2</w:t>
            </w:r>
            <w:r w:rsidRPr="006414E6">
              <w:rPr>
                <w:rFonts w:cs="Times New Roman"/>
                <w:b/>
              </w:rPr>
              <w:t>e</w:t>
            </w:r>
          </w:p>
        </w:tc>
        <w:tc>
          <w:tcPr>
            <w:tcW w:w="850" w:type="dxa"/>
            <w:vAlign w:val="center"/>
          </w:tcPr>
          <w:p w14:paraId="73885CC1"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7,8</w:t>
            </w:r>
          </w:p>
        </w:tc>
        <w:tc>
          <w:tcPr>
            <w:tcW w:w="850" w:type="dxa"/>
            <w:vAlign w:val="center"/>
          </w:tcPr>
          <w:p w14:paraId="515B42C6"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15,5</w:t>
            </w:r>
          </w:p>
        </w:tc>
        <w:tc>
          <w:tcPr>
            <w:tcW w:w="850" w:type="dxa"/>
            <w:vAlign w:val="center"/>
          </w:tcPr>
          <w:p w14:paraId="351D8251"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23,3</w:t>
            </w:r>
          </w:p>
        </w:tc>
        <w:tc>
          <w:tcPr>
            <w:tcW w:w="850" w:type="dxa"/>
            <w:vAlign w:val="center"/>
          </w:tcPr>
          <w:p w14:paraId="481D35D7"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34,7</w:t>
            </w:r>
          </w:p>
        </w:tc>
        <w:tc>
          <w:tcPr>
            <w:tcW w:w="850" w:type="dxa"/>
            <w:vAlign w:val="center"/>
          </w:tcPr>
          <w:p w14:paraId="23A75FD6"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43,5</w:t>
            </w:r>
          </w:p>
        </w:tc>
        <w:tc>
          <w:tcPr>
            <w:tcW w:w="850" w:type="dxa"/>
            <w:vAlign w:val="center"/>
          </w:tcPr>
          <w:p w14:paraId="67144957"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51,7</w:t>
            </w:r>
          </w:p>
        </w:tc>
        <w:tc>
          <w:tcPr>
            <w:tcW w:w="850" w:type="dxa"/>
            <w:vAlign w:val="center"/>
          </w:tcPr>
          <w:p w14:paraId="104E7C14" w14:textId="77777777" w:rsidR="00AD49D3" w:rsidRPr="006414E6" w:rsidRDefault="00AD49D3" w:rsidP="00AD49D3">
            <w:pPr>
              <w:kinsoku w:val="0"/>
              <w:overflowPunct w:val="0"/>
              <w:autoSpaceDE w:val="0"/>
              <w:autoSpaceDN w:val="0"/>
              <w:adjustRightInd w:val="0"/>
              <w:spacing w:line="240" w:lineRule="auto"/>
              <w:jc w:val="center"/>
              <w:rPr>
                <w:rFonts w:cs="Times New Roman"/>
              </w:rPr>
            </w:pPr>
            <w:r w:rsidRPr="006414E6">
              <w:rPr>
                <w:rFonts w:cs="Times New Roman"/>
              </w:rPr>
              <w:t>93,1</w:t>
            </w:r>
          </w:p>
        </w:tc>
      </w:tr>
      <w:tr w:rsidR="00F111F2" w:rsidRPr="006414E6" w14:paraId="1A2D6F35" w14:textId="77777777" w:rsidTr="00733B6B">
        <w:trPr>
          <w:trHeight w:val="397"/>
        </w:trPr>
        <w:tc>
          <w:tcPr>
            <w:tcW w:w="3118" w:type="dxa"/>
            <w:shd w:val="clear" w:color="auto" w:fill="F2F2F2" w:themeFill="background1" w:themeFillShade="F2"/>
            <w:vAlign w:val="center"/>
          </w:tcPr>
          <w:p w14:paraId="099F17BD" w14:textId="77777777" w:rsidR="00F111F2" w:rsidRPr="006414E6" w:rsidRDefault="00F111F2" w:rsidP="00F111F2">
            <w:pPr>
              <w:kinsoku w:val="0"/>
              <w:overflowPunct w:val="0"/>
              <w:autoSpaceDE w:val="0"/>
              <w:autoSpaceDN w:val="0"/>
              <w:adjustRightInd w:val="0"/>
              <w:spacing w:line="240" w:lineRule="auto"/>
              <w:jc w:val="left"/>
              <w:rPr>
                <w:rFonts w:cs="Times New Roman"/>
                <w:b/>
              </w:rPr>
            </w:pPr>
            <w:r w:rsidRPr="006414E6">
              <w:rPr>
                <w:rFonts w:cs="Times New Roman"/>
                <w:b/>
              </w:rPr>
              <w:t>Korekcija povijesnih cijena EUR'15/t CO</w:t>
            </w:r>
            <w:r w:rsidRPr="006414E6">
              <w:rPr>
                <w:rFonts w:cs="Times New Roman"/>
                <w:b/>
                <w:vertAlign w:val="subscript"/>
              </w:rPr>
              <w:t>2</w:t>
            </w:r>
            <w:r w:rsidRPr="006414E6">
              <w:rPr>
                <w:rFonts w:cs="Times New Roman"/>
                <w:b/>
              </w:rPr>
              <w:t>e</w:t>
            </w:r>
          </w:p>
        </w:tc>
        <w:tc>
          <w:tcPr>
            <w:tcW w:w="850" w:type="dxa"/>
            <w:vAlign w:val="center"/>
          </w:tcPr>
          <w:p w14:paraId="375E6AF4" w14:textId="77777777" w:rsidR="00F111F2" w:rsidRPr="006414E6" w:rsidRDefault="00F111F2" w:rsidP="00AD49D3">
            <w:pPr>
              <w:kinsoku w:val="0"/>
              <w:overflowPunct w:val="0"/>
              <w:autoSpaceDE w:val="0"/>
              <w:autoSpaceDN w:val="0"/>
              <w:adjustRightInd w:val="0"/>
              <w:spacing w:line="240" w:lineRule="auto"/>
              <w:jc w:val="center"/>
              <w:rPr>
                <w:rFonts w:cs="Times New Roman"/>
              </w:rPr>
            </w:pPr>
            <w:r w:rsidRPr="006414E6">
              <w:rPr>
                <w:rFonts w:cs="Times New Roman"/>
              </w:rPr>
              <w:t>7,7</w:t>
            </w:r>
          </w:p>
        </w:tc>
        <w:tc>
          <w:tcPr>
            <w:tcW w:w="850" w:type="dxa"/>
            <w:vAlign w:val="center"/>
          </w:tcPr>
          <w:p w14:paraId="3C39DC72" w14:textId="77777777" w:rsidR="00F111F2" w:rsidRPr="006414E6" w:rsidRDefault="00F111F2" w:rsidP="00AD49D3">
            <w:pPr>
              <w:kinsoku w:val="0"/>
              <w:overflowPunct w:val="0"/>
              <w:autoSpaceDE w:val="0"/>
              <w:autoSpaceDN w:val="0"/>
              <w:adjustRightInd w:val="0"/>
              <w:spacing w:line="240" w:lineRule="auto"/>
              <w:jc w:val="center"/>
              <w:rPr>
                <w:rFonts w:cs="Times New Roman"/>
              </w:rPr>
            </w:pPr>
            <w:r w:rsidRPr="006414E6">
              <w:rPr>
                <w:rFonts w:cs="Times New Roman"/>
              </w:rPr>
              <w:t>25,6</w:t>
            </w:r>
          </w:p>
        </w:tc>
        <w:tc>
          <w:tcPr>
            <w:tcW w:w="850" w:type="dxa"/>
            <w:vAlign w:val="center"/>
          </w:tcPr>
          <w:p w14:paraId="12CAD809" w14:textId="77777777" w:rsidR="00F111F2" w:rsidRPr="006414E6" w:rsidRDefault="00F111F2" w:rsidP="00AD49D3">
            <w:pPr>
              <w:kinsoku w:val="0"/>
              <w:overflowPunct w:val="0"/>
              <w:autoSpaceDE w:val="0"/>
              <w:autoSpaceDN w:val="0"/>
              <w:adjustRightInd w:val="0"/>
              <w:spacing w:line="240" w:lineRule="auto"/>
              <w:jc w:val="center"/>
              <w:rPr>
                <w:rFonts w:cs="Times New Roman"/>
              </w:rPr>
            </w:pPr>
            <w:r w:rsidRPr="006414E6">
              <w:rPr>
                <w:rFonts w:cs="Times New Roman"/>
              </w:rPr>
              <w:t>29,9</w:t>
            </w:r>
          </w:p>
        </w:tc>
        <w:tc>
          <w:tcPr>
            <w:tcW w:w="850" w:type="dxa"/>
            <w:vAlign w:val="center"/>
          </w:tcPr>
          <w:p w14:paraId="0ACE83DA" w14:textId="77777777" w:rsidR="00F111F2" w:rsidRPr="006414E6" w:rsidRDefault="00F111F2" w:rsidP="00AD49D3">
            <w:pPr>
              <w:kinsoku w:val="0"/>
              <w:overflowPunct w:val="0"/>
              <w:autoSpaceDE w:val="0"/>
              <w:autoSpaceDN w:val="0"/>
              <w:adjustRightInd w:val="0"/>
              <w:spacing w:line="240" w:lineRule="auto"/>
              <w:jc w:val="center"/>
              <w:rPr>
                <w:rFonts w:cs="Times New Roman"/>
              </w:rPr>
            </w:pPr>
            <w:r w:rsidRPr="006414E6">
              <w:rPr>
                <w:rFonts w:cs="Times New Roman"/>
              </w:rPr>
              <w:t>34,3</w:t>
            </w:r>
          </w:p>
        </w:tc>
        <w:tc>
          <w:tcPr>
            <w:tcW w:w="850" w:type="dxa"/>
            <w:vAlign w:val="center"/>
          </w:tcPr>
          <w:p w14:paraId="2FA4E69D" w14:textId="77777777" w:rsidR="00F111F2" w:rsidRPr="006414E6" w:rsidRDefault="00F111F2" w:rsidP="00AD49D3">
            <w:pPr>
              <w:kinsoku w:val="0"/>
              <w:overflowPunct w:val="0"/>
              <w:autoSpaceDE w:val="0"/>
              <w:autoSpaceDN w:val="0"/>
              <w:adjustRightInd w:val="0"/>
              <w:spacing w:line="240" w:lineRule="auto"/>
              <w:jc w:val="center"/>
              <w:rPr>
                <w:rFonts w:cs="Times New Roman"/>
              </w:rPr>
            </w:pPr>
            <w:r w:rsidRPr="006414E6">
              <w:rPr>
                <w:rFonts w:cs="Times New Roman"/>
              </w:rPr>
              <w:t>43,0</w:t>
            </w:r>
          </w:p>
        </w:tc>
        <w:tc>
          <w:tcPr>
            <w:tcW w:w="850" w:type="dxa"/>
            <w:vAlign w:val="center"/>
          </w:tcPr>
          <w:p w14:paraId="642FD326" w14:textId="77777777" w:rsidR="00F111F2" w:rsidRPr="006414E6" w:rsidRDefault="00F111F2" w:rsidP="00AD49D3">
            <w:pPr>
              <w:kinsoku w:val="0"/>
              <w:overflowPunct w:val="0"/>
              <w:autoSpaceDE w:val="0"/>
              <w:autoSpaceDN w:val="0"/>
              <w:adjustRightInd w:val="0"/>
              <w:spacing w:line="240" w:lineRule="auto"/>
              <w:jc w:val="center"/>
              <w:rPr>
                <w:rFonts w:cs="Times New Roman"/>
              </w:rPr>
            </w:pPr>
            <w:r w:rsidRPr="006414E6">
              <w:rPr>
                <w:rFonts w:cs="Times New Roman"/>
              </w:rPr>
              <w:t>51,1</w:t>
            </w:r>
          </w:p>
        </w:tc>
        <w:tc>
          <w:tcPr>
            <w:tcW w:w="850" w:type="dxa"/>
            <w:vAlign w:val="center"/>
          </w:tcPr>
          <w:p w14:paraId="19C448E6" w14:textId="77777777" w:rsidR="00F111F2" w:rsidRPr="006414E6" w:rsidRDefault="00F111F2" w:rsidP="00AD49D3">
            <w:pPr>
              <w:kinsoku w:val="0"/>
              <w:overflowPunct w:val="0"/>
              <w:autoSpaceDE w:val="0"/>
              <w:autoSpaceDN w:val="0"/>
              <w:adjustRightInd w:val="0"/>
              <w:spacing w:line="240" w:lineRule="auto"/>
              <w:jc w:val="center"/>
              <w:rPr>
                <w:rFonts w:cs="Times New Roman"/>
              </w:rPr>
            </w:pPr>
            <w:r w:rsidRPr="006414E6">
              <w:rPr>
                <w:rFonts w:cs="Times New Roman"/>
              </w:rPr>
              <w:t>92,1</w:t>
            </w:r>
          </w:p>
        </w:tc>
      </w:tr>
    </w:tbl>
    <w:p w14:paraId="6C1B2D0B" w14:textId="77777777" w:rsidR="004409FA" w:rsidRPr="006414E6" w:rsidRDefault="000E5653" w:rsidP="00EE3488">
      <w:pPr>
        <w:pStyle w:val="Heading3"/>
      </w:pPr>
      <w:bookmarkStart w:id="206" w:name="_Toc39133273"/>
      <w:bookmarkStart w:id="207" w:name="_Toc20841300"/>
      <w:bookmarkStart w:id="208" w:name="_Toc20841406"/>
      <w:r w:rsidRPr="006414E6">
        <w:t>3.3.2.</w:t>
      </w:r>
      <w:r w:rsidRPr="006414E6">
        <w:tab/>
      </w:r>
      <w:r w:rsidR="004409FA" w:rsidRPr="006414E6">
        <w:t>Utvrđivanje scenarija</w:t>
      </w:r>
      <w:bookmarkEnd w:id="206"/>
      <w:r w:rsidR="004409FA" w:rsidRPr="006414E6">
        <w:t xml:space="preserve"> </w:t>
      </w:r>
    </w:p>
    <w:p w14:paraId="1CF9A2F9" w14:textId="77777777" w:rsidR="00834CEB" w:rsidRPr="006414E6" w:rsidRDefault="00834CEB" w:rsidP="00F401F7">
      <w:pPr>
        <w:rPr>
          <w:rFonts w:cs="Times New Roman"/>
        </w:rPr>
      </w:pPr>
      <w:r w:rsidRPr="006414E6">
        <w:rPr>
          <w:rFonts w:cs="Times New Roman"/>
        </w:rPr>
        <w:t>Veliki broj čimbenika određuje konstrukciju i odabir scenarija, ovdje se navode neki važniji:</w:t>
      </w:r>
    </w:p>
    <w:p w14:paraId="5758DE1A" w14:textId="77777777" w:rsidR="00834CEB" w:rsidRPr="006414E6" w:rsidRDefault="00834CEB" w:rsidP="00F401F7">
      <w:pPr>
        <w:pStyle w:val="ListParagraph"/>
        <w:numPr>
          <w:ilvl w:val="0"/>
          <w:numId w:val="18"/>
        </w:numPr>
        <w:rPr>
          <w:rFonts w:cs="Times New Roman"/>
        </w:rPr>
      </w:pPr>
      <w:r w:rsidRPr="006414E6">
        <w:rPr>
          <w:rFonts w:cs="Times New Roman"/>
        </w:rPr>
        <w:t>nužnost kompatibilnosti s postojećim trendovima i politikom</w:t>
      </w:r>
    </w:p>
    <w:p w14:paraId="074D7027" w14:textId="77777777" w:rsidR="00834CEB" w:rsidRPr="006414E6" w:rsidRDefault="00834CEB" w:rsidP="003A2F37">
      <w:pPr>
        <w:pStyle w:val="ListParagraph"/>
        <w:numPr>
          <w:ilvl w:val="0"/>
          <w:numId w:val="18"/>
        </w:numPr>
        <w:rPr>
          <w:rFonts w:cs="Times New Roman"/>
        </w:rPr>
      </w:pPr>
      <w:r w:rsidRPr="006414E6">
        <w:rPr>
          <w:rFonts w:cs="Times New Roman"/>
        </w:rPr>
        <w:lastRenderedPageBreak/>
        <w:t>postizanje ciljeva koje postavlja EU na pojedine članice: ukupnog cilja za smanjenje emisije, smanjenje emisije u sektorima izvan ETS-a, udio obnovljivih izvora energije i energetske učinkovitosti</w:t>
      </w:r>
    </w:p>
    <w:p w14:paraId="40D44070" w14:textId="77777777" w:rsidR="00834CEB" w:rsidRPr="006414E6" w:rsidRDefault="00834CEB" w:rsidP="003A2F37">
      <w:pPr>
        <w:pStyle w:val="ListParagraph"/>
        <w:numPr>
          <w:ilvl w:val="0"/>
          <w:numId w:val="18"/>
        </w:numPr>
        <w:rPr>
          <w:rFonts w:cs="Times New Roman"/>
        </w:rPr>
      </w:pPr>
      <w:r w:rsidRPr="006414E6">
        <w:rPr>
          <w:rFonts w:cs="Times New Roman"/>
        </w:rPr>
        <w:t>nacionalni ciljevi iz važećih strategija i planova po sektorima</w:t>
      </w:r>
    </w:p>
    <w:p w14:paraId="29B8F257" w14:textId="77777777" w:rsidR="00834CEB" w:rsidRPr="006414E6" w:rsidRDefault="00834CEB" w:rsidP="003A2F37">
      <w:pPr>
        <w:pStyle w:val="ListParagraph"/>
        <w:numPr>
          <w:ilvl w:val="0"/>
          <w:numId w:val="18"/>
        </w:numPr>
        <w:rPr>
          <w:rFonts w:cs="Times New Roman"/>
        </w:rPr>
      </w:pPr>
      <w:r w:rsidRPr="006414E6">
        <w:rPr>
          <w:rFonts w:cs="Times New Roman"/>
        </w:rPr>
        <w:t>raspoloživost tehnologija</w:t>
      </w:r>
    </w:p>
    <w:p w14:paraId="3735AB6E" w14:textId="77777777" w:rsidR="00834CEB" w:rsidRPr="006414E6" w:rsidRDefault="00834CEB" w:rsidP="003A2F37">
      <w:pPr>
        <w:pStyle w:val="ListParagraph"/>
        <w:numPr>
          <w:ilvl w:val="0"/>
          <w:numId w:val="18"/>
        </w:numPr>
        <w:rPr>
          <w:rFonts w:cs="Times New Roman"/>
        </w:rPr>
      </w:pPr>
      <w:r w:rsidRPr="006414E6">
        <w:rPr>
          <w:rFonts w:cs="Times New Roman"/>
        </w:rPr>
        <w:t>troškovi i koristi</w:t>
      </w:r>
    </w:p>
    <w:p w14:paraId="20FE5ACD" w14:textId="77777777" w:rsidR="00834CEB" w:rsidRPr="006414E6" w:rsidRDefault="00834CEB" w:rsidP="003A2F37">
      <w:pPr>
        <w:pStyle w:val="ListParagraph"/>
        <w:numPr>
          <w:ilvl w:val="0"/>
          <w:numId w:val="18"/>
        </w:numPr>
        <w:rPr>
          <w:rFonts w:cs="Times New Roman"/>
        </w:rPr>
      </w:pPr>
      <w:r w:rsidRPr="006414E6">
        <w:rPr>
          <w:rFonts w:cs="Times New Roman"/>
        </w:rPr>
        <w:t>ispunjenje cilja sigurnosti opskrbe energijom i jačanje gospodarstva, te ostalih ciljeva koji su utvrđeni u Poglavlju 1.</w:t>
      </w:r>
      <w:r w:rsidR="00356EB4" w:rsidRPr="006414E6">
        <w:rPr>
          <w:rFonts w:cs="Times New Roman"/>
        </w:rPr>
        <w:t>2.</w:t>
      </w:r>
      <w:r w:rsidRPr="006414E6">
        <w:rPr>
          <w:rFonts w:cs="Times New Roman"/>
        </w:rPr>
        <w:t xml:space="preserve"> ove Strategije.</w:t>
      </w:r>
    </w:p>
    <w:p w14:paraId="465B12C5" w14:textId="77777777" w:rsidR="00834CEB" w:rsidRPr="006414E6" w:rsidRDefault="00834CEB" w:rsidP="00834CEB">
      <w:pPr>
        <w:rPr>
          <w:rFonts w:cs="Times New Roman"/>
        </w:rPr>
      </w:pPr>
      <w:r w:rsidRPr="006414E6">
        <w:rPr>
          <w:rFonts w:cs="Times New Roman"/>
        </w:rPr>
        <w:t xml:space="preserve">Scenariji predstavljaju kombinacije različitih mjera s različitom 'dubinom' primjene pojedinih mjera. </w:t>
      </w:r>
      <w:r w:rsidR="00D43F4F" w:rsidRPr="006414E6">
        <w:rPr>
          <w:rFonts w:cs="Times New Roman"/>
        </w:rPr>
        <w:t>U scenarijima, za razdoblje do 2030. godine okvir je provedbeno jasniji,</w:t>
      </w:r>
      <w:r w:rsidRPr="006414E6">
        <w:rPr>
          <w:rFonts w:cs="Times New Roman"/>
        </w:rPr>
        <w:t xml:space="preserve"> </w:t>
      </w:r>
      <w:r w:rsidR="00356EB4" w:rsidRPr="006414E6">
        <w:rPr>
          <w:rFonts w:cs="Times New Roman"/>
        </w:rPr>
        <w:t xml:space="preserve">a </w:t>
      </w:r>
      <w:r w:rsidRPr="006414E6">
        <w:rPr>
          <w:rFonts w:cs="Times New Roman"/>
        </w:rPr>
        <w:t>nakon 2030. godine mnogo je otvorenih pitanja i pretpostavki. Rezultate koji se odnose na razdoblje nakon 2030. godine treba prihvatiti kroz takvu prizmu promatranja.</w:t>
      </w:r>
    </w:p>
    <w:p w14:paraId="2D2C3805" w14:textId="77777777" w:rsidR="00834CEB" w:rsidRPr="006414E6" w:rsidRDefault="00834CEB" w:rsidP="00834CEB">
      <w:pPr>
        <w:rPr>
          <w:rFonts w:cs="Times New Roman"/>
        </w:rPr>
      </w:pPr>
      <w:r w:rsidRPr="006414E6">
        <w:rPr>
          <w:rFonts w:cs="Times New Roman"/>
        </w:rPr>
        <w:t xml:space="preserve">U nastavku se prikazuju tri scenarija koji predstavljaju sintezu </w:t>
      </w:r>
      <w:r w:rsidR="00695954" w:rsidRPr="006414E6">
        <w:rPr>
          <w:rFonts w:cs="Times New Roman"/>
        </w:rPr>
        <w:t xml:space="preserve">niza </w:t>
      </w:r>
      <w:r w:rsidRPr="006414E6">
        <w:rPr>
          <w:rFonts w:cs="Times New Roman"/>
        </w:rPr>
        <w:t xml:space="preserve">analiziranih scenarija, odnosno prezentiraju širi raspon njima bliskih scenarija, to su: </w:t>
      </w:r>
      <w:r w:rsidRPr="006414E6">
        <w:rPr>
          <w:rFonts w:cs="Times New Roman"/>
          <w:b/>
        </w:rPr>
        <w:t>referentni scenarij (NUR), scenarij postupne tranzicije (NU1) i scenarij snažne tranzicije (NU2)</w:t>
      </w:r>
      <w:r w:rsidRPr="006414E6">
        <w:rPr>
          <w:rFonts w:cs="Times New Roman"/>
        </w:rPr>
        <w:t xml:space="preserve">. Prema uobičajenom obilježavanju, na način kako se izvještava za potrebe UNFCCC-a, ovdje utvrđeni referentni scenarij pripada kategoriji scenarija 's mjerama' (eng. </w:t>
      </w:r>
      <w:proofErr w:type="spellStart"/>
      <w:r w:rsidRPr="006414E6">
        <w:rPr>
          <w:rFonts w:cs="Times New Roman"/>
          <w:i/>
        </w:rPr>
        <w:t>With</w:t>
      </w:r>
      <w:proofErr w:type="spellEnd"/>
      <w:r w:rsidRPr="006414E6">
        <w:rPr>
          <w:rFonts w:cs="Times New Roman"/>
          <w:i/>
        </w:rPr>
        <w:t xml:space="preserve"> </w:t>
      </w:r>
      <w:proofErr w:type="spellStart"/>
      <w:r w:rsidRPr="006414E6">
        <w:rPr>
          <w:rFonts w:cs="Times New Roman"/>
          <w:i/>
        </w:rPr>
        <w:t>Existing</w:t>
      </w:r>
      <w:proofErr w:type="spellEnd"/>
      <w:r w:rsidRPr="006414E6">
        <w:rPr>
          <w:rFonts w:cs="Times New Roman"/>
          <w:i/>
        </w:rPr>
        <w:t xml:space="preserve"> </w:t>
      </w:r>
      <w:proofErr w:type="spellStart"/>
      <w:r w:rsidRPr="006414E6">
        <w:rPr>
          <w:rFonts w:cs="Times New Roman"/>
          <w:i/>
        </w:rPr>
        <w:t>Measures</w:t>
      </w:r>
      <w:proofErr w:type="spellEnd"/>
      <w:r w:rsidRPr="006414E6">
        <w:rPr>
          <w:rFonts w:cs="Times New Roman"/>
          <w:i/>
        </w:rPr>
        <w:t xml:space="preserve"> – WEM</w:t>
      </w:r>
      <w:r w:rsidRPr="006414E6">
        <w:rPr>
          <w:rFonts w:cs="Times New Roman"/>
        </w:rPr>
        <w:t xml:space="preserve">), a scenariji postupne i snažne tranzicije pripadaju kategoriji scenarija 's dodatnim mjerama' (eng. </w:t>
      </w:r>
      <w:proofErr w:type="spellStart"/>
      <w:r w:rsidRPr="006414E6">
        <w:rPr>
          <w:rFonts w:cs="Times New Roman"/>
          <w:i/>
        </w:rPr>
        <w:t>With</w:t>
      </w:r>
      <w:proofErr w:type="spellEnd"/>
      <w:r w:rsidRPr="006414E6">
        <w:rPr>
          <w:rFonts w:cs="Times New Roman"/>
          <w:i/>
        </w:rPr>
        <w:t xml:space="preserve"> </w:t>
      </w:r>
      <w:proofErr w:type="spellStart"/>
      <w:r w:rsidRPr="006414E6">
        <w:rPr>
          <w:rFonts w:cs="Times New Roman"/>
          <w:i/>
        </w:rPr>
        <w:t>Additional</w:t>
      </w:r>
      <w:proofErr w:type="spellEnd"/>
      <w:r w:rsidRPr="006414E6">
        <w:rPr>
          <w:rFonts w:cs="Times New Roman"/>
          <w:i/>
        </w:rPr>
        <w:t xml:space="preserve"> </w:t>
      </w:r>
      <w:proofErr w:type="spellStart"/>
      <w:r w:rsidRPr="006414E6">
        <w:rPr>
          <w:rFonts w:cs="Times New Roman"/>
          <w:i/>
        </w:rPr>
        <w:t>Measures</w:t>
      </w:r>
      <w:proofErr w:type="spellEnd"/>
      <w:r w:rsidRPr="006414E6">
        <w:rPr>
          <w:rFonts w:cs="Times New Roman"/>
          <w:i/>
        </w:rPr>
        <w:t xml:space="preserve"> – WAM</w:t>
      </w:r>
      <w:r w:rsidRPr="006414E6">
        <w:rPr>
          <w:rFonts w:cs="Times New Roman"/>
        </w:rPr>
        <w:t xml:space="preserve">).  </w:t>
      </w:r>
      <w:r w:rsidR="00B86B3E" w:rsidRPr="006414E6">
        <w:rPr>
          <w:rFonts w:cs="Times New Roman"/>
        </w:rPr>
        <w:t>Na slici 3-</w:t>
      </w:r>
      <w:r w:rsidR="000C360D" w:rsidRPr="006414E6">
        <w:rPr>
          <w:rFonts w:cs="Times New Roman"/>
        </w:rPr>
        <w:t>3</w:t>
      </w:r>
      <w:r w:rsidR="00B86B3E" w:rsidRPr="006414E6">
        <w:rPr>
          <w:rFonts w:cs="Times New Roman"/>
        </w:rPr>
        <w:t xml:space="preserve"> prikazani su odnosi među scenarijima, shematski veličina kruga približno predstavlja emisiju u 2016. i 2050. godini.</w:t>
      </w:r>
    </w:p>
    <w:p w14:paraId="4611D6F4" w14:textId="0EF815C8" w:rsidR="004B2CFF" w:rsidRPr="0097273A" w:rsidRDefault="0097273A" w:rsidP="00B86B3E">
      <w:pPr>
        <w:pStyle w:val="Slika"/>
        <w:spacing w:before="120"/>
        <w:jc w:val="center"/>
        <w:rPr>
          <w:rFonts w:ascii="Times New Roman" w:eastAsia="Calibri" w:hAnsi="Times New Roman"/>
        </w:rPr>
      </w:pPr>
      <w:bookmarkStart w:id="209" w:name="_Toc484158370"/>
      <w:bookmarkStart w:id="210" w:name="_Toc33417101"/>
      <w:r>
        <w:rPr>
          <w:rFonts w:ascii="Times New Roman" w:eastAsia="Calibri" w:hAnsi="Times New Roman"/>
          <w:noProof/>
          <w:lang w:eastAsia="hr-HR"/>
        </w:rPr>
        <w:drawing>
          <wp:inline distT="0" distB="0" distL="0" distR="0" wp14:anchorId="5E685C0B" wp14:editId="65C586CF">
            <wp:extent cx="3657917" cy="177409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png"/>
                    <pic:cNvPicPr/>
                  </pic:nvPicPr>
                  <pic:blipFill>
                    <a:blip r:embed="rId20">
                      <a:extLst>
                        <a:ext uri="{28A0092B-C50C-407E-A947-70E740481C1C}">
                          <a14:useLocalDpi xmlns:a14="http://schemas.microsoft.com/office/drawing/2010/main" val="0"/>
                        </a:ext>
                      </a:extLst>
                    </a:blip>
                    <a:stretch>
                      <a:fillRect/>
                    </a:stretch>
                  </pic:blipFill>
                  <pic:spPr>
                    <a:xfrm>
                      <a:off x="0" y="0"/>
                      <a:ext cx="3657917" cy="1774090"/>
                    </a:xfrm>
                    <a:prstGeom prst="rect">
                      <a:avLst/>
                    </a:prstGeom>
                  </pic:spPr>
                </pic:pic>
              </a:graphicData>
            </a:graphic>
          </wp:inline>
        </w:drawing>
      </w:r>
    </w:p>
    <w:p w14:paraId="121BA0E9" w14:textId="0072902E" w:rsidR="00834CEB" w:rsidRPr="006414E6" w:rsidRDefault="00834CEB" w:rsidP="00B86B3E">
      <w:pPr>
        <w:pStyle w:val="Slika"/>
        <w:spacing w:before="120"/>
        <w:jc w:val="center"/>
        <w:rPr>
          <w:rFonts w:ascii="Times New Roman" w:hAnsi="Times New Roman"/>
          <w:i/>
        </w:rPr>
      </w:pPr>
      <w:r w:rsidRPr="006414E6">
        <w:rPr>
          <w:rFonts w:ascii="Times New Roman" w:eastAsia="Calibri" w:hAnsi="Times New Roman"/>
          <w:i/>
        </w:rPr>
        <w:t xml:space="preserve">Slika </w:t>
      </w:r>
      <w:r w:rsidR="00B86B3E" w:rsidRPr="006414E6">
        <w:rPr>
          <w:rFonts w:ascii="Times New Roman" w:eastAsia="Calibri" w:hAnsi="Times New Roman"/>
          <w:i/>
        </w:rPr>
        <w:t>3-</w:t>
      </w:r>
      <w:r w:rsidR="000C360D" w:rsidRPr="006414E6">
        <w:rPr>
          <w:rFonts w:ascii="Times New Roman" w:eastAsia="Calibri" w:hAnsi="Times New Roman"/>
          <w:i/>
        </w:rPr>
        <w:t>3</w:t>
      </w:r>
      <w:r w:rsidR="00B86B3E" w:rsidRPr="006414E6">
        <w:rPr>
          <w:rFonts w:ascii="Times New Roman" w:eastAsia="Calibri" w:hAnsi="Times New Roman"/>
          <w:i/>
        </w:rPr>
        <w:t>:</w:t>
      </w:r>
      <w:r w:rsidRPr="006414E6">
        <w:rPr>
          <w:rFonts w:ascii="Times New Roman" w:eastAsia="Calibri" w:hAnsi="Times New Roman"/>
          <w:i/>
        </w:rPr>
        <w:t xml:space="preserve"> </w:t>
      </w:r>
      <w:proofErr w:type="spellStart"/>
      <w:r w:rsidRPr="006414E6">
        <w:rPr>
          <w:rFonts w:ascii="Times New Roman" w:eastAsia="Calibri" w:hAnsi="Times New Roman"/>
          <w:i/>
        </w:rPr>
        <w:t>Niskougljični</w:t>
      </w:r>
      <w:proofErr w:type="spellEnd"/>
      <w:r w:rsidRPr="006414E6">
        <w:rPr>
          <w:rFonts w:ascii="Times New Roman" w:eastAsia="Calibri" w:hAnsi="Times New Roman"/>
          <w:i/>
        </w:rPr>
        <w:t xml:space="preserve"> scenariji NU1 i NU2</w:t>
      </w:r>
      <w:bookmarkEnd w:id="209"/>
      <w:bookmarkEnd w:id="210"/>
    </w:p>
    <w:p w14:paraId="0857EBCF" w14:textId="77777777" w:rsidR="00C7533B" w:rsidRPr="006414E6" w:rsidRDefault="008332B1" w:rsidP="00C7533B">
      <w:pPr>
        <w:rPr>
          <w:rFonts w:cs="Times New Roman"/>
        </w:rPr>
      </w:pPr>
      <w:r w:rsidRPr="006414E6">
        <w:rPr>
          <w:rFonts w:cs="Times New Roman"/>
          <w:b/>
        </w:rPr>
        <w:t xml:space="preserve">Referentni scenarij </w:t>
      </w:r>
      <w:r w:rsidR="007F412A" w:rsidRPr="006414E6">
        <w:rPr>
          <w:rFonts w:cs="Times New Roman"/>
          <w:b/>
        </w:rPr>
        <w:t>NUR</w:t>
      </w:r>
      <w:r w:rsidR="00396F58" w:rsidRPr="006414E6">
        <w:rPr>
          <w:rFonts w:cs="Times New Roman"/>
        </w:rPr>
        <w:t xml:space="preserve"> </w:t>
      </w:r>
      <w:r w:rsidRPr="006414E6">
        <w:rPr>
          <w:rFonts w:cs="Times New Roman"/>
        </w:rPr>
        <w:t xml:space="preserve">uključuje postojeći pravni okvir Republike Hrvatske i usvojen pravni okvir EU te simulaciju mjera koje bi se ostvarile tehnološkim napretkom bez politika ublažavanja klimatskih promjena. Referentni scenarij </w:t>
      </w:r>
      <w:r w:rsidRPr="006414E6">
        <w:rPr>
          <w:rFonts w:cs="Times New Roman"/>
          <w:u w:val="single"/>
        </w:rPr>
        <w:t>nije scenarij '</w:t>
      </w:r>
      <w:r w:rsidR="00695954" w:rsidRPr="006414E6">
        <w:rPr>
          <w:rFonts w:cs="Times New Roman"/>
          <w:u w:val="single"/>
        </w:rPr>
        <w:t>za</w:t>
      </w:r>
      <w:r w:rsidRPr="006414E6">
        <w:rPr>
          <w:rFonts w:cs="Times New Roman"/>
          <w:u w:val="single"/>
        </w:rPr>
        <w:t>mrznutog stanja'</w:t>
      </w:r>
      <w:r w:rsidRPr="006414E6">
        <w:rPr>
          <w:rFonts w:cs="Times New Roman"/>
        </w:rPr>
        <w:t xml:space="preserve">, već pretpostavlja razvoj tehnologija i njihovo korištenje. U odnosu na </w:t>
      </w:r>
      <w:proofErr w:type="spellStart"/>
      <w:r w:rsidRPr="006414E6">
        <w:rPr>
          <w:rFonts w:cs="Times New Roman"/>
        </w:rPr>
        <w:t>niskougljične</w:t>
      </w:r>
      <w:proofErr w:type="spellEnd"/>
      <w:r w:rsidRPr="006414E6">
        <w:rPr>
          <w:rFonts w:cs="Times New Roman"/>
        </w:rPr>
        <w:t xml:space="preserve"> scenarije za dostizanje ciljeva, to je scenarij s blažom penetracijom obnovljivih izvora energije i energetske učinkovitosti zbog odsustva snažne poticajne politike </w:t>
      </w:r>
      <w:proofErr w:type="spellStart"/>
      <w:r w:rsidRPr="006414E6">
        <w:rPr>
          <w:rFonts w:cs="Times New Roman"/>
        </w:rPr>
        <w:t>niskougljičnih</w:t>
      </w:r>
      <w:proofErr w:type="spellEnd"/>
      <w:r w:rsidRPr="006414E6">
        <w:rPr>
          <w:rFonts w:cs="Times New Roman"/>
        </w:rPr>
        <w:t xml:space="preserve"> rješenja, osobito potrebnih nakon 2030. godine. Strategije, planovi i programi koji su doneseni, a još ih ne prate provedbeni propisi, nisu uključeni u referentni scenarij.</w:t>
      </w:r>
      <w:r w:rsidR="00C7533B" w:rsidRPr="006414E6">
        <w:rPr>
          <w:rFonts w:cs="Times New Roman"/>
        </w:rPr>
        <w:t xml:space="preserve"> Scenarij se u svom energetskom dijelu temelji na scenariju S0 iz Energetske strategije.</w:t>
      </w:r>
    </w:p>
    <w:p w14:paraId="43D622E3" w14:textId="77777777" w:rsidR="00396F58" w:rsidRPr="006414E6" w:rsidRDefault="00396F58" w:rsidP="00C7533B">
      <w:pPr>
        <w:rPr>
          <w:rFonts w:cs="Times New Roman"/>
        </w:rPr>
      </w:pPr>
      <w:r w:rsidRPr="006414E6">
        <w:rPr>
          <w:rFonts w:cs="Times New Roman"/>
          <w:b/>
        </w:rPr>
        <w:t>Scenarij postupne tranzicije NU1</w:t>
      </w:r>
      <w:r w:rsidRPr="006414E6">
        <w:rPr>
          <w:rFonts w:cs="Times New Roman"/>
        </w:rPr>
        <w:t xml:space="preserve"> dimenzioniran tako da se sigurno ispune ciljevi smanjenja emisije koje bi mogli biti obveza u okviru interne sheme obveza EU i s tim u vezi ciljevi međunarodnog dugoročnog dogovora da se porast temperature održi unutar 2°C, a  po mogućnosti i unutar 1,5°C. U ovom scenariju smanjenje emisije se postiže primjenom niza troškovno učinkovitih mjera, snažnim poticanjem energetske učinkovitosti i primjeni obnovljivih izvora energije koji bi, u proizvodnji električne energije, nakon 2030. godine mogli velikim dijelom biti potpuno tržišno konkurentni. </w:t>
      </w:r>
      <w:r w:rsidRPr="006414E6">
        <w:rPr>
          <w:rFonts w:cs="Times New Roman"/>
        </w:rPr>
        <w:lastRenderedPageBreak/>
        <w:t>Scenarij pretpostavlja snažan rast cijena CO</w:t>
      </w:r>
      <w:r w:rsidRPr="006414E6">
        <w:rPr>
          <w:rFonts w:cs="Times New Roman"/>
          <w:vertAlign w:val="subscript"/>
        </w:rPr>
        <w:t>2</w:t>
      </w:r>
      <w:r w:rsidRPr="006414E6">
        <w:rPr>
          <w:rFonts w:cs="Times New Roman"/>
        </w:rPr>
        <w:t>, do 92,1 EUR/t CO</w:t>
      </w:r>
      <w:r w:rsidRPr="006414E6">
        <w:rPr>
          <w:rFonts w:cs="Times New Roman"/>
          <w:vertAlign w:val="subscript"/>
        </w:rPr>
        <w:t>2</w:t>
      </w:r>
      <w:r w:rsidRPr="006414E6">
        <w:rPr>
          <w:rFonts w:cs="Times New Roman"/>
        </w:rPr>
        <w:t xml:space="preserve"> u 2050. godini, što je glavni pokretač tranzicije. </w:t>
      </w:r>
      <w:r w:rsidR="00C7533B" w:rsidRPr="006414E6">
        <w:rPr>
          <w:rFonts w:cs="Times New Roman"/>
        </w:rPr>
        <w:t>Scenarij se u svom energetskom dijelu temelji na scenariju S2 iz Energetske strategije.</w:t>
      </w:r>
    </w:p>
    <w:p w14:paraId="2964AD77" w14:textId="77777777" w:rsidR="00C7533B" w:rsidRPr="006414E6" w:rsidRDefault="00396F58" w:rsidP="00C7533B">
      <w:pPr>
        <w:rPr>
          <w:rFonts w:cs="Times New Roman"/>
        </w:rPr>
      </w:pPr>
      <w:r w:rsidRPr="006414E6">
        <w:rPr>
          <w:rFonts w:cs="Times New Roman"/>
          <w:b/>
        </w:rPr>
        <w:t>Scenarij snažne tranzicije NU2</w:t>
      </w:r>
      <w:r w:rsidRPr="006414E6">
        <w:rPr>
          <w:rFonts w:cs="Times New Roman"/>
        </w:rPr>
        <w:t xml:space="preserve"> je dimenzioniran s ciljem da se u 2050. godini postigne smanjenje emisije 80% u odnosu na 1990. godinu. To je ciljno smanjenje koje je inače postavljeno kao zajednički cilj EU. U ovom scenariju kao i u NU1 pretpostavlja se snažan porast cijena CO</w:t>
      </w:r>
      <w:r w:rsidRPr="006414E6">
        <w:rPr>
          <w:rFonts w:cs="Times New Roman"/>
          <w:vertAlign w:val="subscript"/>
        </w:rPr>
        <w:t xml:space="preserve">2 </w:t>
      </w:r>
      <w:r w:rsidRPr="006414E6">
        <w:rPr>
          <w:rFonts w:cs="Times New Roman"/>
        </w:rPr>
        <w:t xml:space="preserve">do </w:t>
      </w:r>
      <w:r w:rsidR="00A54144" w:rsidRPr="006414E6">
        <w:rPr>
          <w:rFonts w:cs="Times New Roman"/>
        </w:rPr>
        <w:t>92,1</w:t>
      </w:r>
      <w:r w:rsidRPr="006414E6">
        <w:rPr>
          <w:rFonts w:cs="Times New Roman"/>
        </w:rPr>
        <w:t xml:space="preserve"> EUR/t CO</w:t>
      </w:r>
      <w:r w:rsidRPr="006414E6">
        <w:rPr>
          <w:rFonts w:cs="Times New Roman"/>
          <w:vertAlign w:val="subscript"/>
        </w:rPr>
        <w:t>2</w:t>
      </w:r>
      <w:r w:rsidRPr="006414E6">
        <w:rPr>
          <w:rFonts w:cs="Times New Roman"/>
        </w:rPr>
        <w:t xml:space="preserve"> u 2050. godini te vrlo snažne mjere energetske učinkovitosti. </w:t>
      </w:r>
      <w:r w:rsidR="00C7533B" w:rsidRPr="006414E6">
        <w:rPr>
          <w:rFonts w:cs="Times New Roman"/>
        </w:rPr>
        <w:t>Scenarij se u svom energetskom dijelu temelji na scenariju S1 iz Energetske strategije.</w:t>
      </w:r>
    </w:p>
    <w:p w14:paraId="6778A8CA" w14:textId="77777777" w:rsidR="00695954" w:rsidRPr="006414E6" w:rsidRDefault="00695954" w:rsidP="00695954">
      <w:pPr>
        <w:rPr>
          <w:rFonts w:cs="Times New Roman"/>
        </w:rPr>
      </w:pPr>
      <w:r w:rsidRPr="006414E6">
        <w:rPr>
          <w:rFonts w:cs="Times New Roman"/>
          <w:b/>
        </w:rPr>
        <w:t>Scenarij neto nulte emisije</w:t>
      </w:r>
      <w:r w:rsidRPr="006414E6">
        <w:rPr>
          <w:rFonts w:cs="Times New Roman"/>
        </w:rPr>
        <w:t xml:space="preserve"> za sada nije analiziran jer su političk</w:t>
      </w:r>
      <w:r w:rsidR="00842174" w:rsidRPr="006414E6">
        <w:rPr>
          <w:rFonts w:cs="Times New Roman"/>
        </w:rPr>
        <w:t>e</w:t>
      </w:r>
      <w:r w:rsidRPr="006414E6">
        <w:rPr>
          <w:rFonts w:cs="Times New Roman"/>
        </w:rPr>
        <w:t xml:space="preserve"> odluke na razini E</w:t>
      </w:r>
      <w:r w:rsidR="00842174" w:rsidRPr="006414E6">
        <w:rPr>
          <w:rFonts w:cs="Times New Roman"/>
        </w:rPr>
        <w:t xml:space="preserve">U </w:t>
      </w:r>
      <w:r w:rsidRPr="006414E6">
        <w:rPr>
          <w:rFonts w:cs="Times New Roman"/>
        </w:rPr>
        <w:t xml:space="preserve"> u tom smjeru donesene nedavno. K</w:t>
      </w:r>
      <w:r w:rsidR="00842174" w:rsidRPr="006414E6">
        <w:rPr>
          <w:rFonts w:cs="Times New Roman"/>
        </w:rPr>
        <w:t xml:space="preserve">rajem </w:t>
      </w:r>
      <w:r w:rsidRPr="006414E6">
        <w:rPr>
          <w:rFonts w:cs="Times New Roman"/>
        </w:rPr>
        <w:t xml:space="preserve">2018. godine usvojen je dokument </w:t>
      </w:r>
      <w:r w:rsidRPr="006414E6">
        <w:rPr>
          <w:rFonts w:cs="Times New Roman"/>
          <w:i/>
        </w:rPr>
        <w:t>Čist planet za sve -  Europska strateška dugoročna vizija za perspektivno, moderno, konkurentno i klimatski neutralno gospodarstvo</w:t>
      </w:r>
      <w:r w:rsidRPr="006414E6">
        <w:rPr>
          <w:rFonts w:cs="Times New Roman"/>
        </w:rPr>
        <w:t xml:space="preserve">.  Svrha je ove dugoročne strategije potvrditi vodeću ulogu Europe u oblikovanju globalne klimatske politike te predstaviti viziju koja može pomoći da se do 2050. </w:t>
      </w:r>
      <w:r w:rsidR="00842174" w:rsidRPr="006414E6">
        <w:rPr>
          <w:rFonts w:cs="Times New Roman"/>
        </w:rPr>
        <w:t xml:space="preserve">godine </w:t>
      </w:r>
      <w:r w:rsidRPr="006414E6">
        <w:rPr>
          <w:rFonts w:cs="Times New Roman"/>
        </w:rPr>
        <w:t xml:space="preserve">na troškovno učinkovit način i putem društveno pravedne tranzicije postigne </w:t>
      </w:r>
      <w:r w:rsidR="00842174" w:rsidRPr="006414E6">
        <w:rPr>
          <w:rFonts w:cs="Times New Roman"/>
        </w:rPr>
        <w:t xml:space="preserve">neto </w:t>
      </w:r>
      <w:r w:rsidRPr="006414E6">
        <w:rPr>
          <w:rFonts w:cs="Times New Roman"/>
        </w:rPr>
        <w:t xml:space="preserve">nulta stopa emisija stakleničkih plinova. U okviru </w:t>
      </w:r>
      <w:r w:rsidR="00C37240" w:rsidRPr="006414E6">
        <w:rPr>
          <w:rFonts w:cs="Times New Roman"/>
        </w:rPr>
        <w:t xml:space="preserve">ove dugoročne </w:t>
      </w:r>
      <w:r w:rsidRPr="006414E6">
        <w:rPr>
          <w:rFonts w:cs="Times New Roman"/>
        </w:rPr>
        <w:t xml:space="preserve">strategije </w:t>
      </w:r>
      <w:r w:rsidR="000107FD" w:rsidRPr="006414E6">
        <w:rPr>
          <w:rFonts w:cs="Times New Roman"/>
        </w:rPr>
        <w:t xml:space="preserve">otvorena je </w:t>
      </w:r>
      <w:r w:rsidRPr="006414E6">
        <w:rPr>
          <w:rFonts w:cs="Times New Roman"/>
        </w:rPr>
        <w:t xml:space="preserve">opsežna rasprava s europskim </w:t>
      </w:r>
      <w:proofErr w:type="spellStart"/>
      <w:r w:rsidRPr="006414E6">
        <w:rPr>
          <w:rFonts w:cs="Times New Roman"/>
        </w:rPr>
        <w:t>oblikovateljima</w:t>
      </w:r>
      <w:proofErr w:type="spellEnd"/>
      <w:r w:rsidRPr="006414E6">
        <w:rPr>
          <w:rFonts w:cs="Times New Roman"/>
        </w:rPr>
        <w:t xml:space="preserve"> politika i građanima, a teme su način na koji bi se Europa trebala pripremiti za 2050. </w:t>
      </w:r>
      <w:r w:rsidR="00842174" w:rsidRPr="006414E6">
        <w:rPr>
          <w:rFonts w:cs="Times New Roman"/>
        </w:rPr>
        <w:t xml:space="preserve">godinu </w:t>
      </w:r>
      <w:r w:rsidRPr="006414E6">
        <w:rPr>
          <w:rFonts w:cs="Times New Roman"/>
        </w:rPr>
        <w:t xml:space="preserve">te dugoročna europska strategija koju </w:t>
      </w:r>
      <w:r w:rsidR="00C37240" w:rsidRPr="006414E6">
        <w:rPr>
          <w:rFonts w:cs="Times New Roman"/>
        </w:rPr>
        <w:t>u</w:t>
      </w:r>
      <w:r w:rsidRPr="006414E6">
        <w:rPr>
          <w:rFonts w:cs="Times New Roman"/>
        </w:rPr>
        <w:t xml:space="preserve"> 2020. </w:t>
      </w:r>
      <w:r w:rsidR="00842174" w:rsidRPr="006414E6">
        <w:rPr>
          <w:rFonts w:cs="Times New Roman"/>
        </w:rPr>
        <w:t>godin</w:t>
      </w:r>
      <w:r w:rsidR="00C37240" w:rsidRPr="006414E6">
        <w:rPr>
          <w:rFonts w:cs="Times New Roman"/>
        </w:rPr>
        <w:t>i</w:t>
      </w:r>
      <w:r w:rsidR="00842174" w:rsidRPr="006414E6">
        <w:rPr>
          <w:rFonts w:cs="Times New Roman"/>
        </w:rPr>
        <w:t xml:space="preserve"> </w:t>
      </w:r>
      <w:r w:rsidRPr="006414E6">
        <w:rPr>
          <w:rFonts w:cs="Times New Roman"/>
        </w:rPr>
        <w:t xml:space="preserve">treba podnijeti Okvirnoj konvenciji UN-a o promjeni klime. </w:t>
      </w:r>
      <w:r w:rsidR="000107FD" w:rsidRPr="006414E6">
        <w:rPr>
          <w:rFonts w:cs="Times New Roman"/>
        </w:rPr>
        <w:t>K</w:t>
      </w:r>
      <w:r w:rsidR="00842174" w:rsidRPr="006414E6">
        <w:rPr>
          <w:rFonts w:cs="Times New Roman"/>
        </w:rPr>
        <w:t xml:space="preserve">rajem </w:t>
      </w:r>
      <w:r w:rsidR="000107FD" w:rsidRPr="006414E6">
        <w:rPr>
          <w:rFonts w:cs="Times New Roman"/>
        </w:rPr>
        <w:t xml:space="preserve"> 2019.</w:t>
      </w:r>
      <w:r w:rsidR="0059092A" w:rsidRPr="006414E6">
        <w:rPr>
          <w:rFonts w:cs="Times New Roman"/>
        </w:rPr>
        <w:t xml:space="preserve"> godine</w:t>
      </w:r>
      <w:r w:rsidR="000107FD" w:rsidRPr="006414E6">
        <w:rPr>
          <w:rFonts w:cs="Times New Roman"/>
        </w:rPr>
        <w:t xml:space="preserve"> </w:t>
      </w:r>
      <w:r w:rsidR="0059092A" w:rsidRPr="006414E6">
        <w:rPr>
          <w:rFonts w:cs="Times New Roman"/>
        </w:rPr>
        <w:t>E</w:t>
      </w:r>
      <w:r w:rsidR="00842174" w:rsidRPr="006414E6">
        <w:rPr>
          <w:rFonts w:cs="Times New Roman"/>
        </w:rPr>
        <w:t>U</w:t>
      </w:r>
      <w:r w:rsidR="0059092A" w:rsidRPr="006414E6">
        <w:rPr>
          <w:rFonts w:cs="Times New Roman"/>
        </w:rPr>
        <w:t xml:space="preserve"> posta</w:t>
      </w:r>
      <w:r w:rsidR="00E1672F" w:rsidRPr="006414E6">
        <w:rPr>
          <w:rFonts w:cs="Times New Roman"/>
        </w:rPr>
        <w:t xml:space="preserve">vlja novi strateški okvir - </w:t>
      </w:r>
      <w:r w:rsidR="0059092A" w:rsidRPr="006414E6">
        <w:rPr>
          <w:rFonts w:cs="Times New Roman"/>
          <w:i/>
        </w:rPr>
        <w:t>Europski zeleni plan</w:t>
      </w:r>
      <w:r w:rsidR="0059092A" w:rsidRPr="006414E6">
        <w:rPr>
          <w:rFonts w:cs="Times New Roman"/>
        </w:rPr>
        <w:t xml:space="preserve"> kojim se gospodarski napredak </w:t>
      </w:r>
      <w:r w:rsidR="002E0A0D" w:rsidRPr="006414E6">
        <w:rPr>
          <w:rFonts w:cs="Times New Roman"/>
        </w:rPr>
        <w:t>temelji na kli</w:t>
      </w:r>
      <w:r w:rsidR="00C37240" w:rsidRPr="006414E6">
        <w:rPr>
          <w:rFonts w:cs="Times New Roman"/>
        </w:rPr>
        <w:t xml:space="preserve">matski neutralnom gospodarstvu </w:t>
      </w:r>
      <w:r w:rsidR="002E0A0D" w:rsidRPr="006414E6">
        <w:rPr>
          <w:rFonts w:cs="Times New Roman"/>
        </w:rPr>
        <w:t>do 2050. godine</w:t>
      </w:r>
      <w:r w:rsidR="0059092A" w:rsidRPr="006414E6">
        <w:rPr>
          <w:rFonts w:cs="Times New Roman"/>
        </w:rPr>
        <w:t>, a otvara se rasprava za povećanje kratkoročne ambicije EU do 2030. godine na smanjenje emisije za 50%,</w:t>
      </w:r>
      <w:r w:rsidR="00842174" w:rsidRPr="006414E6">
        <w:rPr>
          <w:rFonts w:cs="Times New Roman"/>
        </w:rPr>
        <w:t xml:space="preserve"> odnosno </w:t>
      </w:r>
      <w:r w:rsidR="00C37240" w:rsidRPr="006414E6">
        <w:rPr>
          <w:rFonts w:cs="Times New Roman"/>
        </w:rPr>
        <w:t xml:space="preserve">55% </w:t>
      </w:r>
      <w:r w:rsidR="0059092A" w:rsidRPr="006414E6">
        <w:rPr>
          <w:rFonts w:cs="Times New Roman"/>
        </w:rPr>
        <w:t>u odnosu na 1990.</w:t>
      </w:r>
      <w:r w:rsidR="00842174" w:rsidRPr="006414E6">
        <w:rPr>
          <w:rFonts w:cs="Times New Roman"/>
        </w:rPr>
        <w:t xml:space="preserve"> godinu</w:t>
      </w:r>
      <w:r w:rsidR="00B80F8B" w:rsidRPr="006414E6">
        <w:rPr>
          <w:rFonts w:cs="Times New Roman"/>
        </w:rPr>
        <w:t xml:space="preserve"> (umjesto 40%)</w:t>
      </w:r>
      <w:r w:rsidR="00842174" w:rsidRPr="006414E6">
        <w:rPr>
          <w:rFonts w:cs="Times New Roman"/>
        </w:rPr>
        <w:t>.</w:t>
      </w:r>
      <w:r w:rsidR="0059092A" w:rsidRPr="006414E6">
        <w:rPr>
          <w:rFonts w:cs="Times New Roman"/>
        </w:rPr>
        <w:t xml:space="preserve"> </w:t>
      </w:r>
      <w:r w:rsidRPr="006414E6">
        <w:rPr>
          <w:rFonts w:cs="Times New Roman"/>
        </w:rPr>
        <w:t>U narednim godina</w:t>
      </w:r>
      <w:r w:rsidR="00C37240" w:rsidRPr="006414E6">
        <w:rPr>
          <w:rFonts w:cs="Times New Roman"/>
        </w:rPr>
        <w:t>ma</w:t>
      </w:r>
      <w:r w:rsidRPr="006414E6">
        <w:rPr>
          <w:rFonts w:cs="Times New Roman"/>
        </w:rPr>
        <w:t xml:space="preserve"> kroz intenzivne analize i rasprave države članice analizirat će moguće scenarije </w:t>
      </w:r>
      <w:r w:rsidR="00842174" w:rsidRPr="006414E6">
        <w:rPr>
          <w:rFonts w:cs="Times New Roman"/>
        </w:rPr>
        <w:t xml:space="preserve">neto </w:t>
      </w:r>
      <w:r w:rsidRPr="006414E6">
        <w:rPr>
          <w:rFonts w:cs="Times New Roman"/>
        </w:rPr>
        <w:t xml:space="preserve">nulte  emisije do 2050. godine i revidirati svoje </w:t>
      </w:r>
      <w:proofErr w:type="spellStart"/>
      <w:r w:rsidRPr="006414E6">
        <w:rPr>
          <w:rFonts w:cs="Times New Roman"/>
        </w:rPr>
        <w:t>niskougljične</w:t>
      </w:r>
      <w:proofErr w:type="spellEnd"/>
      <w:r w:rsidRPr="006414E6">
        <w:rPr>
          <w:rFonts w:cs="Times New Roman"/>
        </w:rPr>
        <w:t xml:space="preserve"> strategije, što se odnosi i na Republiku Hrvatsku. </w:t>
      </w:r>
    </w:p>
    <w:p w14:paraId="5677B6D8" w14:textId="0856A05C" w:rsidR="003C5422" w:rsidRPr="006414E6" w:rsidRDefault="001241B9" w:rsidP="00EE3488">
      <w:pPr>
        <w:pStyle w:val="Heading1"/>
      </w:pPr>
      <w:bookmarkStart w:id="211" w:name="_Toc39133274"/>
      <w:r w:rsidRPr="006414E6">
        <w:t>4</w:t>
      </w:r>
      <w:r w:rsidR="000E5653" w:rsidRPr="006414E6">
        <w:t>.</w:t>
      </w:r>
      <w:r w:rsidR="00717FC0" w:rsidRPr="006414E6">
        <w:tab/>
      </w:r>
      <w:r w:rsidR="003C5422" w:rsidRPr="006414E6">
        <w:t>ENERGIJA IZ OBNOVLJIVIH IZVORA</w:t>
      </w:r>
      <w:bookmarkEnd w:id="207"/>
      <w:bookmarkEnd w:id="208"/>
      <w:bookmarkEnd w:id="211"/>
      <w:r w:rsidR="003C5422" w:rsidRPr="006414E6">
        <w:t xml:space="preserve"> </w:t>
      </w:r>
    </w:p>
    <w:p w14:paraId="42260FDE" w14:textId="77777777" w:rsidR="00AF72D7" w:rsidRPr="006414E6" w:rsidRDefault="00AF72D7" w:rsidP="00AF72D7">
      <w:pPr>
        <w:rPr>
          <w:rFonts w:cs="Times New Roman"/>
        </w:rPr>
      </w:pPr>
      <w:r w:rsidRPr="006414E6">
        <w:rPr>
          <w:rFonts w:cs="Times New Roman"/>
        </w:rPr>
        <w:t xml:space="preserve">U energetskoj politici EU i Energetske unije jedan od glavnih ciljeva je povećanje udjela obnovljivih izvora energije čime se pozitivno utječe na smanjenje ovisnosti o uvozu energenata,  smanjenje emisija stakleničkih plinova u proizvodnji električne i toplinske energije,  zbrinjavanju organskog otpada, učinkovitom grijanju putem </w:t>
      </w:r>
      <w:proofErr w:type="spellStart"/>
      <w:r w:rsidRPr="006414E6">
        <w:rPr>
          <w:rFonts w:cs="Times New Roman"/>
        </w:rPr>
        <w:t>kogeneracijskih</w:t>
      </w:r>
      <w:proofErr w:type="spellEnd"/>
      <w:r w:rsidRPr="006414E6">
        <w:rPr>
          <w:rFonts w:cs="Times New Roman"/>
        </w:rPr>
        <w:t xml:space="preserve"> postrojenja i  otvaranju nove niše u uslužnom i industrijskom sektoru vezanom za tehnološki razvoj postrojenja za korištenje energije iz obnovljivih izvora, što u konačnici doprinosi i povećanoj stopi zaposlenosti.</w:t>
      </w:r>
    </w:p>
    <w:p w14:paraId="0EFE266E" w14:textId="1D5F1A77" w:rsidR="00001349" w:rsidRPr="006414E6" w:rsidRDefault="00001349" w:rsidP="006F53BA">
      <w:pPr>
        <w:rPr>
          <w:rFonts w:eastAsia="Calibri" w:cs="Times New Roman"/>
        </w:rPr>
      </w:pPr>
      <w:r w:rsidRPr="006414E6">
        <w:rPr>
          <w:rFonts w:eastAsia="Calibri" w:cs="Times New Roman"/>
        </w:rPr>
        <w:t xml:space="preserve">Nacionalni cilj za energiju iz obnovljivih izvora do 2020. godine utvrđen je Direktivom 2009/28/EK i Ugovorom o pristupanju Republike Hrvatske u EU na 20% udjela </w:t>
      </w:r>
      <w:r w:rsidRPr="006414E6">
        <w:rPr>
          <w:rFonts w:cs="Times New Roman"/>
        </w:rPr>
        <w:t xml:space="preserve">energije iz obnovljivih izvora u </w:t>
      </w:r>
      <w:r w:rsidRPr="006414E6">
        <w:rPr>
          <w:rFonts w:eastAsia="Calibri" w:cs="Times New Roman"/>
        </w:rPr>
        <w:t xml:space="preserve">bruto neposrednoj potrošnji energije. Izračun cilja temelji se na udjelu </w:t>
      </w:r>
      <w:r w:rsidRPr="006414E6">
        <w:rPr>
          <w:rFonts w:cs="Times New Roman"/>
        </w:rPr>
        <w:t>energije iz obnovljivih izvora</w:t>
      </w:r>
      <w:r w:rsidRPr="006414E6">
        <w:rPr>
          <w:rFonts w:eastAsia="Calibri" w:cs="Times New Roman"/>
        </w:rPr>
        <w:t xml:space="preserve"> u bruto neposrednoj potrošnji u 2005. godini koja je prilikom izračuna bila određena kao 12,6%. Uslijed korekcija energetske bilance zbog istraživanja o većoj potrošnji biomase u sektoru kućanstva (DZS, 2015. godina) promijenjen je i povijesni niz podataka te je prema takvim podacima izračunato da je udio </w:t>
      </w:r>
      <w:r w:rsidRPr="006414E6">
        <w:rPr>
          <w:rFonts w:cs="Times New Roman"/>
        </w:rPr>
        <w:t>energije iz obnovljivih izvora</w:t>
      </w:r>
      <w:r w:rsidRPr="006414E6">
        <w:rPr>
          <w:rFonts w:eastAsia="Calibri" w:cs="Times New Roman"/>
        </w:rPr>
        <w:t xml:space="preserve"> u 2005. godini iznosio 23,8%</w:t>
      </w:r>
      <w:r w:rsidR="00530F18" w:rsidRPr="006414E6">
        <w:rPr>
          <w:rFonts w:eastAsia="Calibri" w:cs="Times New Roman"/>
        </w:rPr>
        <w:t>.</w:t>
      </w:r>
      <w:r w:rsidRPr="006414E6">
        <w:rPr>
          <w:rFonts w:eastAsia="Calibri" w:cs="Times New Roman"/>
        </w:rPr>
        <w:t xml:space="preserve"> </w:t>
      </w:r>
      <w:r w:rsidR="003D68E5" w:rsidRPr="006414E6">
        <w:rPr>
          <w:rFonts w:eastAsia="Calibri" w:cs="Times New Roman"/>
        </w:rPr>
        <w:t>N</w:t>
      </w:r>
      <w:r w:rsidRPr="006414E6">
        <w:rPr>
          <w:rFonts w:eastAsia="Calibri" w:cs="Times New Roman"/>
        </w:rPr>
        <w:t xml:space="preserve">a temelju korigiranog udjela za </w:t>
      </w:r>
      <w:r w:rsidR="00690D13" w:rsidRPr="006414E6">
        <w:rPr>
          <w:rFonts w:cs="Times New Roman"/>
        </w:rPr>
        <w:t>energiju iz obnovljivih izvora</w:t>
      </w:r>
      <w:r w:rsidRPr="006414E6">
        <w:rPr>
          <w:rFonts w:eastAsia="Calibri" w:cs="Times New Roman"/>
        </w:rPr>
        <w:t xml:space="preserve"> u 2005. godini, </w:t>
      </w:r>
      <w:r w:rsidR="001064C4" w:rsidRPr="006414E6">
        <w:rPr>
          <w:rFonts w:eastAsia="Calibri" w:cs="Times New Roman"/>
        </w:rPr>
        <w:t xml:space="preserve">indikativni cilj </w:t>
      </w:r>
      <w:r w:rsidRPr="006414E6">
        <w:rPr>
          <w:rFonts w:eastAsia="Calibri" w:cs="Times New Roman"/>
        </w:rPr>
        <w:t xml:space="preserve">za udio </w:t>
      </w:r>
      <w:r w:rsidR="00690D13" w:rsidRPr="006414E6">
        <w:rPr>
          <w:rFonts w:cs="Times New Roman"/>
        </w:rPr>
        <w:t>energije iz obnovljivih izvora</w:t>
      </w:r>
      <w:r w:rsidRPr="006414E6">
        <w:rPr>
          <w:rFonts w:eastAsia="Calibri" w:cs="Times New Roman"/>
        </w:rPr>
        <w:t xml:space="preserve"> u bruto neposrednoj potrošnji energije za </w:t>
      </w:r>
      <w:r w:rsidR="002019AF" w:rsidRPr="006414E6">
        <w:rPr>
          <w:rFonts w:eastAsia="Calibri" w:cs="Times New Roman"/>
        </w:rPr>
        <w:t>Republiku Hrvatsku</w:t>
      </w:r>
      <w:r w:rsidRPr="006414E6">
        <w:rPr>
          <w:rFonts w:eastAsia="Calibri" w:cs="Times New Roman"/>
        </w:rPr>
        <w:t xml:space="preserve"> u 2020. godini iznosio bi </w:t>
      </w:r>
      <w:r w:rsidR="003A4B94" w:rsidRPr="006414E6">
        <w:rPr>
          <w:rFonts w:eastAsia="Calibri" w:cs="Times New Roman"/>
        </w:rPr>
        <w:t>28</w:t>
      </w:r>
      <w:r w:rsidR="001064C4" w:rsidRPr="006414E6">
        <w:rPr>
          <w:rFonts w:eastAsia="Calibri" w:cs="Times New Roman"/>
        </w:rPr>
        <w:t>,6</w:t>
      </w:r>
      <w:r w:rsidRPr="006414E6">
        <w:rPr>
          <w:rFonts w:eastAsia="Calibri" w:cs="Times New Roman"/>
        </w:rPr>
        <w:t>%.</w:t>
      </w:r>
    </w:p>
    <w:p w14:paraId="095759DE" w14:textId="77777777" w:rsidR="00BF27CC" w:rsidRPr="006414E6" w:rsidRDefault="00BF27CC" w:rsidP="00BF27CC">
      <w:pPr>
        <w:rPr>
          <w:rFonts w:cs="Times New Roman"/>
        </w:rPr>
      </w:pPr>
      <w:r w:rsidRPr="006414E6">
        <w:rPr>
          <w:rFonts w:cs="Times New Roman"/>
        </w:rPr>
        <w:t>Okvirom klimatsko-energetske politike EU definiran je zajednički cilj na razini EU do 2030. godine u iznosu od 32% udjela energije iz obnovljivih izvora u bruto neposrednoj potrošnji energije. Republika Hrvatska će sukladno preuzetim obvezama težiti ka ostvarenju cilja od 32% udjela energije iz obnovljivih izvora u bruto neposrednoj potrošnji energije do 2030. godine. Međutim, sukladno provedenim analizama očekivani udio energije iz obnovljivih izvora u Republici Hrvatskoj može biti veći od ciljanog prosjeka za EU.</w:t>
      </w:r>
    </w:p>
    <w:p w14:paraId="05072B83" w14:textId="77777777" w:rsidR="00BF27CC" w:rsidRPr="006414E6" w:rsidRDefault="00BF27CC" w:rsidP="00BF27CC">
      <w:pPr>
        <w:spacing w:line="280" w:lineRule="exact"/>
        <w:rPr>
          <w:rFonts w:cs="Times New Roman"/>
        </w:rPr>
      </w:pPr>
      <w:r w:rsidRPr="006414E6">
        <w:rPr>
          <w:rFonts w:cs="Times New Roman"/>
        </w:rPr>
        <w:lastRenderedPageBreak/>
        <w:t>U svim scenarijima udio energije iz obnovljivih izvora se povećava. U razdoblju do 2030. godine očekivani udio energije iz obnovljivih izvora je 3</w:t>
      </w:r>
      <w:r w:rsidR="00FA07CF" w:rsidRPr="006414E6">
        <w:rPr>
          <w:rFonts w:cs="Times New Roman"/>
        </w:rPr>
        <w:t>6</w:t>
      </w:r>
      <w:r w:rsidR="00761313" w:rsidRPr="006414E6">
        <w:rPr>
          <w:rFonts w:cs="Times New Roman"/>
        </w:rPr>
        <w:t>,4</w:t>
      </w:r>
      <w:r w:rsidRPr="006414E6">
        <w:rPr>
          <w:rFonts w:cs="Times New Roman"/>
        </w:rPr>
        <w:t xml:space="preserve">%, što je veći cilj od EU cilja, a što će omogućiti korištenje dodatnih mehanizama iz </w:t>
      </w:r>
      <w:r w:rsidR="00AF22B0" w:rsidRPr="006414E6">
        <w:rPr>
          <w:rFonts w:cs="Times New Roman"/>
          <w:szCs w:val="18"/>
        </w:rPr>
        <w:t>Direktive (EU) 2018/2001 Europskog parlamenta i Vijeća od 11. prosinca 2018. o promicanju uporabe energije iz obnovljivih izvora,</w:t>
      </w:r>
      <w:r w:rsidRPr="006414E6">
        <w:rPr>
          <w:rFonts w:cs="Times New Roman"/>
        </w:rPr>
        <w:t xml:space="preserve"> kao što je mogućnost izvoza certifikata „zelene“ energije iz obnovljivih izvora. Povećanje udjela energije iz obnovljivih izvora je posljedica povećanja udjela potrošnje električne energije, povećanja proizvodnje električne energije iz obnovljivih izvora i smanjenja ukupne potrošnje energije.</w:t>
      </w:r>
    </w:p>
    <w:p w14:paraId="128D1BB7" w14:textId="77777777" w:rsidR="00881D49" w:rsidRPr="006414E6" w:rsidRDefault="00BF27CC" w:rsidP="00BF27CC">
      <w:pPr>
        <w:rPr>
          <w:rFonts w:cs="Times New Roman"/>
        </w:rPr>
      </w:pPr>
      <w:r w:rsidRPr="006414E6">
        <w:rPr>
          <w:rFonts w:cs="Times New Roman"/>
        </w:rPr>
        <w:t>U razdoblju do 2040. godine očekivani udio energije iz obnovljivih izvora, ovisno o scenariju, je od 44</w:t>
      </w:r>
      <w:r w:rsidR="00D72786" w:rsidRPr="006414E6">
        <w:rPr>
          <w:rFonts w:cs="Times New Roman"/>
        </w:rPr>
        <w:t>,1 do 45,8</w:t>
      </w:r>
      <w:r w:rsidRPr="006414E6">
        <w:rPr>
          <w:rFonts w:cs="Times New Roman"/>
        </w:rPr>
        <w:t>%, dok je u razdoblju do 2050. godine očekivani udio energije iz obnovljivih izvora na razini od 53</w:t>
      </w:r>
      <w:r w:rsidR="00D72786" w:rsidRPr="006414E6">
        <w:rPr>
          <w:rFonts w:cs="Times New Roman"/>
        </w:rPr>
        <w:t>,2</w:t>
      </w:r>
      <w:r w:rsidR="00AF22B0" w:rsidRPr="006414E6">
        <w:rPr>
          <w:rFonts w:cs="Times New Roman"/>
        </w:rPr>
        <w:t>%</w:t>
      </w:r>
      <w:r w:rsidRPr="006414E6">
        <w:rPr>
          <w:rFonts w:cs="Times New Roman"/>
        </w:rPr>
        <w:t xml:space="preserve"> do 6</w:t>
      </w:r>
      <w:r w:rsidR="00D72786" w:rsidRPr="006414E6">
        <w:rPr>
          <w:rFonts w:cs="Times New Roman"/>
        </w:rPr>
        <w:t>5,6</w:t>
      </w:r>
      <w:r w:rsidRPr="006414E6">
        <w:rPr>
          <w:rFonts w:cs="Times New Roman"/>
        </w:rPr>
        <w:t>%</w:t>
      </w:r>
      <w:r w:rsidR="00881D49" w:rsidRPr="006414E6">
        <w:rPr>
          <w:rFonts w:cs="Times New Roman"/>
        </w:rPr>
        <w:t xml:space="preserve"> (tablica </w:t>
      </w:r>
      <w:r w:rsidR="001241B9" w:rsidRPr="006414E6">
        <w:rPr>
          <w:rFonts w:cs="Times New Roman"/>
        </w:rPr>
        <w:t>4</w:t>
      </w:r>
      <w:r w:rsidR="00881D49" w:rsidRPr="006414E6">
        <w:rPr>
          <w:rFonts w:cs="Times New Roman"/>
        </w:rPr>
        <w:t>-1)</w:t>
      </w:r>
      <w:r w:rsidRPr="006414E6">
        <w:rPr>
          <w:rFonts w:cs="Times New Roman"/>
        </w:rPr>
        <w:t>.</w:t>
      </w:r>
    </w:p>
    <w:p w14:paraId="52D55F1F" w14:textId="77777777" w:rsidR="00BF27CC" w:rsidRPr="006414E6" w:rsidRDefault="00BF27CC" w:rsidP="00757A24">
      <w:pPr>
        <w:pStyle w:val="Tablicanaslov"/>
        <w:spacing w:after="120"/>
        <w:rPr>
          <w:rFonts w:cs="Times New Roman"/>
          <w:i/>
          <w:sz w:val="24"/>
          <w:szCs w:val="24"/>
        </w:rPr>
      </w:pPr>
      <w:bookmarkStart w:id="212" w:name="_Toc33417117"/>
      <w:r w:rsidRPr="006414E6">
        <w:rPr>
          <w:rFonts w:cs="Times New Roman"/>
          <w:i/>
          <w:sz w:val="24"/>
          <w:szCs w:val="24"/>
        </w:rPr>
        <w:t>Tablica</w:t>
      </w:r>
      <w:r w:rsidRPr="00757A24">
        <w:rPr>
          <w:rFonts w:cs="Times New Roman"/>
          <w:i/>
          <w:sz w:val="24"/>
          <w:szCs w:val="24"/>
        </w:rPr>
        <w:t xml:space="preserve"> </w:t>
      </w:r>
      <w:r w:rsidR="001241B9" w:rsidRPr="00757A24">
        <w:rPr>
          <w:rFonts w:cs="Times New Roman"/>
          <w:i/>
          <w:sz w:val="24"/>
          <w:szCs w:val="24"/>
        </w:rPr>
        <w:t>4</w:t>
      </w:r>
      <w:r w:rsidRPr="00757A24">
        <w:rPr>
          <w:rFonts w:cs="Times New Roman"/>
          <w:i/>
          <w:sz w:val="24"/>
          <w:szCs w:val="24"/>
        </w:rPr>
        <w:t xml:space="preserve">-1: </w:t>
      </w:r>
      <w:r w:rsidRPr="006414E6">
        <w:rPr>
          <w:rFonts w:cs="Times New Roman"/>
          <w:i/>
          <w:sz w:val="24"/>
          <w:szCs w:val="24"/>
        </w:rPr>
        <w:t>Udio energije iz obnovljivih izvora u bruto neposrednoj potrošnji energije</w:t>
      </w:r>
      <w:bookmarkEnd w:id="212"/>
    </w:p>
    <w:tbl>
      <w:tblPr>
        <w:tblW w:w="9072" w:type="dxa"/>
        <w:tblLayout w:type="fixed"/>
        <w:tblCellMar>
          <w:left w:w="0" w:type="dxa"/>
          <w:right w:w="0" w:type="dxa"/>
        </w:tblCellMar>
        <w:tblLook w:val="0000" w:firstRow="0" w:lastRow="0" w:firstColumn="0" w:lastColumn="0" w:noHBand="0" w:noVBand="0"/>
      </w:tblPr>
      <w:tblGrid>
        <w:gridCol w:w="3288"/>
        <w:gridCol w:w="964"/>
        <w:gridCol w:w="964"/>
        <w:gridCol w:w="964"/>
        <w:gridCol w:w="964"/>
        <w:gridCol w:w="964"/>
        <w:gridCol w:w="964"/>
      </w:tblGrid>
      <w:tr w:rsidR="00AB23E8" w:rsidRPr="006414E6" w14:paraId="43549DA2" w14:textId="77777777" w:rsidTr="00DC7B1F">
        <w:trPr>
          <w:trHeight w:val="397"/>
        </w:trPr>
        <w:tc>
          <w:tcPr>
            <w:tcW w:w="32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AEF98F" w14:textId="77777777" w:rsidR="00AB23E8" w:rsidRPr="006414E6" w:rsidRDefault="00AB23E8" w:rsidP="00740D36">
            <w:pPr>
              <w:keepNext/>
              <w:kinsoku w:val="0"/>
              <w:overflowPunct w:val="0"/>
              <w:autoSpaceDE w:val="0"/>
              <w:autoSpaceDN w:val="0"/>
              <w:adjustRightInd w:val="0"/>
              <w:spacing w:line="240" w:lineRule="auto"/>
              <w:jc w:val="left"/>
              <w:rPr>
                <w:rFonts w:cs="Times New Roman"/>
              </w:rPr>
            </w:pPr>
            <w:bookmarkStart w:id="213" w:name="_Hlk38266758"/>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A8BFDB" w14:textId="77777777" w:rsidR="00AB23E8" w:rsidRPr="006414E6" w:rsidRDefault="00AB23E8" w:rsidP="00740D36">
            <w:pPr>
              <w:keepNext/>
              <w:kinsoku w:val="0"/>
              <w:overflowPunct w:val="0"/>
              <w:autoSpaceDE w:val="0"/>
              <w:autoSpaceDN w:val="0"/>
              <w:adjustRightInd w:val="0"/>
              <w:spacing w:line="240" w:lineRule="auto"/>
              <w:jc w:val="center"/>
              <w:rPr>
                <w:rFonts w:cs="Times New Roman"/>
                <w:b/>
                <w:bCs/>
                <w:spacing w:val="-5"/>
              </w:rPr>
            </w:pPr>
            <w:r w:rsidRPr="006414E6">
              <w:rPr>
                <w:rFonts w:cs="Times New Roman"/>
                <w:b/>
                <w:bCs/>
              </w:rPr>
              <w:t>SCENARIJ</w:t>
            </w:r>
            <w:r w:rsidRPr="006414E6">
              <w:rPr>
                <w:rFonts w:cs="Times New Roman"/>
                <w:b/>
                <w:bCs/>
                <w:spacing w:val="-6"/>
              </w:rPr>
              <w:t xml:space="preserve"> NU1</w:t>
            </w:r>
            <w:r w:rsidRPr="006414E6">
              <w:rPr>
                <w:rFonts w:cs="Times New Roman"/>
                <w:b/>
                <w:bCs/>
                <w:spacing w:val="-5"/>
              </w:rPr>
              <w:t xml:space="preserve"> </w:t>
            </w:r>
          </w:p>
          <w:p w14:paraId="59D53DC0" w14:textId="77777777" w:rsidR="00AB23E8" w:rsidRPr="006414E6" w:rsidRDefault="00AB23E8" w:rsidP="00740D36">
            <w:pPr>
              <w:keepNext/>
              <w:kinsoku w:val="0"/>
              <w:overflowPunct w:val="0"/>
              <w:autoSpaceDE w:val="0"/>
              <w:autoSpaceDN w:val="0"/>
              <w:adjustRightInd w:val="0"/>
              <w:spacing w:line="240" w:lineRule="auto"/>
              <w:jc w:val="center"/>
              <w:rPr>
                <w:rFonts w:cs="Times New Roman"/>
              </w:rPr>
            </w:pPr>
            <w:r w:rsidRPr="006414E6">
              <w:rPr>
                <w:rFonts w:cs="Times New Roman"/>
                <w:b/>
                <w:bCs/>
                <w:spacing w:val="-1"/>
              </w:rPr>
              <w:t>(%)</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AEDF11" w14:textId="77777777" w:rsidR="00AB23E8" w:rsidRPr="006414E6" w:rsidRDefault="00AB23E8" w:rsidP="00740D36">
            <w:pPr>
              <w:keepNext/>
              <w:kinsoku w:val="0"/>
              <w:overflowPunct w:val="0"/>
              <w:autoSpaceDE w:val="0"/>
              <w:autoSpaceDN w:val="0"/>
              <w:adjustRightInd w:val="0"/>
              <w:spacing w:line="240" w:lineRule="auto"/>
              <w:jc w:val="center"/>
              <w:rPr>
                <w:rFonts w:cs="Times New Roman"/>
                <w:b/>
                <w:bCs/>
                <w:spacing w:val="-6"/>
              </w:rPr>
            </w:pPr>
            <w:r w:rsidRPr="006414E6">
              <w:rPr>
                <w:rFonts w:cs="Times New Roman"/>
                <w:b/>
                <w:bCs/>
              </w:rPr>
              <w:t>SCENARIJ</w:t>
            </w:r>
            <w:r w:rsidRPr="006414E6">
              <w:rPr>
                <w:rFonts w:cs="Times New Roman"/>
                <w:b/>
                <w:bCs/>
                <w:spacing w:val="-6"/>
              </w:rPr>
              <w:t xml:space="preserve"> NU2</w:t>
            </w:r>
          </w:p>
          <w:p w14:paraId="23B073BB" w14:textId="77777777" w:rsidR="00AB23E8" w:rsidRPr="006414E6" w:rsidRDefault="00AB23E8" w:rsidP="00740D36">
            <w:pPr>
              <w:keepNext/>
              <w:kinsoku w:val="0"/>
              <w:overflowPunct w:val="0"/>
              <w:autoSpaceDE w:val="0"/>
              <w:autoSpaceDN w:val="0"/>
              <w:adjustRightInd w:val="0"/>
              <w:spacing w:line="240" w:lineRule="auto"/>
              <w:jc w:val="center"/>
              <w:rPr>
                <w:rFonts w:cs="Times New Roman"/>
              </w:rPr>
            </w:pPr>
            <w:r w:rsidRPr="006414E6">
              <w:rPr>
                <w:rFonts w:cs="Times New Roman"/>
                <w:b/>
                <w:bCs/>
                <w:spacing w:val="-1"/>
              </w:rPr>
              <w:t>(%)</w:t>
            </w:r>
          </w:p>
        </w:tc>
      </w:tr>
      <w:tr w:rsidR="00560F16" w:rsidRPr="006414E6" w14:paraId="1C22F24C" w14:textId="77777777" w:rsidTr="00DC7B1F">
        <w:trPr>
          <w:trHeight w:val="397"/>
        </w:trPr>
        <w:tc>
          <w:tcPr>
            <w:tcW w:w="3288" w:type="dxa"/>
            <w:vMerge w:val="restart"/>
            <w:tcBorders>
              <w:top w:val="single" w:sz="4" w:space="0" w:color="000000"/>
              <w:left w:val="single" w:sz="4" w:space="0" w:color="000000"/>
              <w:right w:val="single" w:sz="4" w:space="0" w:color="000000"/>
            </w:tcBorders>
            <w:shd w:val="clear" w:color="auto" w:fill="F2F2F2" w:themeFill="background1" w:themeFillShade="F2"/>
            <w:vAlign w:val="center"/>
          </w:tcPr>
          <w:p w14:paraId="20301B62" w14:textId="77777777" w:rsidR="00560F16" w:rsidRPr="006414E6" w:rsidRDefault="00560F16" w:rsidP="00740D36">
            <w:pPr>
              <w:keepNext/>
              <w:kinsoku w:val="0"/>
              <w:overflowPunct w:val="0"/>
              <w:autoSpaceDE w:val="0"/>
              <w:autoSpaceDN w:val="0"/>
              <w:adjustRightInd w:val="0"/>
              <w:spacing w:line="240" w:lineRule="auto"/>
              <w:jc w:val="left"/>
              <w:rPr>
                <w:rFonts w:cs="Times New Roman"/>
              </w:rPr>
            </w:pPr>
            <w:r w:rsidRPr="006414E6">
              <w:rPr>
                <w:rFonts w:cs="Times New Roman"/>
                <w:b/>
                <w:bCs/>
                <w:spacing w:val="-1"/>
              </w:rPr>
              <w:t>Udio energije iz obnovljivih izvora u bruto neposrednoj potrošnji energije</w:t>
            </w:r>
          </w:p>
        </w:tc>
        <w:tc>
          <w:tcPr>
            <w:tcW w:w="964" w:type="dxa"/>
            <w:tcBorders>
              <w:top w:val="single" w:sz="4" w:space="0" w:color="000000"/>
              <w:left w:val="single" w:sz="4" w:space="0" w:color="000000"/>
              <w:bottom w:val="single" w:sz="4" w:space="0" w:color="000000"/>
              <w:right w:val="single" w:sz="4" w:space="0" w:color="000000"/>
            </w:tcBorders>
            <w:vAlign w:val="center"/>
          </w:tcPr>
          <w:p w14:paraId="709735AC" w14:textId="77777777" w:rsidR="00560F16" w:rsidRPr="006414E6" w:rsidRDefault="00560F16" w:rsidP="00740D36">
            <w:pPr>
              <w:keepNext/>
              <w:kinsoku w:val="0"/>
              <w:overflowPunct w:val="0"/>
              <w:autoSpaceDE w:val="0"/>
              <w:autoSpaceDN w:val="0"/>
              <w:adjustRightInd w:val="0"/>
              <w:spacing w:line="240" w:lineRule="auto"/>
              <w:jc w:val="center"/>
              <w:rPr>
                <w:rFonts w:cs="Times New Roman"/>
              </w:rPr>
            </w:pPr>
            <w:r w:rsidRPr="006414E6">
              <w:rPr>
                <w:rFonts w:cs="Times New Roman"/>
              </w:rPr>
              <w:t>2030.</w:t>
            </w:r>
          </w:p>
        </w:tc>
        <w:tc>
          <w:tcPr>
            <w:tcW w:w="964" w:type="dxa"/>
            <w:tcBorders>
              <w:top w:val="single" w:sz="4" w:space="0" w:color="000000"/>
              <w:left w:val="single" w:sz="4" w:space="0" w:color="000000"/>
              <w:bottom w:val="single" w:sz="4" w:space="0" w:color="000000"/>
              <w:right w:val="single" w:sz="4" w:space="0" w:color="000000"/>
            </w:tcBorders>
            <w:vAlign w:val="center"/>
          </w:tcPr>
          <w:p w14:paraId="73F2F4BA" w14:textId="77777777" w:rsidR="00560F16" w:rsidRPr="006414E6" w:rsidRDefault="00560F16" w:rsidP="00740D36">
            <w:pPr>
              <w:keepNext/>
              <w:kinsoku w:val="0"/>
              <w:overflowPunct w:val="0"/>
              <w:autoSpaceDE w:val="0"/>
              <w:autoSpaceDN w:val="0"/>
              <w:adjustRightInd w:val="0"/>
              <w:spacing w:line="240" w:lineRule="auto"/>
              <w:jc w:val="center"/>
              <w:rPr>
                <w:rFonts w:cs="Times New Roman"/>
              </w:rPr>
            </w:pPr>
            <w:r w:rsidRPr="006414E6">
              <w:rPr>
                <w:rFonts w:cs="Times New Roman"/>
              </w:rPr>
              <w:t>2040.</w:t>
            </w:r>
          </w:p>
        </w:tc>
        <w:tc>
          <w:tcPr>
            <w:tcW w:w="964" w:type="dxa"/>
            <w:tcBorders>
              <w:top w:val="single" w:sz="4" w:space="0" w:color="000000"/>
              <w:left w:val="single" w:sz="4" w:space="0" w:color="000000"/>
              <w:bottom w:val="single" w:sz="4" w:space="0" w:color="000000"/>
              <w:right w:val="single" w:sz="4" w:space="0" w:color="000000"/>
            </w:tcBorders>
            <w:vAlign w:val="center"/>
          </w:tcPr>
          <w:p w14:paraId="4AA37D7A" w14:textId="77777777" w:rsidR="00560F16" w:rsidRPr="006414E6" w:rsidRDefault="00560F16" w:rsidP="00740D36">
            <w:pPr>
              <w:keepNext/>
              <w:kinsoku w:val="0"/>
              <w:overflowPunct w:val="0"/>
              <w:autoSpaceDE w:val="0"/>
              <w:autoSpaceDN w:val="0"/>
              <w:adjustRightInd w:val="0"/>
              <w:spacing w:line="240" w:lineRule="auto"/>
              <w:jc w:val="center"/>
              <w:rPr>
                <w:rFonts w:cs="Times New Roman"/>
              </w:rPr>
            </w:pPr>
            <w:r w:rsidRPr="006414E6">
              <w:rPr>
                <w:rFonts w:cs="Times New Roman"/>
              </w:rPr>
              <w:t>2050.</w:t>
            </w:r>
          </w:p>
        </w:tc>
        <w:tc>
          <w:tcPr>
            <w:tcW w:w="964" w:type="dxa"/>
            <w:tcBorders>
              <w:top w:val="single" w:sz="4" w:space="0" w:color="000000"/>
              <w:left w:val="single" w:sz="4" w:space="0" w:color="000000"/>
              <w:bottom w:val="single" w:sz="4" w:space="0" w:color="000000"/>
              <w:right w:val="single" w:sz="4" w:space="0" w:color="000000"/>
            </w:tcBorders>
            <w:vAlign w:val="center"/>
          </w:tcPr>
          <w:p w14:paraId="7D119F89" w14:textId="77777777" w:rsidR="00560F16" w:rsidRPr="006414E6" w:rsidRDefault="00560F16" w:rsidP="00740D36">
            <w:pPr>
              <w:keepNext/>
              <w:kinsoku w:val="0"/>
              <w:overflowPunct w:val="0"/>
              <w:autoSpaceDE w:val="0"/>
              <w:autoSpaceDN w:val="0"/>
              <w:adjustRightInd w:val="0"/>
              <w:spacing w:line="240" w:lineRule="auto"/>
              <w:jc w:val="center"/>
              <w:rPr>
                <w:rFonts w:cs="Times New Roman"/>
              </w:rPr>
            </w:pPr>
            <w:r w:rsidRPr="006414E6">
              <w:rPr>
                <w:rFonts w:cs="Times New Roman"/>
              </w:rPr>
              <w:t>2030.</w:t>
            </w:r>
          </w:p>
        </w:tc>
        <w:tc>
          <w:tcPr>
            <w:tcW w:w="964" w:type="dxa"/>
            <w:tcBorders>
              <w:top w:val="single" w:sz="4" w:space="0" w:color="000000"/>
              <w:left w:val="single" w:sz="4" w:space="0" w:color="000000"/>
              <w:bottom w:val="single" w:sz="4" w:space="0" w:color="000000"/>
              <w:right w:val="single" w:sz="4" w:space="0" w:color="000000"/>
            </w:tcBorders>
            <w:vAlign w:val="center"/>
          </w:tcPr>
          <w:p w14:paraId="28225264" w14:textId="77777777" w:rsidR="00560F16" w:rsidRPr="006414E6" w:rsidRDefault="00560F16" w:rsidP="00740D36">
            <w:pPr>
              <w:keepNext/>
              <w:kinsoku w:val="0"/>
              <w:overflowPunct w:val="0"/>
              <w:autoSpaceDE w:val="0"/>
              <w:autoSpaceDN w:val="0"/>
              <w:adjustRightInd w:val="0"/>
              <w:spacing w:line="240" w:lineRule="auto"/>
              <w:jc w:val="center"/>
              <w:rPr>
                <w:rFonts w:cs="Times New Roman"/>
              </w:rPr>
            </w:pPr>
            <w:r w:rsidRPr="006414E6">
              <w:rPr>
                <w:rFonts w:cs="Times New Roman"/>
              </w:rPr>
              <w:t>2040.</w:t>
            </w:r>
          </w:p>
        </w:tc>
        <w:tc>
          <w:tcPr>
            <w:tcW w:w="964" w:type="dxa"/>
            <w:tcBorders>
              <w:top w:val="single" w:sz="4" w:space="0" w:color="000000"/>
              <w:left w:val="single" w:sz="4" w:space="0" w:color="000000"/>
              <w:bottom w:val="single" w:sz="4" w:space="0" w:color="000000"/>
              <w:right w:val="single" w:sz="4" w:space="0" w:color="000000"/>
            </w:tcBorders>
            <w:vAlign w:val="center"/>
          </w:tcPr>
          <w:p w14:paraId="47BF977A" w14:textId="77777777" w:rsidR="00560F16" w:rsidRPr="006414E6" w:rsidRDefault="00560F16" w:rsidP="00740D36">
            <w:pPr>
              <w:keepNext/>
              <w:kinsoku w:val="0"/>
              <w:overflowPunct w:val="0"/>
              <w:autoSpaceDE w:val="0"/>
              <w:autoSpaceDN w:val="0"/>
              <w:adjustRightInd w:val="0"/>
              <w:spacing w:line="240" w:lineRule="auto"/>
              <w:jc w:val="center"/>
              <w:rPr>
                <w:rFonts w:cs="Times New Roman"/>
              </w:rPr>
            </w:pPr>
            <w:r w:rsidRPr="006414E6">
              <w:rPr>
                <w:rFonts w:cs="Times New Roman"/>
              </w:rPr>
              <w:t>2050.</w:t>
            </w:r>
          </w:p>
        </w:tc>
      </w:tr>
      <w:tr w:rsidR="00560F16" w:rsidRPr="006414E6" w14:paraId="4B7CFBFD" w14:textId="77777777" w:rsidTr="00560F16">
        <w:trPr>
          <w:trHeight w:val="397"/>
        </w:trPr>
        <w:tc>
          <w:tcPr>
            <w:tcW w:w="3288" w:type="dxa"/>
            <w:vMerge/>
            <w:tcBorders>
              <w:left w:val="single" w:sz="4" w:space="0" w:color="000000"/>
              <w:bottom w:val="single" w:sz="4" w:space="0" w:color="000000"/>
              <w:right w:val="single" w:sz="4" w:space="0" w:color="000000"/>
            </w:tcBorders>
            <w:shd w:val="clear" w:color="auto" w:fill="F2F2F2" w:themeFill="background1" w:themeFillShade="F2"/>
          </w:tcPr>
          <w:p w14:paraId="03B61253" w14:textId="77777777" w:rsidR="00560F16" w:rsidRPr="006414E6" w:rsidRDefault="00560F16" w:rsidP="00AB23E8">
            <w:pPr>
              <w:kinsoku w:val="0"/>
              <w:overflowPunct w:val="0"/>
              <w:autoSpaceDE w:val="0"/>
              <w:autoSpaceDN w:val="0"/>
              <w:adjustRightInd w:val="0"/>
              <w:spacing w:line="240" w:lineRule="auto"/>
              <w:jc w:val="left"/>
              <w:rPr>
                <w:rFonts w:cs="Times New Roman"/>
              </w:rPr>
            </w:pPr>
          </w:p>
        </w:tc>
        <w:tc>
          <w:tcPr>
            <w:tcW w:w="964" w:type="dxa"/>
            <w:tcBorders>
              <w:top w:val="single" w:sz="4" w:space="0" w:color="000000"/>
              <w:left w:val="single" w:sz="4" w:space="0" w:color="000000"/>
              <w:bottom w:val="single" w:sz="4" w:space="0" w:color="000000"/>
              <w:right w:val="single" w:sz="4" w:space="0" w:color="000000"/>
            </w:tcBorders>
            <w:vAlign w:val="center"/>
          </w:tcPr>
          <w:p w14:paraId="7AE99CEA" w14:textId="77777777" w:rsidR="00560F16" w:rsidRPr="006414E6" w:rsidRDefault="00473DBF" w:rsidP="00AB23E8">
            <w:pPr>
              <w:kinsoku w:val="0"/>
              <w:overflowPunct w:val="0"/>
              <w:autoSpaceDE w:val="0"/>
              <w:autoSpaceDN w:val="0"/>
              <w:adjustRightInd w:val="0"/>
              <w:spacing w:line="240" w:lineRule="auto"/>
              <w:jc w:val="center"/>
              <w:rPr>
                <w:rFonts w:cs="Times New Roman"/>
              </w:rPr>
            </w:pPr>
            <w:r w:rsidRPr="006414E6">
              <w:rPr>
                <w:rFonts w:cs="Times New Roman"/>
              </w:rPr>
              <w:t>36,4</w:t>
            </w:r>
          </w:p>
        </w:tc>
        <w:tc>
          <w:tcPr>
            <w:tcW w:w="964" w:type="dxa"/>
            <w:tcBorders>
              <w:top w:val="single" w:sz="4" w:space="0" w:color="000000"/>
              <w:left w:val="single" w:sz="4" w:space="0" w:color="000000"/>
              <w:bottom w:val="single" w:sz="4" w:space="0" w:color="000000"/>
              <w:right w:val="single" w:sz="4" w:space="0" w:color="000000"/>
            </w:tcBorders>
            <w:vAlign w:val="center"/>
          </w:tcPr>
          <w:p w14:paraId="6F35C7FF" w14:textId="77777777" w:rsidR="00560F16" w:rsidRPr="006414E6" w:rsidRDefault="00560F16" w:rsidP="00AB23E8">
            <w:pPr>
              <w:kinsoku w:val="0"/>
              <w:overflowPunct w:val="0"/>
              <w:autoSpaceDE w:val="0"/>
              <w:autoSpaceDN w:val="0"/>
              <w:adjustRightInd w:val="0"/>
              <w:spacing w:line="240" w:lineRule="auto"/>
              <w:jc w:val="center"/>
              <w:rPr>
                <w:rFonts w:cs="Times New Roman"/>
              </w:rPr>
            </w:pPr>
            <w:r w:rsidRPr="006414E6">
              <w:rPr>
                <w:rFonts w:cs="Times New Roman"/>
              </w:rPr>
              <w:t>44,1</w:t>
            </w:r>
          </w:p>
        </w:tc>
        <w:tc>
          <w:tcPr>
            <w:tcW w:w="964" w:type="dxa"/>
            <w:tcBorders>
              <w:top w:val="single" w:sz="4" w:space="0" w:color="000000"/>
              <w:left w:val="single" w:sz="4" w:space="0" w:color="000000"/>
              <w:bottom w:val="single" w:sz="4" w:space="0" w:color="000000"/>
              <w:right w:val="single" w:sz="4" w:space="0" w:color="000000"/>
            </w:tcBorders>
            <w:vAlign w:val="center"/>
          </w:tcPr>
          <w:p w14:paraId="7D467FBD" w14:textId="77777777" w:rsidR="00560F16" w:rsidRPr="006414E6" w:rsidRDefault="00560F16" w:rsidP="00AB23E8">
            <w:pPr>
              <w:kinsoku w:val="0"/>
              <w:overflowPunct w:val="0"/>
              <w:autoSpaceDE w:val="0"/>
              <w:autoSpaceDN w:val="0"/>
              <w:adjustRightInd w:val="0"/>
              <w:spacing w:line="240" w:lineRule="auto"/>
              <w:jc w:val="center"/>
              <w:rPr>
                <w:rFonts w:cs="Times New Roman"/>
              </w:rPr>
            </w:pPr>
            <w:r w:rsidRPr="006414E6">
              <w:rPr>
                <w:rFonts w:cs="Times New Roman"/>
              </w:rPr>
              <w:t>53,2</w:t>
            </w:r>
          </w:p>
        </w:tc>
        <w:tc>
          <w:tcPr>
            <w:tcW w:w="964" w:type="dxa"/>
            <w:tcBorders>
              <w:top w:val="single" w:sz="4" w:space="0" w:color="000000"/>
              <w:left w:val="single" w:sz="4" w:space="0" w:color="000000"/>
              <w:bottom w:val="single" w:sz="4" w:space="0" w:color="000000"/>
              <w:right w:val="single" w:sz="4" w:space="0" w:color="000000"/>
            </w:tcBorders>
            <w:vAlign w:val="center"/>
          </w:tcPr>
          <w:p w14:paraId="149F6A7A" w14:textId="77777777" w:rsidR="00560F16" w:rsidRPr="006414E6" w:rsidRDefault="00560F16" w:rsidP="00AB23E8">
            <w:pPr>
              <w:kinsoku w:val="0"/>
              <w:overflowPunct w:val="0"/>
              <w:autoSpaceDE w:val="0"/>
              <w:autoSpaceDN w:val="0"/>
              <w:adjustRightInd w:val="0"/>
              <w:spacing w:line="240" w:lineRule="auto"/>
              <w:jc w:val="center"/>
              <w:rPr>
                <w:rFonts w:cs="Times New Roman"/>
              </w:rPr>
            </w:pPr>
            <w:r w:rsidRPr="006414E6">
              <w:rPr>
                <w:rFonts w:cs="Times New Roman"/>
              </w:rPr>
              <w:t>36,</w:t>
            </w:r>
            <w:r w:rsidR="00761313" w:rsidRPr="006414E6">
              <w:rPr>
                <w:rFonts w:cs="Times New Roman"/>
              </w:rPr>
              <w:t>4</w:t>
            </w:r>
          </w:p>
        </w:tc>
        <w:tc>
          <w:tcPr>
            <w:tcW w:w="964" w:type="dxa"/>
            <w:tcBorders>
              <w:top w:val="single" w:sz="4" w:space="0" w:color="000000"/>
              <w:left w:val="single" w:sz="4" w:space="0" w:color="000000"/>
              <w:bottom w:val="single" w:sz="4" w:space="0" w:color="000000"/>
              <w:right w:val="single" w:sz="4" w:space="0" w:color="000000"/>
            </w:tcBorders>
            <w:vAlign w:val="center"/>
          </w:tcPr>
          <w:p w14:paraId="42C484B1" w14:textId="77777777" w:rsidR="00560F16" w:rsidRPr="006414E6" w:rsidRDefault="00560F16" w:rsidP="00AB23E8">
            <w:pPr>
              <w:kinsoku w:val="0"/>
              <w:overflowPunct w:val="0"/>
              <w:autoSpaceDE w:val="0"/>
              <w:autoSpaceDN w:val="0"/>
              <w:adjustRightInd w:val="0"/>
              <w:spacing w:line="240" w:lineRule="auto"/>
              <w:jc w:val="center"/>
              <w:rPr>
                <w:rFonts w:cs="Times New Roman"/>
              </w:rPr>
            </w:pPr>
            <w:r w:rsidRPr="006414E6">
              <w:rPr>
                <w:rFonts w:cs="Times New Roman"/>
              </w:rPr>
              <w:t>45,8</w:t>
            </w:r>
          </w:p>
        </w:tc>
        <w:tc>
          <w:tcPr>
            <w:tcW w:w="964" w:type="dxa"/>
            <w:tcBorders>
              <w:top w:val="single" w:sz="4" w:space="0" w:color="000000"/>
              <w:left w:val="single" w:sz="4" w:space="0" w:color="000000"/>
              <w:bottom w:val="single" w:sz="4" w:space="0" w:color="000000"/>
              <w:right w:val="single" w:sz="4" w:space="0" w:color="000000"/>
            </w:tcBorders>
            <w:vAlign w:val="center"/>
          </w:tcPr>
          <w:p w14:paraId="082340E3" w14:textId="77777777" w:rsidR="00560F16" w:rsidRPr="006414E6" w:rsidRDefault="00560F16" w:rsidP="00AB23E8">
            <w:pPr>
              <w:kinsoku w:val="0"/>
              <w:overflowPunct w:val="0"/>
              <w:autoSpaceDE w:val="0"/>
              <w:autoSpaceDN w:val="0"/>
              <w:adjustRightInd w:val="0"/>
              <w:spacing w:line="240" w:lineRule="auto"/>
              <w:jc w:val="center"/>
              <w:rPr>
                <w:rFonts w:cs="Times New Roman"/>
              </w:rPr>
            </w:pPr>
            <w:r w:rsidRPr="006414E6">
              <w:rPr>
                <w:rFonts w:cs="Times New Roman"/>
              </w:rPr>
              <w:t>65,6</w:t>
            </w:r>
          </w:p>
        </w:tc>
      </w:tr>
    </w:tbl>
    <w:p w14:paraId="4B0E4642" w14:textId="77777777" w:rsidR="003C5422" w:rsidRPr="006414E6" w:rsidRDefault="001241B9" w:rsidP="00EE3488">
      <w:pPr>
        <w:pStyle w:val="Heading1"/>
      </w:pPr>
      <w:bookmarkStart w:id="214" w:name="_Toc20841301"/>
      <w:bookmarkStart w:id="215" w:name="_Toc20841407"/>
      <w:bookmarkStart w:id="216" w:name="_Toc39133275"/>
      <w:bookmarkEnd w:id="213"/>
      <w:r w:rsidRPr="006414E6">
        <w:t>5</w:t>
      </w:r>
      <w:r w:rsidR="000E5653" w:rsidRPr="006414E6">
        <w:t>.</w:t>
      </w:r>
      <w:r w:rsidR="00A66588" w:rsidRPr="006414E6">
        <w:tab/>
      </w:r>
      <w:r w:rsidR="003C5422" w:rsidRPr="006414E6">
        <w:t>ENERGETSKA UČINKOVITOST</w:t>
      </w:r>
      <w:bookmarkEnd w:id="214"/>
      <w:bookmarkEnd w:id="215"/>
      <w:bookmarkEnd w:id="216"/>
    </w:p>
    <w:p w14:paraId="02829812" w14:textId="77777777" w:rsidR="00601193" w:rsidRPr="006414E6" w:rsidRDefault="00601193" w:rsidP="00AF22B0">
      <w:pPr>
        <w:spacing w:line="240" w:lineRule="auto"/>
        <w:rPr>
          <w:rFonts w:cs="Times New Roman"/>
        </w:rPr>
      </w:pPr>
      <w:r w:rsidRPr="006414E6">
        <w:rPr>
          <w:rFonts w:cs="Times New Roman"/>
        </w:rPr>
        <w:t>Republika Hrvatska definirala nacionalne ciljeve povećanja energetske učinkovitosti do 2020. godine u 3. Nacionalnom akcijskom planu energetske učinkovitosti (</w:t>
      </w:r>
      <w:r w:rsidR="002C7E70" w:rsidRPr="006414E6">
        <w:rPr>
          <w:rFonts w:cs="Times New Roman"/>
        </w:rPr>
        <w:t xml:space="preserve">dalje u tekstu: </w:t>
      </w:r>
      <w:proofErr w:type="spellStart"/>
      <w:r w:rsidRPr="006414E6">
        <w:rPr>
          <w:rFonts w:cs="Times New Roman"/>
        </w:rPr>
        <w:t>NAPEnU</w:t>
      </w:r>
      <w:proofErr w:type="spellEnd"/>
      <w:r w:rsidRPr="006414E6">
        <w:rPr>
          <w:rFonts w:cs="Times New Roman"/>
        </w:rPr>
        <w:t xml:space="preserve">) za razdoblje 2014.-2016. godine, a revidirani su u </w:t>
      </w:r>
      <w:r w:rsidR="002C7E70" w:rsidRPr="006414E6">
        <w:rPr>
          <w:rFonts w:cs="Times New Roman"/>
        </w:rPr>
        <w:t>4</w:t>
      </w:r>
      <w:r w:rsidRPr="006414E6">
        <w:rPr>
          <w:rFonts w:cs="Times New Roman"/>
        </w:rPr>
        <w:t xml:space="preserve">.NAPEnU za razdoblje 2017.-2019. </w:t>
      </w:r>
      <w:r w:rsidR="00D72786" w:rsidRPr="006414E6">
        <w:rPr>
          <w:rFonts w:cs="Times New Roman"/>
        </w:rPr>
        <w:t xml:space="preserve">godine. </w:t>
      </w:r>
      <w:r w:rsidRPr="006414E6">
        <w:rPr>
          <w:rFonts w:cs="Times New Roman"/>
        </w:rPr>
        <w:t xml:space="preserve">Okvirni nacionalni cilj povećanja energetske učinkovitosti Republike Hrvatske izražen kao apsolutni iznos neposredne potrošnje energije u 2020. godini je </w:t>
      </w:r>
      <w:r w:rsidRPr="006414E6">
        <w:rPr>
          <w:rFonts w:cs="Times New Roman"/>
          <w:bCs/>
        </w:rPr>
        <w:t>291,3 PJ</w:t>
      </w:r>
      <w:r w:rsidRPr="006414E6">
        <w:rPr>
          <w:rFonts w:cs="Times New Roman"/>
        </w:rPr>
        <w:t xml:space="preserve">. Odgovarajući cilj izražen kao apsolutni iznos primarne energije u 2020. godini je </w:t>
      </w:r>
      <w:r w:rsidRPr="006414E6">
        <w:rPr>
          <w:rFonts w:cs="Times New Roman"/>
          <w:bCs/>
        </w:rPr>
        <w:t>448,5 PJ</w:t>
      </w:r>
      <w:r w:rsidRPr="006414E6">
        <w:rPr>
          <w:rFonts w:cs="Times New Roman"/>
        </w:rPr>
        <w:t>.</w:t>
      </w:r>
    </w:p>
    <w:p w14:paraId="02825D08" w14:textId="77777777" w:rsidR="00B13E20" w:rsidRPr="006414E6" w:rsidRDefault="00B13E20" w:rsidP="00AF22B0">
      <w:pPr>
        <w:spacing w:line="240" w:lineRule="auto"/>
        <w:rPr>
          <w:rFonts w:cs="Times New Roman"/>
        </w:rPr>
      </w:pPr>
      <w:r w:rsidRPr="006414E6">
        <w:rPr>
          <w:rFonts w:cs="Times New Roman"/>
        </w:rPr>
        <w:t>Povećanje energetske učinkovitosti je najvažniji mehanizam smanjenja potrošnje energije i jedno</w:t>
      </w:r>
      <w:r w:rsidR="002C7E70" w:rsidRPr="006414E6">
        <w:rPr>
          <w:rFonts w:cs="Times New Roman"/>
        </w:rPr>
        <w:t xml:space="preserve"> je</w:t>
      </w:r>
      <w:r w:rsidRPr="006414E6">
        <w:rPr>
          <w:rFonts w:cs="Times New Roman"/>
        </w:rPr>
        <w:t xml:space="preserve"> od temeljnih načela energetske tranzicije. Povećanje energetske učinkovitosti je nužno kako bi se osigurala cjenovna pristupačnost energije. Predviđa se povećanje energetske učinkovitosti u svim područjima potrošnje i u cijelom lancu od proizvodnje, prijenosa i transporta, distribucije i potrošnje. Primjenjivat će se sve metode smanjenja potrošnje od zakonske regulative, primjene standarda i normi, zamjene postrojenja i uređaja do zabrane korištenja neučinkovitih uređaja.</w:t>
      </w:r>
    </w:p>
    <w:p w14:paraId="16451753" w14:textId="77777777" w:rsidR="00B13E20" w:rsidRPr="006414E6" w:rsidRDefault="00B13E20" w:rsidP="00601193">
      <w:pPr>
        <w:rPr>
          <w:rFonts w:cs="Times New Roman"/>
        </w:rPr>
      </w:pPr>
      <w:r w:rsidRPr="006414E6">
        <w:rPr>
          <w:rFonts w:cs="Times New Roman"/>
        </w:rPr>
        <w:t>Osim specifičnih mjera za pojedine sektore, scenarij razvoja uzima u obzir i učinke regulatornih mjera koji će imati međusektorske učinke. U prvom redu ovo se odnosi na uspostavu funkcionalnog sustava obveza energetske učinkovitosti za opskrbljivače energijom u skladu s važećim zakonodavnim okvirom EU i Republike Hrvatske. Očekuje se da će upravo ovaj mehanizam ostvariti veliki napredak u poboljšanju energetske učinkovitosti u svim sektorima neposredne potrošnje i to putem inovativnih tržišnih mehanizama koji angažiraju privatni kapital kako opskrbljivača tako i drugih sudionika na tržištu energetskih usluga.</w:t>
      </w:r>
    </w:p>
    <w:p w14:paraId="59B7C9DC" w14:textId="77777777" w:rsidR="00D93B62" w:rsidRPr="006414E6" w:rsidRDefault="00D93B62" w:rsidP="00601193">
      <w:pPr>
        <w:rPr>
          <w:rFonts w:cs="Times New Roman"/>
        </w:rPr>
      </w:pPr>
      <w:r w:rsidRPr="006414E6">
        <w:rPr>
          <w:rFonts w:cs="Times New Roman"/>
        </w:rPr>
        <w:t>Energetska tranzicija podrazumijeva povećanje energetske učinkovitosti cijelog energetskog lanca, uključujući proizvodnju, prijenos, distribuciju i neposrednu potrošnju energije. Pri tome se najsnažniji učinci očekuju u zgradarstvu i prometu, a posljedica su:</w:t>
      </w:r>
    </w:p>
    <w:p w14:paraId="6294A555" w14:textId="77777777" w:rsidR="00D93B62" w:rsidRPr="006414E6" w:rsidRDefault="00D93B62" w:rsidP="003A2F37">
      <w:pPr>
        <w:pStyle w:val="ListParagraph"/>
        <w:numPr>
          <w:ilvl w:val="0"/>
          <w:numId w:val="63"/>
        </w:numPr>
        <w:rPr>
          <w:rFonts w:cs="Times New Roman"/>
        </w:rPr>
      </w:pPr>
      <w:r w:rsidRPr="006414E6">
        <w:rPr>
          <w:rFonts w:cs="Times New Roman"/>
        </w:rPr>
        <w:t xml:space="preserve">energetske obnove fonda zgrada po prosječnoj godišnjoj stopi od 1,6% </w:t>
      </w:r>
      <w:r w:rsidR="00CA1FE2" w:rsidRPr="006414E6">
        <w:rPr>
          <w:rFonts w:cs="Times New Roman"/>
        </w:rPr>
        <w:t xml:space="preserve">do 3% ovisno o </w:t>
      </w:r>
      <w:r w:rsidRPr="006414E6">
        <w:rPr>
          <w:rFonts w:cs="Times New Roman"/>
        </w:rPr>
        <w:t>scenariju</w:t>
      </w:r>
    </w:p>
    <w:p w14:paraId="7B97A563" w14:textId="77777777" w:rsidR="00D93B62" w:rsidRPr="006414E6" w:rsidRDefault="00D93B62" w:rsidP="003A2F37">
      <w:pPr>
        <w:pStyle w:val="ListParagraph"/>
        <w:numPr>
          <w:ilvl w:val="0"/>
          <w:numId w:val="63"/>
        </w:numPr>
        <w:rPr>
          <w:rFonts w:cs="Times New Roman"/>
        </w:rPr>
      </w:pPr>
      <w:r w:rsidRPr="006414E6">
        <w:rPr>
          <w:rFonts w:cs="Times New Roman"/>
        </w:rPr>
        <w:lastRenderedPageBreak/>
        <w:t>penetracije električnih i hibridnih vozila čiji udio u cestovnom prometu</w:t>
      </w:r>
      <w:r w:rsidR="00CA1FE2" w:rsidRPr="006414E6">
        <w:rPr>
          <w:rFonts w:cs="Times New Roman"/>
        </w:rPr>
        <w:t>, ovisno o scenariju NU1 i NU2</w:t>
      </w:r>
      <w:r w:rsidRPr="006414E6">
        <w:rPr>
          <w:rFonts w:cs="Times New Roman"/>
        </w:rPr>
        <w:t xml:space="preserve"> dostiže </w:t>
      </w:r>
      <w:r w:rsidR="00CA1FE2" w:rsidRPr="006414E6">
        <w:rPr>
          <w:rFonts w:cs="Times New Roman"/>
        </w:rPr>
        <w:t xml:space="preserve">od </w:t>
      </w:r>
      <w:r w:rsidRPr="006414E6">
        <w:rPr>
          <w:rFonts w:cs="Times New Roman"/>
        </w:rPr>
        <w:t>3,5% u 2030.</w:t>
      </w:r>
      <w:r w:rsidR="00CA1FE2" w:rsidRPr="006414E6">
        <w:rPr>
          <w:rFonts w:cs="Times New Roman"/>
        </w:rPr>
        <w:t xml:space="preserve"> do 85% </w:t>
      </w:r>
      <w:r w:rsidRPr="006414E6">
        <w:rPr>
          <w:rFonts w:cs="Times New Roman"/>
        </w:rPr>
        <w:t>u 2050. godini.</w:t>
      </w:r>
    </w:p>
    <w:p w14:paraId="2E34C132" w14:textId="77777777" w:rsidR="00B73C10" w:rsidRPr="006414E6" w:rsidRDefault="00B73C10" w:rsidP="00D93B62">
      <w:pPr>
        <w:rPr>
          <w:rFonts w:cs="Times New Roman"/>
        </w:rPr>
      </w:pPr>
      <w:r w:rsidRPr="006414E6">
        <w:rPr>
          <w:rFonts w:cs="Times New Roman"/>
        </w:rPr>
        <w:t xml:space="preserve">Okvirni ciljevi </w:t>
      </w:r>
      <w:r w:rsidR="00D93B62" w:rsidRPr="006414E6">
        <w:rPr>
          <w:rFonts w:cs="Times New Roman"/>
        </w:rPr>
        <w:t>Republike Hrvatske</w:t>
      </w:r>
      <w:r w:rsidR="00DC7B1F" w:rsidRPr="006414E6">
        <w:rPr>
          <w:rFonts w:cs="Times New Roman"/>
        </w:rPr>
        <w:t xml:space="preserve"> za </w:t>
      </w:r>
      <w:r w:rsidR="00E136CE" w:rsidRPr="006414E6">
        <w:rPr>
          <w:rFonts w:cs="Times New Roman"/>
        </w:rPr>
        <w:t>razdoblje</w:t>
      </w:r>
      <w:r w:rsidR="00DC7B1F" w:rsidRPr="006414E6">
        <w:rPr>
          <w:rFonts w:cs="Times New Roman"/>
        </w:rPr>
        <w:t xml:space="preserve"> do 2030. i 2050. godine</w:t>
      </w:r>
      <w:r w:rsidR="00D93B62" w:rsidRPr="006414E6">
        <w:rPr>
          <w:rFonts w:cs="Times New Roman"/>
        </w:rPr>
        <w:t>, izraženi u apsolutnim vrijednostima primarne i neposredne potrošnje energije, prema EU direktivi o energetskoj učinkovitosti</w:t>
      </w:r>
      <w:r w:rsidR="00E136CE" w:rsidRPr="006414E6">
        <w:rPr>
          <w:rFonts w:cs="Times New Roman"/>
        </w:rPr>
        <w:t>,</w:t>
      </w:r>
      <w:r w:rsidRPr="006414E6">
        <w:rPr>
          <w:rFonts w:cs="Times New Roman"/>
        </w:rPr>
        <w:t xml:space="preserve"> prikazani su u tablici </w:t>
      </w:r>
      <w:r w:rsidR="001241B9" w:rsidRPr="006414E6">
        <w:rPr>
          <w:rFonts w:cs="Times New Roman"/>
        </w:rPr>
        <w:t>5</w:t>
      </w:r>
      <w:r w:rsidR="001E449C" w:rsidRPr="006414E6">
        <w:rPr>
          <w:rFonts w:cs="Times New Roman"/>
        </w:rPr>
        <w:t>-1</w:t>
      </w:r>
      <w:r w:rsidRPr="006414E6">
        <w:rPr>
          <w:rFonts w:cs="Times New Roman"/>
        </w:rPr>
        <w:t>.</w:t>
      </w:r>
    </w:p>
    <w:p w14:paraId="2EFF1DD2" w14:textId="77777777" w:rsidR="00D93B62" w:rsidRPr="006414E6" w:rsidRDefault="00D93B62" w:rsidP="003F303D">
      <w:pPr>
        <w:pStyle w:val="Tablicanaslov"/>
        <w:spacing w:after="120" w:line="280" w:lineRule="exact"/>
        <w:rPr>
          <w:rFonts w:cs="Times New Roman"/>
          <w:i/>
          <w:sz w:val="24"/>
          <w:szCs w:val="24"/>
        </w:rPr>
      </w:pPr>
      <w:bookmarkStart w:id="217" w:name="bookmark1"/>
      <w:bookmarkStart w:id="218" w:name="bookmark0"/>
      <w:bookmarkStart w:id="219" w:name="_Toc33417118"/>
      <w:bookmarkEnd w:id="217"/>
      <w:bookmarkEnd w:id="218"/>
      <w:r w:rsidRPr="006414E6">
        <w:rPr>
          <w:rFonts w:cs="Times New Roman"/>
          <w:i/>
          <w:sz w:val="24"/>
          <w:szCs w:val="24"/>
        </w:rPr>
        <w:t>Tablica</w:t>
      </w:r>
      <w:r w:rsidRPr="006414E6">
        <w:rPr>
          <w:rFonts w:cs="Times New Roman"/>
          <w:i/>
          <w:spacing w:val="-12"/>
          <w:sz w:val="24"/>
          <w:szCs w:val="24"/>
        </w:rPr>
        <w:t xml:space="preserve"> </w:t>
      </w:r>
      <w:r w:rsidR="001241B9" w:rsidRPr="006414E6">
        <w:rPr>
          <w:rFonts w:cs="Times New Roman"/>
          <w:i/>
          <w:spacing w:val="-12"/>
          <w:sz w:val="24"/>
          <w:szCs w:val="24"/>
        </w:rPr>
        <w:t>5</w:t>
      </w:r>
      <w:r w:rsidR="00581488" w:rsidRPr="006414E6">
        <w:rPr>
          <w:rFonts w:cs="Times New Roman"/>
          <w:i/>
          <w:spacing w:val="-12"/>
          <w:sz w:val="24"/>
          <w:szCs w:val="24"/>
        </w:rPr>
        <w:t>-1:</w:t>
      </w:r>
      <w:r w:rsidRPr="006414E6">
        <w:rPr>
          <w:rFonts w:cs="Times New Roman"/>
          <w:i/>
          <w:spacing w:val="-10"/>
          <w:sz w:val="24"/>
          <w:szCs w:val="24"/>
        </w:rPr>
        <w:t xml:space="preserve"> </w:t>
      </w:r>
      <w:r w:rsidRPr="006414E6">
        <w:rPr>
          <w:rFonts w:cs="Times New Roman"/>
          <w:i/>
          <w:sz w:val="24"/>
          <w:szCs w:val="24"/>
        </w:rPr>
        <w:t>Okvirni</w:t>
      </w:r>
      <w:r w:rsidRPr="006414E6">
        <w:rPr>
          <w:rFonts w:cs="Times New Roman"/>
          <w:i/>
          <w:spacing w:val="-10"/>
          <w:sz w:val="24"/>
          <w:szCs w:val="24"/>
        </w:rPr>
        <w:t xml:space="preserve"> </w:t>
      </w:r>
      <w:r w:rsidRPr="006414E6">
        <w:rPr>
          <w:rFonts w:cs="Times New Roman"/>
          <w:i/>
          <w:sz w:val="24"/>
          <w:szCs w:val="24"/>
        </w:rPr>
        <w:t>nacionalni</w:t>
      </w:r>
      <w:r w:rsidRPr="006414E6">
        <w:rPr>
          <w:rFonts w:cs="Times New Roman"/>
          <w:i/>
          <w:spacing w:val="-10"/>
          <w:sz w:val="24"/>
          <w:szCs w:val="24"/>
        </w:rPr>
        <w:t xml:space="preserve"> </w:t>
      </w:r>
      <w:r w:rsidRPr="006414E6">
        <w:rPr>
          <w:rFonts w:cs="Times New Roman"/>
          <w:i/>
          <w:sz w:val="24"/>
          <w:szCs w:val="24"/>
        </w:rPr>
        <w:t>ciljevi</w:t>
      </w:r>
      <w:r w:rsidRPr="006414E6">
        <w:rPr>
          <w:rFonts w:cs="Times New Roman"/>
          <w:i/>
          <w:spacing w:val="-11"/>
          <w:sz w:val="24"/>
          <w:szCs w:val="24"/>
        </w:rPr>
        <w:t xml:space="preserve"> </w:t>
      </w:r>
      <w:r w:rsidRPr="006414E6">
        <w:rPr>
          <w:rFonts w:cs="Times New Roman"/>
          <w:i/>
          <w:sz w:val="24"/>
          <w:szCs w:val="24"/>
        </w:rPr>
        <w:t>energetske</w:t>
      </w:r>
      <w:r w:rsidRPr="006414E6">
        <w:rPr>
          <w:rFonts w:cs="Times New Roman"/>
          <w:i/>
          <w:spacing w:val="-10"/>
          <w:sz w:val="24"/>
          <w:szCs w:val="24"/>
        </w:rPr>
        <w:t xml:space="preserve"> </w:t>
      </w:r>
      <w:r w:rsidRPr="006414E6">
        <w:rPr>
          <w:rFonts w:cs="Times New Roman"/>
          <w:i/>
          <w:sz w:val="24"/>
          <w:szCs w:val="24"/>
        </w:rPr>
        <w:t>učinkovitosti</w:t>
      </w:r>
      <w:bookmarkEnd w:id="219"/>
    </w:p>
    <w:tbl>
      <w:tblPr>
        <w:tblW w:w="9240" w:type="dxa"/>
        <w:tblLayout w:type="fixed"/>
        <w:tblCellMar>
          <w:left w:w="0" w:type="dxa"/>
          <w:right w:w="0" w:type="dxa"/>
        </w:tblCellMar>
        <w:tblLook w:val="0000" w:firstRow="0" w:lastRow="0" w:firstColumn="0" w:lastColumn="0" w:noHBand="0" w:noVBand="0"/>
      </w:tblPr>
      <w:tblGrid>
        <w:gridCol w:w="2891"/>
        <w:gridCol w:w="907"/>
        <w:gridCol w:w="907"/>
        <w:gridCol w:w="907"/>
        <w:gridCol w:w="907"/>
        <w:gridCol w:w="907"/>
        <w:gridCol w:w="907"/>
        <w:gridCol w:w="907"/>
      </w:tblGrid>
      <w:tr w:rsidR="005775AC" w:rsidRPr="006414E6" w14:paraId="45F59BF0" w14:textId="77777777" w:rsidTr="005775AC">
        <w:trPr>
          <w:trHeight w:val="397"/>
        </w:trPr>
        <w:tc>
          <w:tcPr>
            <w:tcW w:w="2891" w:type="dxa"/>
            <w:tcBorders>
              <w:top w:val="single" w:sz="4" w:space="0" w:color="000000"/>
              <w:left w:val="single" w:sz="4" w:space="0" w:color="000000"/>
              <w:right w:val="single" w:sz="4" w:space="0" w:color="000000"/>
            </w:tcBorders>
            <w:shd w:val="clear" w:color="auto" w:fill="F2F2F2" w:themeFill="background1" w:themeFillShade="F2"/>
            <w:vAlign w:val="center"/>
          </w:tcPr>
          <w:p w14:paraId="0C27D9B5" w14:textId="77777777" w:rsidR="005775AC" w:rsidRPr="006414E6" w:rsidRDefault="005775AC" w:rsidP="005775AC">
            <w:pPr>
              <w:keepNext/>
              <w:kinsoku w:val="0"/>
              <w:overflowPunct w:val="0"/>
              <w:autoSpaceDE w:val="0"/>
              <w:autoSpaceDN w:val="0"/>
              <w:adjustRightInd w:val="0"/>
              <w:spacing w:line="240" w:lineRule="auto"/>
              <w:jc w:val="left"/>
              <w:rPr>
                <w:rFonts w:cs="Times New Roman"/>
              </w:rPr>
            </w:pPr>
          </w:p>
        </w:tc>
        <w:tc>
          <w:tcPr>
            <w:tcW w:w="907" w:type="dxa"/>
            <w:vMerge w:val="restart"/>
            <w:tcBorders>
              <w:top w:val="single" w:sz="4" w:space="0" w:color="000000"/>
              <w:left w:val="single" w:sz="4" w:space="0" w:color="000000"/>
              <w:right w:val="single" w:sz="4" w:space="0" w:color="000000"/>
            </w:tcBorders>
            <w:shd w:val="clear" w:color="auto" w:fill="F2F2F2" w:themeFill="background1" w:themeFillShade="F2"/>
            <w:vAlign w:val="center"/>
          </w:tcPr>
          <w:p w14:paraId="6FD7B51D" w14:textId="77777777" w:rsidR="005775AC" w:rsidRPr="006414E6" w:rsidRDefault="005775AC" w:rsidP="00B60594">
            <w:pPr>
              <w:kinsoku w:val="0"/>
              <w:overflowPunct w:val="0"/>
              <w:autoSpaceDE w:val="0"/>
              <w:autoSpaceDN w:val="0"/>
              <w:adjustRightInd w:val="0"/>
              <w:spacing w:line="240" w:lineRule="auto"/>
              <w:jc w:val="center"/>
              <w:rPr>
                <w:rFonts w:cs="Times New Roman"/>
              </w:rPr>
            </w:pPr>
            <w:r w:rsidRPr="006414E6">
              <w:rPr>
                <w:rFonts w:cs="Times New Roman"/>
              </w:rPr>
              <w:t>20</w:t>
            </w:r>
            <w:r w:rsidR="00B60594" w:rsidRPr="006414E6">
              <w:rPr>
                <w:rFonts w:cs="Times New Roman"/>
              </w:rPr>
              <w:t>20</w:t>
            </w:r>
            <w:r w:rsidRPr="006414E6">
              <w:rPr>
                <w:rFonts w:cs="Times New Roman"/>
              </w:rPr>
              <w:t>.</w:t>
            </w:r>
          </w:p>
        </w:tc>
        <w:tc>
          <w:tcPr>
            <w:tcW w:w="2721"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14C1ADD" w14:textId="77777777" w:rsidR="005775AC" w:rsidRPr="006414E6" w:rsidRDefault="005775AC" w:rsidP="005775AC">
            <w:pPr>
              <w:keepNext/>
              <w:kinsoku w:val="0"/>
              <w:overflowPunct w:val="0"/>
              <w:autoSpaceDE w:val="0"/>
              <w:autoSpaceDN w:val="0"/>
              <w:adjustRightInd w:val="0"/>
              <w:spacing w:line="240" w:lineRule="auto"/>
              <w:jc w:val="center"/>
              <w:rPr>
                <w:rFonts w:cs="Times New Roman"/>
                <w:b/>
                <w:bCs/>
                <w:spacing w:val="-5"/>
              </w:rPr>
            </w:pPr>
            <w:r w:rsidRPr="006414E6">
              <w:rPr>
                <w:rFonts w:cs="Times New Roman"/>
                <w:b/>
                <w:bCs/>
              </w:rPr>
              <w:t>SCENARIJ</w:t>
            </w:r>
            <w:r w:rsidRPr="006414E6">
              <w:rPr>
                <w:rFonts w:cs="Times New Roman"/>
                <w:b/>
                <w:bCs/>
                <w:spacing w:val="-6"/>
              </w:rPr>
              <w:t xml:space="preserve"> NU1</w:t>
            </w:r>
          </w:p>
          <w:p w14:paraId="1FAF578B" w14:textId="77777777" w:rsidR="005775AC" w:rsidRPr="006414E6" w:rsidRDefault="005775AC" w:rsidP="005775AC">
            <w:pPr>
              <w:keepNext/>
              <w:kinsoku w:val="0"/>
              <w:overflowPunct w:val="0"/>
              <w:autoSpaceDE w:val="0"/>
              <w:autoSpaceDN w:val="0"/>
              <w:adjustRightInd w:val="0"/>
              <w:spacing w:line="240" w:lineRule="auto"/>
              <w:jc w:val="center"/>
              <w:rPr>
                <w:rFonts w:cs="Times New Roman"/>
              </w:rPr>
            </w:pPr>
            <w:r w:rsidRPr="006414E6">
              <w:rPr>
                <w:rFonts w:cs="Times New Roman"/>
                <w:b/>
                <w:bCs/>
                <w:spacing w:val="-1"/>
              </w:rPr>
              <w:t>(PJ)</w:t>
            </w:r>
          </w:p>
        </w:tc>
        <w:tc>
          <w:tcPr>
            <w:tcW w:w="2721"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BE3F5F" w14:textId="77777777" w:rsidR="005775AC" w:rsidRPr="006414E6" w:rsidRDefault="005775AC" w:rsidP="005775AC">
            <w:pPr>
              <w:keepNext/>
              <w:kinsoku w:val="0"/>
              <w:overflowPunct w:val="0"/>
              <w:autoSpaceDE w:val="0"/>
              <w:autoSpaceDN w:val="0"/>
              <w:adjustRightInd w:val="0"/>
              <w:spacing w:line="240" w:lineRule="auto"/>
              <w:jc w:val="center"/>
              <w:rPr>
                <w:rFonts w:cs="Times New Roman"/>
                <w:b/>
                <w:bCs/>
                <w:spacing w:val="-6"/>
              </w:rPr>
            </w:pPr>
            <w:r w:rsidRPr="006414E6">
              <w:rPr>
                <w:rFonts w:cs="Times New Roman"/>
                <w:b/>
                <w:bCs/>
              </w:rPr>
              <w:t>SCENARIJ</w:t>
            </w:r>
            <w:r w:rsidRPr="006414E6">
              <w:rPr>
                <w:rFonts w:cs="Times New Roman"/>
                <w:b/>
                <w:bCs/>
                <w:spacing w:val="-6"/>
              </w:rPr>
              <w:t xml:space="preserve"> NU2</w:t>
            </w:r>
          </w:p>
          <w:p w14:paraId="3191EB1E" w14:textId="77777777" w:rsidR="005775AC" w:rsidRPr="006414E6" w:rsidRDefault="005775AC" w:rsidP="005775AC">
            <w:pPr>
              <w:keepNext/>
              <w:kinsoku w:val="0"/>
              <w:overflowPunct w:val="0"/>
              <w:autoSpaceDE w:val="0"/>
              <w:autoSpaceDN w:val="0"/>
              <w:adjustRightInd w:val="0"/>
              <w:spacing w:line="240" w:lineRule="auto"/>
              <w:jc w:val="center"/>
              <w:rPr>
                <w:rFonts w:cs="Times New Roman"/>
              </w:rPr>
            </w:pPr>
            <w:r w:rsidRPr="006414E6">
              <w:rPr>
                <w:rFonts w:cs="Times New Roman"/>
                <w:b/>
                <w:bCs/>
                <w:spacing w:val="-1"/>
              </w:rPr>
              <w:t>(PJ)</w:t>
            </w:r>
          </w:p>
        </w:tc>
      </w:tr>
      <w:tr w:rsidR="005775AC" w:rsidRPr="006414E6" w14:paraId="02B06FE6" w14:textId="77777777" w:rsidTr="00B60594">
        <w:trPr>
          <w:trHeight w:val="397"/>
        </w:trPr>
        <w:tc>
          <w:tcPr>
            <w:tcW w:w="2891" w:type="dxa"/>
            <w:tcBorders>
              <w:left w:val="single" w:sz="4" w:space="0" w:color="000000"/>
              <w:bottom w:val="single" w:sz="4" w:space="0" w:color="000000"/>
              <w:right w:val="single" w:sz="4" w:space="0" w:color="000000"/>
            </w:tcBorders>
            <w:shd w:val="clear" w:color="auto" w:fill="F2F2F2" w:themeFill="background1" w:themeFillShade="F2"/>
            <w:vAlign w:val="center"/>
          </w:tcPr>
          <w:p w14:paraId="7A6C2F4F" w14:textId="77777777" w:rsidR="005775AC" w:rsidRPr="006414E6" w:rsidRDefault="005775AC" w:rsidP="005775AC">
            <w:pPr>
              <w:kinsoku w:val="0"/>
              <w:overflowPunct w:val="0"/>
              <w:autoSpaceDE w:val="0"/>
              <w:autoSpaceDN w:val="0"/>
              <w:adjustRightInd w:val="0"/>
              <w:spacing w:line="240" w:lineRule="auto"/>
              <w:jc w:val="left"/>
              <w:rPr>
                <w:rFonts w:cs="Times New Roman"/>
              </w:rPr>
            </w:pPr>
          </w:p>
        </w:tc>
        <w:tc>
          <w:tcPr>
            <w:tcW w:w="907" w:type="dxa"/>
            <w:vMerge/>
            <w:tcBorders>
              <w:left w:val="single" w:sz="4" w:space="0" w:color="000000"/>
              <w:bottom w:val="single" w:sz="4" w:space="0" w:color="000000"/>
              <w:right w:val="single" w:sz="4" w:space="0" w:color="000000"/>
            </w:tcBorders>
            <w:shd w:val="clear" w:color="auto" w:fill="F2F2F2" w:themeFill="background1" w:themeFillShade="F2"/>
            <w:vAlign w:val="center"/>
          </w:tcPr>
          <w:p w14:paraId="235FE3D6" w14:textId="77777777" w:rsidR="005775AC" w:rsidRPr="006414E6" w:rsidRDefault="005775AC" w:rsidP="005775AC">
            <w:pPr>
              <w:kinsoku w:val="0"/>
              <w:overflowPunct w:val="0"/>
              <w:autoSpaceDE w:val="0"/>
              <w:autoSpaceDN w:val="0"/>
              <w:adjustRightInd w:val="0"/>
              <w:spacing w:line="240" w:lineRule="auto"/>
              <w:jc w:val="center"/>
              <w:rPr>
                <w:rFonts w:cs="Times New Roman"/>
              </w:rPr>
            </w:pPr>
          </w:p>
        </w:tc>
        <w:tc>
          <w:tcPr>
            <w:tcW w:w="907" w:type="dxa"/>
            <w:tcBorders>
              <w:top w:val="single" w:sz="4" w:space="0" w:color="000000"/>
              <w:left w:val="single" w:sz="4" w:space="0" w:color="000000"/>
              <w:bottom w:val="single" w:sz="4" w:space="0" w:color="000000"/>
              <w:right w:val="single" w:sz="4" w:space="0" w:color="000000"/>
            </w:tcBorders>
            <w:vAlign w:val="center"/>
          </w:tcPr>
          <w:p w14:paraId="30B43F37"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2030.</w:t>
            </w:r>
          </w:p>
        </w:tc>
        <w:tc>
          <w:tcPr>
            <w:tcW w:w="907" w:type="dxa"/>
            <w:tcBorders>
              <w:top w:val="single" w:sz="4" w:space="0" w:color="000000"/>
              <w:left w:val="single" w:sz="4" w:space="0" w:color="000000"/>
              <w:bottom w:val="single" w:sz="4" w:space="0" w:color="000000"/>
              <w:right w:val="single" w:sz="4" w:space="0" w:color="000000"/>
            </w:tcBorders>
            <w:vAlign w:val="center"/>
          </w:tcPr>
          <w:p w14:paraId="0DE9FCD9"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2040.</w:t>
            </w:r>
          </w:p>
        </w:tc>
        <w:tc>
          <w:tcPr>
            <w:tcW w:w="907" w:type="dxa"/>
            <w:tcBorders>
              <w:top w:val="single" w:sz="4" w:space="0" w:color="000000"/>
              <w:left w:val="single" w:sz="4" w:space="0" w:color="000000"/>
              <w:bottom w:val="single" w:sz="4" w:space="0" w:color="000000"/>
              <w:right w:val="single" w:sz="4" w:space="0" w:color="000000"/>
            </w:tcBorders>
            <w:vAlign w:val="center"/>
          </w:tcPr>
          <w:p w14:paraId="6495B878"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2050.</w:t>
            </w:r>
          </w:p>
        </w:tc>
        <w:tc>
          <w:tcPr>
            <w:tcW w:w="907" w:type="dxa"/>
            <w:tcBorders>
              <w:top w:val="single" w:sz="4" w:space="0" w:color="000000"/>
              <w:left w:val="single" w:sz="4" w:space="0" w:color="000000"/>
              <w:bottom w:val="single" w:sz="4" w:space="0" w:color="000000"/>
              <w:right w:val="single" w:sz="4" w:space="0" w:color="000000"/>
            </w:tcBorders>
            <w:vAlign w:val="center"/>
          </w:tcPr>
          <w:p w14:paraId="5ED2B0CE"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2030.</w:t>
            </w:r>
          </w:p>
        </w:tc>
        <w:tc>
          <w:tcPr>
            <w:tcW w:w="907" w:type="dxa"/>
            <w:tcBorders>
              <w:top w:val="single" w:sz="4" w:space="0" w:color="000000"/>
              <w:left w:val="single" w:sz="4" w:space="0" w:color="000000"/>
              <w:bottom w:val="single" w:sz="4" w:space="0" w:color="000000"/>
              <w:right w:val="single" w:sz="4" w:space="0" w:color="000000"/>
            </w:tcBorders>
            <w:vAlign w:val="center"/>
          </w:tcPr>
          <w:p w14:paraId="53D5A72D"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2040.</w:t>
            </w:r>
          </w:p>
        </w:tc>
        <w:tc>
          <w:tcPr>
            <w:tcW w:w="907" w:type="dxa"/>
            <w:tcBorders>
              <w:top w:val="single" w:sz="4" w:space="0" w:color="000000"/>
              <w:left w:val="single" w:sz="4" w:space="0" w:color="000000"/>
              <w:bottom w:val="single" w:sz="4" w:space="0" w:color="000000"/>
              <w:right w:val="single" w:sz="4" w:space="0" w:color="000000"/>
            </w:tcBorders>
            <w:vAlign w:val="center"/>
          </w:tcPr>
          <w:p w14:paraId="467B491B"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2050.</w:t>
            </w:r>
          </w:p>
        </w:tc>
      </w:tr>
      <w:tr w:rsidR="005775AC" w:rsidRPr="006414E6" w14:paraId="2D33506E" w14:textId="77777777" w:rsidTr="00B60594">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C16AEC" w14:textId="77777777" w:rsidR="005775AC" w:rsidRPr="006414E6" w:rsidRDefault="005775AC" w:rsidP="005775AC">
            <w:pPr>
              <w:kinsoku w:val="0"/>
              <w:overflowPunct w:val="0"/>
              <w:autoSpaceDE w:val="0"/>
              <w:autoSpaceDN w:val="0"/>
              <w:adjustRightInd w:val="0"/>
              <w:spacing w:line="240" w:lineRule="auto"/>
              <w:jc w:val="left"/>
              <w:rPr>
                <w:rFonts w:cs="Times New Roman"/>
                <w:b/>
                <w:bCs/>
                <w:spacing w:val="-1"/>
              </w:rPr>
            </w:pPr>
            <w:r w:rsidRPr="006414E6">
              <w:rPr>
                <w:rFonts w:cs="Times New Roman"/>
                <w:b/>
                <w:bCs/>
                <w:spacing w:val="-1"/>
              </w:rPr>
              <w:t>Potrošnja</w:t>
            </w:r>
            <w:r w:rsidRPr="006414E6">
              <w:rPr>
                <w:rFonts w:cs="Times New Roman"/>
                <w:b/>
                <w:bCs/>
                <w:spacing w:val="-12"/>
              </w:rPr>
              <w:t xml:space="preserve"> </w:t>
            </w:r>
            <w:r w:rsidRPr="006414E6">
              <w:rPr>
                <w:rFonts w:cs="Times New Roman"/>
                <w:b/>
                <w:bCs/>
              </w:rPr>
              <w:t>primarne</w:t>
            </w:r>
            <w:r w:rsidRPr="006414E6">
              <w:rPr>
                <w:rFonts w:cs="Times New Roman"/>
                <w:b/>
                <w:bCs/>
                <w:spacing w:val="-11"/>
              </w:rPr>
              <w:t xml:space="preserve"> </w:t>
            </w:r>
            <w:r w:rsidRPr="006414E6">
              <w:rPr>
                <w:rFonts w:cs="Times New Roman"/>
                <w:b/>
                <w:bCs/>
              </w:rPr>
              <w:t>energije</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FCB8F" w14:textId="77777777" w:rsidR="005775AC" w:rsidRPr="006414E6" w:rsidRDefault="00B60594" w:rsidP="00B60594">
            <w:pPr>
              <w:kinsoku w:val="0"/>
              <w:overflowPunct w:val="0"/>
              <w:autoSpaceDE w:val="0"/>
              <w:autoSpaceDN w:val="0"/>
              <w:adjustRightInd w:val="0"/>
              <w:spacing w:line="240" w:lineRule="auto"/>
              <w:jc w:val="center"/>
              <w:rPr>
                <w:rFonts w:cs="Times New Roman"/>
              </w:rPr>
            </w:pPr>
            <w:r w:rsidRPr="006414E6">
              <w:rPr>
                <w:rFonts w:cs="Times New Roman"/>
              </w:rPr>
              <w:t>448,5</w:t>
            </w:r>
          </w:p>
        </w:tc>
        <w:tc>
          <w:tcPr>
            <w:tcW w:w="907" w:type="dxa"/>
            <w:tcBorders>
              <w:top w:val="single" w:sz="4" w:space="0" w:color="000000"/>
              <w:left w:val="single" w:sz="4" w:space="0" w:color="000000"/>
              <w:bottom w:val="single" w:sz="4" w:space="0" w:color="000000"/>
              <w:right w:val="single" w:sz="4" w:space="0" w:color="000000"/>
            </w:tcBorders>
            <w:vAlign w:val="center"/>
          </w:tcPr>
          <w:p w14:paraId="4CA1060A"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344,4</w:t>
            </w:r>
          </w:p>
        </w:tc>
        <w:tc>
          <w:tcPr>
            <w:tcW w:w="907" w:type="dxa"/>
            <w:tcBorders>
              <w:top w:val="single" w:sz="4" w:space="0" w:color="000000"/>
              <w:left w:val="single" w:sz="4" w:space="0" w:color="000000"/>
              <w:bottom w:val="single" w:sz="4" w:space="0" w:color="000000"/>
              <w:right w:val="single" w:sz="4" w:space="0" w:color="000000"/>
            </w:tcBorders>
            <w:vAlign w:val="center"/>
          </w:tcPr>
          <w:p w14:paraId="58718659"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325,7</w:t>
            </w:r>
          </w:p>
        </w:tc>
        <w:tc>
          <w:tcPr>
            <w:tcW w:w="907" w:type="dxa"/>
            <w:tcBorders>
              <w:top w:val="single" w:sz="4" w:space="0" w:color="000000"/>
              <w:left w:val="single" w:sz="4" w:space="0" w:color="000000"/>
              <w:bottom w:val="single" w:sz="4" w:space="0" w:color="000000"/>
              <w:right w:val="single" w:sz="4" w:space="0" w:color="000000"/>
            </w:tcBorders>
            <w:vAlign w:val="center"/>
          </w:tcPr>
          <w:p w14:paraId="163BE092"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287,4</w:t>
            </w:r>
          </w:p>
        </w:tc>
        <w:tc>
          <w:tcPr>
            <w:tcW w:w="907" w:type="dxa"/>
            <w:tcBorders>
              <w:top w:val="single" w:sz="4" w:space="0" w:color="000000"/>
              <w:left w:val="single" w:sz="4" w:space="0" w:color="000000"/>
              <w:bottom w:val="single" w:sz="4" w:space="0" w:color="000000"/>
              <w:right w:val="single" w:sz="4" w:space="0" w:color="000000"/>
            </w:tcBorders>
            <w:vAlign w:val="center"/>
          </w:tcPr>
          <w:p w14:paraId="12230B85"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328,7</w:t>
            </w:r>
          </w:p>
        </w:tc>
        <w:tc>
          <w:tcPr>
            <w:tcW w:w="907" w:type="dxa"/>
            <w:tcBorders>
              <w:top w:val="single" w:sz="4" w:space="0" w:color="000000"/>
              <w:left w:val="single" w:sz="4" w:space="0" w:color="000000"/>
              <w:bottom w:val="single" w:sz="4" w:space="0" w:color="000000"/>
              <w:right w:val="single" w:sz="4" w:space="0" w:color="000000"/>
            </w:tcBorders>
            <w:vAlign w:val="center"/>
          </w:tcPr>
          <w:p w14:paraId="657DB5EC"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292,2</w:t>
            </w:r>
          </w:p>
        </w:tc>
        <w:tc>
          <w:tcPr>
            <w:tcW w:w="907" w:type="dxa"/>
            <w:tcBorders>
              <w:top w:val="single" w:sz="4" w:space="0" w:color="000000"/>
              <w:left w:val="single" w:sz="4" w:space="0" w:color="000000"/>
              <w:bottom w:val="single" w:sz="4" w:space="0" w:color="000000"/>
              <w:right w:val="single" w:sz="4" w:space="0" w:color="000000"/>
            </w:tcBorders>
            <w:vAlign w:val="center"/>
          </w:tcPr>
          <w:p w14:paraId="22B8F8F3"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251,0</w:t>
            </w:r>
          </w:p>
        </w:tc>
      </w:tr>
      <w:tr w:rsidR="005775AC" w:rsidRPr="006414E6" w14:paraId="1EBD852A" w14:textId="77777777" w:rsidTr="00B60594">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A150BF" w14:textId="77777777" w:rsidR="005775AC" w:rsidRPr="006414E6" w:rsidRDefault="005775AC" w:rsidP="005775AC">
            <w:pPr>
              <w:kinsoku w:val="0"/>
              <w:overflowPunct w:val="0"/>
              <w:autoSpaceDE w:val="0"/>
              <w:autoSpaceDN w:val="0"/>
              <w:adjustRightInd w:val="0"/>
              <w:spacing w:line="240" w:lineRule="auto"/>
              <w:jc w:val="left"/>
              <w:rPr>
                <w:rFonts w:cs="Times New Roman"/>
                <w:b/>
                <w:bCs/>
              </w:rPr>
            </w:pPr>
            <w:r w:rsidRPr="006414E6">
              <w:rPr>
                <w:rFonts w:cs="Times New Roman"/>
                <w:b/>
                <w:bCs/>
              </w:rPr>
              <w:t>Neposredna</w:t>
            </w:r>
            <w:r w:rsidRPr="006414E6">
              <w:rPr>
                <w:rFonts w:cs="Times New Roman"/>
                <w:b/>
                <w:bCs/>
                <w:spacing w:val="-15"/>
              </w:rPr>
              <w:t xml:space="preserve"> </w:t>
            </w:r>
            <w:r w:rsidRPr="006414E6">
              <w:rPr>
                <w:rFonts w:cs="Times New Roman"/>
                <w:b/>
                <w:bCs/>
                <w:spacing w:val="-1"/>
              </w:rPr>
              <w:t>potrošnja</w:t>
            </w:r>
            <w:r w:rsidRPr="006414E6">
              <w:rPr>
                <w:rFonts w:cs="Times New Roman"/>
                <w:b/>
                <w:bCs/>
                <w:spacing w:val="-14"/>
              </w:rPr>
              <w:t xml:space="preserve"> </w:t>
            </w:r>
            <w:r w:rsidRPr="006414E6">
              <w:rPr>
                <w:rFonts w:cs="Times New Roman"/>
                <w:b/>
                <w:bCs/>
              </w:rPr>
              <w:t>energije</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37F7C" w14:textId="77777777" w:rsidR="005775AC" w:rsidRPr="006414E6" w:rsidRDefault="00B93B21" w:rsidP="00B60594">
            <w:pPr>
              <w:kinsoku w:val="0"/>
              <w:overflowPunct w:val="0"/>
              <w:autoSpaceDE w:val="0"/>
              <w:autoSpaceDN w:val="0"/>
              <w:adjustRightInd w:val="0"/>
              <w:spacing w:line="240" w:lineRule="auto"/>
              <w:jc w:val="center"/>
              <w:rPr>
                <w:rFonts w:cs="Times New Roman"/>
                <w:bCs/>
              </w:rPr>
            </w:pPr>
            <w:r w:rsidRPr="006414E6">
              <w:rPr>
                <w:rFonts w:cs="Times New Roman"/>
                <w:bCs/>
              </w:rPr>
              <w:t>2</w:t>
            </w:r>
            <w:r w:rsidR="00B60594" w:rsidRPr="006414E6">
              <w:rPr>
                <w:rFonts w:cs="Times New Roman"/>
                <w:bCs/>
              </w:rPr>
              <w:t>91,3</w:t>
            </w:r>
          </w:p>
        </w:tc>
        <w:tc>
          <w:tcPr>
            <w:tcW w:w="907" w:type="dxa"/>
            <w:tcBorders>
              <w:top w:val="single" w:sz="4" w:space="0" w:color="000000"/>
              <w:left w:val="single" w:sz="4" w:space="0" w:color="000000"/>
              <w:bottom w:val="single" w:sz="4" w:space="0" w:color="000000"/>
              <w:right w:val="single" w:sz="4" w:space="0" w:color="000000"/>
            </w:tcBorders>
            <w:vAlign w:val="center"/>
          </w:tcPr>
          <w:p w14:paraId="2A5E988E"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286,9</w:t>
            </w:r>
          </w:p>
        </w:tc>
        <w:tc>
          <w:tcPr>
            <w:tcW w:w="907" w:type="dxa"/>
            <w:tcBorders>
              <w:top w:val="single" w:sz="4" w:space="0" w:color="000000"/>
              <w:left w:val="single" w:sz="4" w:space="0" w:color="000000"/>
              <w:bottom w:val="single" w:sz="4" w:space="0" w:color="000000"/>
              <w:right w:val="single" w:sz="4" w:space="0" w:color="000000"/>
            </w:tcBorders>
            <w:vAlign w:val="center"/>
          </w:tcPr>
          <w:p w14:paraId="0A0F57A1"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265,2</w:t>
            </w:r>
          </w:p>
        </w:tc>
        <w:tc>
          <w:tcPr>
            <w:tcW w:w="907" w:type="dxa"/>
            <w:tcBorders>
              <w:top w:val="single" w:sz="4" w:space="0" w:color="000000"/>
              <w:left w:val="single" w:sz="4" w:space="0" w:color="000000"/>
              <w:bottom w:val="single" w:sz="4" w:space="0" w:color="000000"/>
              <w:right w:val="single" w:sz="4" w:space="0" w:color="000000"/>
            </w:tcBorders>
            <w:vAlign w:val="center"/>
          </w:tcPr>
          <w:p w14:paraId="09A17F61"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225,6</w:t>
            </w:r>
          </w:p>
        </w:tc>
        <w:tc>
          <w:tcPr>
            <w:tcW w:w="907" w:type="dxa"/>
            <w:tcBorders>
              <w:top w:val="single" w:sz="4" w:space="0" w:color="000000"/>
              <w:left w:val="single" w:sz="4" w:space="0" w:color="000000"/>
              <w:bottom w:val="single" w:sz="4" w:space="0" w:color="000000"/>
              <w:right w:val="single" w:sz="4" w:space="0" w:color="000000"/>
            </w:tcBorders>
            <w:vAlign w:val="center"/>
          </w:tcPr>
          <w:p w14:paraId="13A04F15"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272,5</w:t>
            </w:r>
          </w:p>
        </w:tc>
        <w:tc>
          <w:tcPr>
            <w:tcW w:w="907" w:type="dxa"/>
            <w:tcBorders>
              <w:top w:val="single" w:sz="4" w:space="0" w:color="000000"/>
              <w:left w:val="single" w:sz="4" w:space="0" w:color="000000"/>
              <w:bottom w:val="single" w:sz="4" w:space="0" w:color="000000"/>
              <w:right w:val="single" w:sz="4" w:space="0" w:color="000000"/>
            </w:tcBorders>
            <w:vAlign w:val="center"/>
          </w:tcPr>
          <w:p w14:paraId="08069DDE"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238,3</w:t>
            </w:r>
          </w:p>
        </w:tc>
        <w:tc>
          <w:tcPr>
            <w:tcW w:w="907" w:type="dxa"/>
            <w:tcBorders>
              <w:top w:val="single" w:sz="4" w:space="0" w:color="000000"/>
              <w:left w:val="single" w:sz="4" w:space="0" w:color="000000"/>
              <w:bottom w:val="single" w:sz="4" w:space="0" w:color="000000"/>
              <w:right w:val="single" w:sz="4" w:space="0" w:color="000000"/>
            </w:tcBorders>
            <w:vAlign w:val="center"/>
          </w:tcPr>
          <w:p w14:paraId="00E2FAD6" w14:textId="77777777" w:rsidR="005775AC" w:rsidRPr="006414E6" w:rsidRDefault="005775AC" w:rsidP="005775AC">
            <w:pPr>
              <w:kinsoku w:val="0"/>
              <w:overflowPunct w:val="0"/>
              <w:autoSpaceDE w:val="0"/>
              <w:autoSpaceDN w:val="0"/>
              <w:adjustRightInd w:val="0"/>
              <w:spacing w:line="240" w:lineRule="auto"/>
              <w:jc w:val="center"/>
              <w:rPr>
                <w:rFonts w:cs="Times New Roman"/>
              </w:rPr>
            </w:pPr>
            <w:r w:rsidRPr="006414E6">
              <w:rPr>
                <w:rFonts w:cs="Times New Roman"/>
              </w:rPr>
              <w:t>189,6</w:t>
            </w:r>
          </w:p>
        </w:tc>
      </w:tr>
    </w:tbl>
    <w:p w14:paraId="0BD2FBB3" w14:textId="77777777" w:rsidR="000013CA" w:rsidRPr="006414E6" w:rsidRDefault="00D93B62" w:rsidP="001A4CE7">
      <w:pPr>
        <w:rPr>
          <w:rFonts w:cs="Times New Roman"/>
        </w:rPr>
      </w:pPr>
      <w:r w:rsidRPr="006414E6">
        <w:rPr>
          <w:rFonts w:cs="Times New Roman"/>
        </w:rPr>
        <w:t>Povećanjem energetske učinkovitosti ostvarit će se koristi za okoliš, smanjiti emisije stakleničkih plinova, poboljšati energetska sigurnost, sniziti troškovi energije te ublažiti energetsko siromaštvo. To će dovesti do veće konkurentnosti, povećanja zaposlenosti i povećane gospodarske aktivnosti, čime će se poboljšati kvaliteta života građana.</w:t>
      </w:r>
    </w:p>
    <w:p w14:paraId="68D7F993" w14:textId="77777777" w:rsidR="0007457F" w:rsidRPr="006414E6" w:rsidRDefault="001241B9" w:rsidP="00EE3488">
      <w:pPr>
        <w:pStyle w:val="Heading1"/>
      </w:pPr>
      <w:bookmarkStart w:id="220" w:name="_Toc20841302"/>
      <w:bookmarkStart w:id="221" w:name="_Toc20841408"/>
      <w:bookmarkStart w:id="222" w:name="_Toc39133276"/>
      <w:r w:rsidRPr="006414E6">
        <w:t>6.</w:t>
      </w:r>
      <w:r w:rsidR="0007457F" w:rsidRPr="006414E6">
        <w:t xml:space="preserve"> </w:t>
      </w:r>
      <w:r w:rsidR="000013CA" w:rsidRPr="006414E6">
        <w:tab/>
      </w:r>
      <w:r w:rsidR="00864D8D" w:rsidRPr="006414E6">
        <w:t>SCENARIJI NISKOUGLJIČNOG RAZVOJA PO SEKTORIMA</w:t>
      </w:r>
      <w:bookmarkEnd w:id="220"/>
      <w:bookmarkEnd w:id="221"/>
      <w:bookmarkEnd w:id="222"/>
    </w:p>
    <w:p w14:paraId="3166C4FD" w14:textId="77777777" w:rsidR="00662631" w:rsidRPr="006414E6" w:rsidRDefault="00662631" w:rsidP="00662631">
      <w:pPr>
        <w:rPr>
          <w:rFonts w:cs="Times New Roman"/>
        </w:rPr>
      </w:pPr>
      <w:r w:rsidRPr="006414E6">
        <w:rPr>
          <w:rFonts w:cs="Times New Roman"/>
        </w:rPr>
        <w:t xml:space="preserve">U ovom poglavlju daje se pregled </w:t>
      </w:r>
      <w:r w:rsidR="00280781" w:rsidRPr="006414E6">
        <w:rPr>
          <w:rFonts w:cs="Times New Roman"/>
        </w:rPr>
        <w:t>politika i</w:t>
      </w:r>
      <w:r w:rsidRPr="006414E6">
        <w:rPr>
          <w:rFonts w:cs="Times New Roman"/>
        </w:rPr>
        <w:t xml:space="preserve"> mjera</w:t>
      </w:r>
      <w:r w:rsidR="00BE119C" w:rsidRPr="006414E6">
        <w:rPr>
          <w:rFonts w:cs="Times New Roman"/>
        </w:rPr>
        <w:t xml:space="preserve"> te </w:t>
      </w:r>
      <w:r w:rsidRPr="006414E6">
        <w:rPr>
          <w:rFonts w:cs="Times New Roman"/>
        </w:rPr>
        <w:t xml:space="preserve">smjernice za provođenje </w:t>
      </w:r>
      <w:proofErr w:type="spellStart"/>
      <w:r w:rsidRPr="006414E6">
        <w:rPr>
          <w:rFonts w:cs="Times New Roman"/>
        </w:rPr>
        <w:t>Nisk</w:t>
      </w:r>
      <w:r w:rsidR="00661345" w:rsidRPr="006414E6">
        <w:rPr>
          <w:rFonts w:cs="Times New Roman"/>
        </w:rPr>
        <w:t>o</w:t>
      </w:r>
      <w:r w:rsidRPr="006414E6">
        <w:rPr>
          <w:rFonts w:cs="Times New Roman"/>
        </w:rPr>
        <w:t>ugljične</w:t>
      </w:r>
      <w:proofErr w:type="spellEnd"/>
      <w:r w:rsidRPr="006414E6">
        <w:rPr>
          <w:rFonts w:cs="Times New Roman"/>
        </w:rPr>
        <w:t xml:space="preserve"> strategije. Mjere su</w:t>
      </w:r>
      <w:r w:rsidR="00BE119C" w:rsidRPr="006414E6">
        <w:rPr>
          <w:rFonts w:cs="Times New Roman"/>
        </w:rPr>
        <w:t xml:space="preserve"> opisane po pojedinim sektorima</w:t>
      </w:r>
      <w:r w:rsidRPr="006414E6">
        <w:rPr>
          <w:rFonts w:cs="Times New Roman"/>
        </w:rPr>
        <w:t>. Kompletan popis mjera nalazi se u Prilogu II</w:t>
      </w:r>
      <w:r w:rsidR="00281383" w:rsidRPr="006414E6">
        <w:rPr>
          <w:rFonts w:cs="Times New Roman"/>
        </w:rPr>
        <w:t xml:space="preserve">. </w:t>
      </w:r>
      <w:r w:rsidR="00D72786" w:rsidRPr="006414E6">
        <w:rPr>
          <w:rFonts w:cs="Times New Roman"/>
        </w:rPr>
        <w:t xml:space="preserve">ove Strategije. </w:t>
      </w:r>
      <w:r w:rsidRPr="006414E6">
        <w:rPr>
          <w:rFonts w:cs="Times New Roman"/>
        </w:rPr>
        <w:t xml:space="preserve">Temeljem utvrđenih mogućih mjera njihovom kombinacijom definiraju se scenariji. Kao glavni kriteriji za odabir mjera i dubinu njihove primjene odabrani su slijedeći kriteriji: troškovna učinkovitost, potencijal za zapošljavanje, podizanje konkurentnosti domaće industrije i lokalni razvoj. </w:t>
      </w:r>
    </w:p>
    <w:p w14:paraId="6652BC10" w14:textId="77777777" w:rsidR="003927EE" w:rsidRPr="006414E6" w:rsidRDefault="00662631" w:rsidP="00D72786">
      <w:pPr>
        <w:spacing w:line="240" w:lineRule="auto"/>
        <w:rPr>
          <w:rFonts w:cs="Times New Roman"/>
        </w:rPr>
      </w:pPr>
      <w:proofErr w:type="spellStart"/>
      <w:r w:rsidRPr="006414E6">
        <w:rPr>
          <w:rFonts w:cs="Times New Roman"/>
        </w:rPr>
        <w:t>Niskougljična</w:t>
      </w:r>
      <w:proofErr w:type="spellEnd"/>
      <w:r w:rsidRPr="006414E6">
        <w:rPr>
          <w:rFonts w:cs="Times New Roman"/>
        </w:rPr>
        <w:t xml:space="preserve"> strategija postavlja dva </w:t>
      </w:r>
      <w:proofErr w:type="spellStart"/>
      <w:r w:rsidRPr="006414E6">
        <w:rPr>
          <w:rFonts w:cs="Times New Roman"/>
        </w:rPr>
        <w:t>niskougljična</w:t>
      </w:r>
      <w:proofErr w:type="spellEnd"/>
      <w:r w:rsidRPr="006414E6">
        <w:rPr>
          <w:rFonts w:cs="Times New Roman"/>
        </w:rPr>
        <w:t xml:space="preserve"> scenarija: scenarij postupne tranzicije (NU1) i scenarij snažne tranzicije (NU2). Ova dva scenarija definiraju okvir za budućnost te ovisno o okolnostima, putanja treba biti između ova dva 'granična' scenarija. </w:t>
      </w:r>
      <w:r w:rsidR="00CC36AF" w:rsidRPr="006414E6">
        <w:rPr>
          <w:rFonts w:cs="Times New Roman"/>
        </w:rPr>
        <w:t>Nova politička opredjeljenja Europe objavljena k</w:t>
      </w:r>
      <w:r w:rsidR="00FA07CF" w:rsidRPr="006414E6">
        <w:rPr>
          <w:rFonts w:cs="Times New Roman"/>
        </w:rPr>
        <w:t>rajem</w:t>
      </w:r>
      <w:r w:rsidR="00CC36AF" w:rsidRPr="006414E6">
        <w:rPr>
          <w:rFonts w:cs="Times New Roman"/>
        </w:rPr>
        <w:t xml:space="preserve"> 2018. godine, s vizijom društva s neto neutralnom emisijom stakleničkih plinova u 2050. godini, jasno ukazuju da treba što više težiti ostvarenju scenarija NU2, s obzirom da će vrlo uskoro biti potrebno razmotriti i još ambicioznije ciljeve.</w:t>
      </w:r>
    </w:p>
    <w:p w14:paraId="661E310F" w14:textId="77777777" w:rsidR="003927EE" w:rsidRPr="006414E6" w:rsidRDefault="003927EE" w:rsidP="00D72786">
      <w:pPr>
        <w:spacing w:line="240" w:lineRule="auto"/>
        <w:rPr>
          <w:rFonts w:cs="Times New Roman"/>
        </w:rPr>
      </w:pPr>
      <w:proofErr w:type="spellStart"/>
      <w:r w:rsidRPr="006414E6">
        <w:rPr>
          <w:rFonts w:cs="Times New Roman"/>
        </w:rPr>
        <w:t>Niskougljična</w:t>
      </w:r>
      <w:proofErr w:type="spellEnd"/>
      <w:r w:rsidRPr="006414E6">
        <w:rPr>
          <w:rFonts w:cs="Times New Roman"/>
        </w:rPr>
        <w:t xml:space="preserve"> strategija daje okvir za djelovanje po sektorima i vertikalno</w:t>
      </w:r>
      <w:r w:rsidR="00661345" w:rsidRPr="006414E6">
        <w:rPr>
          <w:rFonts w:cs="Times New Roman"/>
        </w:rPr>
        <w:t>,</w:t>
      </w:r>
      <w:r w:rsidRPr="006414E6">
        <w:rPr>
          <w:rFonts w:cs="Times New Roman"/>
        </w:rPr>
        <w:t xml:space="preserve"> od državne razine do djelovanja na lokalnoj razini. </w:t>
      </w:r>
      <w:proofErr w:type="spellStart"/>
      <w:r w:rsidRPr="006414E6">
        <w:rPr>
          <w:rFonts w:cs="Times New Roman"/>
        </w:rPr>
        <w:t>Niskougljična</w:t>
      </w:r>
      <w:proofErr w:type="spellEnd"/>
      <w:r w:rsidRPr="006414E6">
        <w:rPr>
          <w:rFonts w:cs="Times New Roman"/>
        </w:rPr>
        <w:t xml:space="preserve"> strategija ne razmatra pojedinačne projekte, investicije i odluke, izuzev ako su one već raspoznate kao strateške. Iz općih smjernica, mjerila, kriterija i čimbenika scenarija NU1 i NU2 investitori i donosioci odluka trebaju raspoznati poželjan smjer. Zbog dugoročnosti, </w:t>
      </w:r>
      <w:proofErr w:type="spellStart"/>
      <w:r w:rsidRPr="006414E6">
        <w:rPr>
          <w:rFonts w:cs="Times New Roman"/>
        </w:rPr>
        <w:t>Niskougljična</w:t>
      </w:r>
      <w:proofErr w:type="spellEnd"/>
      <w:r w:rsidRPr="006414E6">
        <w:rPr>
          <w:rFonts w:cs="Times New Roman"/>
        </w:rPr>
        <w:t xml:space="preserve"> strategija mora biti i dovoljno široka, kako bi obuhvatila moguće geopolitičke i ostale okolnosti na koje Vlada Republike Hrvatske i gospodarski subjekti ne mogu utjecati.</w:t>
      </w:r>
    </w:p>
    <w:p w14:paraId="354529E2" w14:textId="77777777" w:rsidR="00662631" w:rsidRPr="006414E6" w:rsidRDefault="00662631" w:rsidP="00662631">
      <w:pPr>
        <w:rPr>
          <w:rFonts w:cs="Times New Roman"/>
          <w:b/>
        </w:rPr>
      </w:pPr>
      <w:r w:rsidRPr="006414E6">
        <w:rPr>
          <w:rFonts w:cs="Times New Roman"/>
          <w:b/>
        </w:rPr>
        <w:t>Ovim scenarijima Republika Hrvatska ostvaruje u 2030. godini 3</w:t>
      </w:r>
      <w:r w:rsidR="003E3875" w:rsidRPr="006414E6">
        <w:rPr>
          <w:rFonts w:cs="Times New Roman"/>
          <w:b/>
        </w:rPr>
        <w:t>3,</w:t>
      </w:r>
      <w:r w:rsidR="00BE119C" w:rsidRPr="006414E6">
        <w:rPr>
          <w:rFonts w:cs="Times New Roman"/>
          <w:b/>
        </w:rPr>
        <w:t>5</w:t>
      </w:r>
      <w:r w:rsidRPr="006414E6">
        <w:rPr>
          <w:rFonts w:cs="Times New Roman"/>
          <w:b/>
        </w:rPr>
        <w:t xml:space="preserve"> do </w:t>
      </w:r>
      <w:r w:rsidR="003E3875" w:rsidRPr="006414E6">
        <w:rPr>
          <w:rFonts w:cs="Times New Roman"/>
          <w:b/>
        </w:rPr>
        <w:t>3</w:t>
      </w:r>
      <w:r w:rsidR="00BE119C" w:rsidRPr="006414E6">
        <w:rPr>
          <w:rFonts w:cs="Times New Roman"/>
          <w:b/>
        </w:rPr>
        <w:t>6,7</w:t>
      </w:r>
      <w:r w:rsidRPr="006414E6">
        <w:rPr>
          <w:rFonts w:cs="Times New Roman"/>
          <w:b/>
        </w:rPr>
        <w:t xml:space="preserve">% smanjenje emisija u odnosu na 1990. godinu, a u 2050. godini </w:t>
      </w:r>
      <w:r w:rsidR="003E3875" w:rsidRPr="006414E6">
        <w:rPr>
          <w:rFonts w:cs="Times New Roman"/>
          <w:b/>
        </w:rPr>
        <w:t>5</w:t>
      </w:r>
      <w:r w:rsidR="00BE119C" w:rsidRPr="006414E6">
        <w:rPr>
          <w:rFonts w:cs="Times New Roman"/>
          <w:b/>
        </w:rPr>
        <w:t>6,8</w:t>
      </w:r>
      <w:r w:rsidRPr="006414E6">
        <w:rPr>
          <w:rFonts w:cs="Times New Roman"/>
          <w:b/>
        </w:rPr>
        <w:t xml:space="preserve"> do 7</w:t>
      </w:r>
      <w:r w:rsidR="00BE119C" w:rsidRPr="006414E6">
        <w:rPr>
          <w:rFonts w:cs="Times New Roman"/>
          <w:b/>
        </w:rPr>
        <w:t>3,1</w:t>
      </w:r>
      <w:r w:rsidRPr="006414E6">
        <w:rPr>
          <w:rFonts w:cs="Times New Roman"/>
          <w:b/>
        </w:rPr>
        <w:t>%.</w:t>
      </w:r>
    </w:p>
    <w:p w14:paraId="16968947" w14:textId="0A242017" w:rsidR="00662631" w:rsidRPr="006414E6" w:rsidRDefault="00662631" w:rsidP="003927EE">
      <w:pPr>
        <w:rPr>
          <w:rFonts w:cs="Times New Roman"/>
        </w:rPr>
      </w:pPr>
      <w:r w:rsidRPr="006414E6">
        <w:rPr>
          <w:rFonts w:cs="Times New Roman"/>
        </w:rPr>
        <w:t xml:space="preserve">Scenarij NU2 je postavljen vrlo ambiciozno po uzoru na cilj EU za 2050. godinu, sa smanjenjem ukupne emisije za 80% u odnosu na 1990. godinu. Analiza je pokazala da bi smanjenje </w:t>
      </w:r>
      <w:r w:rsidR="007319A7" w:rsidRPr="006414E6">
        <w:rPr>
          <w:rFonts w:cs="Times New Roman"/>
        </w:rPr>
        <w:t xml:space="preserve">emisija </w:t>
      </w:r>
      <w:r w:rsidRPr="006414E6">
        <w:rPr>
          <w:rFonts w:cs="Times New Roman"/>
        </w:rPr>
        <w:t>preko 7</w:t>
      </w:r>
      <w:r w:rsidR="00CC101B" w:rsidRPr="006414E6">
        <w:rPr>
          <w:rFonts w:cs="Times New Roman"/>
        </w:rPr>
        <w:t>3,1</w:t>
      </w:r>
      <w:r w:rsidRPr="006414E6">
        <w:rPr>
          <w:rFonts w:cs="Times New Roman"/>
        </w:rPr>
        <w:t xml:space="preserve">%, koliko doseže hrvatski scenarij NU2, zahtijevalo primjenu vrlo skupih tehničkih mjera ili puno veća smanjenja emisije u sektoru poljoprivrede, što bi moglo imati velike </w:t>
      </w:r>
      <w:proofErr w:type="spellStart"/>
      <w:r w:rsidRPr="006414E6">
        <w:rPr>
          <w:rFonts w:cs="Times New Roman"/>
        </w:rPr>
        <w:t>socio</w:t>
      </w:r>
      <w:proofErr w:type="spellEnd"/>
      <w:r w:rsidRPr="006414E6">
        <w:rPr>
          <w:rFonts w:cs="Times New Roman"/>
        </w:rPr>
        <w:t xml:space="preserve">-gospodarske posljedice. Vrlo </w:t>
      </w:r>
      <w:r w:rsidRPr="006414E6">
        <w:rPr>
          <w:rFonts w:cs="Times New Roman"/>
        </w:rPr>
        <w:lastRenderedPageBreak/>
        <w:t xml:space="preserve">je vjerojatno da će razvoj novih tehnologija omogućiti da se s vremenom ova razlika ostvari troškovno učinkovitije. </w:t>
      </w:r>
    </w:p>
    <w:p w14:paraId="281D1C58" w14:textId="26505DC0" w:rsidR="003927EE" w:rsidRPr="006414E6" w:rsidRDefault="003927EE" w:rsidP="003927EE">
      <w:pPr>
        <w:rPr>
          <w:rFonts w:cs="Times New Roman"/>
          <w:bCs/>
          <w:u w:val="single"/>
        </w:rPr>
      </w:pPr>
      <w:bookmarkStart w:id="223" w:name="_Toc484158987"/>
      <w:r w:rsidRPr="006414E6">
        <w:rPr>
          <w:rFonts w:cs="Times New Roman"/>
          <w:bCs/>
          <w:u w:val="single"/>
        </w:rPr>
        <w:t>Vremenski horizont</w:t>
      </w:r>
      <w:bookmarkEnd w:id="223"/>
    </w:p>
    <w:p w14:paraId="315019F1" w14:textId="77777777" w:rsidR="003927EE" w:rsidRPr="006414E6" w:rsidRDefault="003927EE" w:rsidP="007319A7">
      <w:pPr>
        <w:spacing w:line="240" w:lineRule="auto"/>
        <w:rPr>
          <w:rFonts w:cs="Times New Roman"/>
        </w:rPr>
      </w:pPr>
      <w:r w:rsidRPr="006414E6">
        <w:rPr>
          <w:rFonts w:cs="Times New Roman"/>
          <w:b/>
        </w:rPr>
        <w:t>202</w:t>
      </w:r>
      <w:r w:rsidR="003C1B1E" w:rsidRPr="006414E6">
        <w:rPr>
          <w:rFonts w:cs="Times New Roman"/>
          <w:b/>
        </w:rPr>
        <w:t>0</w:t>
      </w:r>
      <w:r w:rsidRPr="006414E6">
        <w:rPr>
          <w:rFonts w:cs="Times New Roman"/>
          <w:b/>
        </w:rPr>
        <w:t>.</w:t>
      </w:r>
      <w:r w:rsidR="003C1B1E" w:rsidRPr="006414E6">
        <w:rPr>
          <w:rFonts w:cs="Times New Roman"/>
          <w:b/>
        </w:rPr>
        <w:t xml:space="preserve"> – 20</w:t>
      </w:r>
      <w:r w:rsidRPr="006414E6">
        <w:rPr>
          <w:rFonts w:cs="Times New Roman"/>
          <w:b/>
        </w:rPr>
        <w:t xml:space="preserve">30. </w:t>
      </w:r>
      <w:r w:rsidR="007319A7" w:rsidRPr="006414E6">
        <w:rPr>
          <w:rFonts w:cs="Times New Roman"/>
          <w:b/>
        </w:rPr>
        <w:t xml:space="preserve">godina. </w:t>
      </w:r>
      <w:r w:rsidRPr="006414E6">
        <w:rPr>
          <w:rFonts w:cs="Times New Roman"/>
        </w:rPr>
        <w:t xml:space="preserve">Primjena mjera u ovom razdoblju treba biti </w:t>
      </w:r>
      <w:r w:rsidR="003C1B1E" w:rsidRPr="006414E6">
        <w:rPr>
          <w:rFonts w:cs="Times New Roman"/>
        </w:rPr>
        <w:t>s</w:t>
      </w:r>
      <w:r w:rsidRPr="006414E6">
        <w:rPr>
          <w:rFonts w:cs="Times New Roman"/>
        </w:rPr>
        <w:t xml:space="preserve">nažna, to je razdoblje u kojem se Hrvatska okreće prema putu </w:t>
      </w:r>
      <w:proofErr w:type="spellStart"/>
      <w:r w:rsidRPr="006414E6">
        <w:rPr>
          <w:rFonts w:cs="Times New Roman"/>
        </w:rPr>
        <w:t>niskougljičnog</w:t>
      </w:r>
      <w:proofErr w:type="spellEnd"/>
      <w:r w:rsidRPr="006414E6">
        <w:rPr>
          <w:rFonts w:cs="Times New Roman"/>
        </w:rPr>
        <w:t xml:space="preserve"> razvoja. Očekuje se da će cijene CO</w:t>
      </w:r>
      <w:r w:rsidRPr="006414E6">
        <w:rPr>
          <w:rFonts w:cs="Times New Roman"/>
          <w:vertAlign w:val="subscript"/>
        </w:rPr>
        <w:t>2</w:t>
      </w:r>
      <w:r w:rsidRPr="006414E6">
        <w:rPr>
          <w:rFonts w:cs="Times New Roman"/>
        </w:rPr>
        <w:t xml:space="preserve"> biti pred kraj ovog razdoblja prilično visoke, a svijest o potrebi smanjenja emisije i utjecajima klimatskih promjena na kolektivnoj i individualnoj razini razvijena. Republika Hrvatska će u ovom razdoblju odlučiti da li će nakon 2030. godine ići još ambicioznijim smjerom. Globalno, u okviru Pariškog sporazuma, dogovori o povećanju ambicije su u ciklusima od 5 godina. S tim u vezi dolazi do novog načina upravljanja politikom klimatskih promjena na razni EU (eng. '</w:t>
      </w:r>
      <w:proofErr w:type="spellStart"/>
      <w:r w:rsidRPr="006414E6">
        <w:rPr>
          <w:rFonts w:cs="Times New Roman"/>
        </w:rPr>
        <w:t>new</w:t>
      </w:r>
      <w:proofErr w:type="spellEnd"/>
      <w:r w:rsidRPr="006414E6">
        <w:rPr>
          <w:rFonts w:cs="Times New Roman"/>
        </w:rPr>
        <w:t xml:space="preserve"> </w:t>
      </w:r>
      <w:proofErr w:type="spellStart"/>
      <w:r w:rsidRPr="006414E6">
        <w:rPr>
          <w:rFonts w:cs="Times New Roman"/>
        </w:rPr>
        <w:t>governance</w:t>
      </w:r>
      <w:proofErr w:type="spellEnd"/>
      <w:r w:rsidRPr="006414E6">
        <w:rPr>
          <w:rFonts w:cs="Times New Roman"/>
        </w:rPr>
        <w:t xml:space="preserve">'), dijalog će prevladati normativne pristupe, a ovaj će se pristup širiti vertikalno kroz društvo i ekonomiju, kao sociološka novina. U ovom razdoblju snažna logistička podrška tranziciji trebao bi biti operativni program za ublažavanje i prilagodbu klimatskim promjenama, financiran kroz strukturne fondove EU. </w:t>
      </w:r>
    </w:p>
    <w:p w14:paraId="403EBD24" w14:textId="77777777" w:rsidR="003927EE" w:rsidRPr="006414E6" w:rsidRDefault="003C1B1E" w:rsidP="003927EE">
      <w:pPr>
        <w:rPr>
          <w:rFonts w:cs="Times New Roman"/>
          <w:i/>
        </w:rPr>
      </w:pPr>
      <w:r w:rsidRPr="006414E6">
        <w:rPr>
          <w:rFonts w:cs="Times New Roman"/>
          <w:b/>
        </w:rPr>
        <w:t xml:space="preserve">2031. – 2050. </w:t>
      </w:r>
      <w:r w:rsidR="007319A7" w:rsidRPr="006414E6">
        <w:rPr>
          <w:rFonts w:cs="Times New Roman"/>
          <w:b/>
        </w:rPr>
        <w:t xml:space="preserve">godina. </w:t>
      </w:r>
      <w:r w:rsidR="003927EE" w:rsidRPr="006414E6">
        <w:rPr>
          <w:rFonts w:cs="Times New Roman"/>
        </w:rPr>
        <w:t xml:space="preserve">Ovo razdoblje treba promatrati u mogućem rasponu djelovanja između scenarija NU1 i NU2. Međunarodni kontekst, gospodarski razvoj i razvoj tehnologija određivat će smjer. Svijest o potrebi ambicioznog djelovanja biti će izgrađena na svim razinama. </w:t>
      </w:r>
    </w:p>
    <w:p w14:paraId="6B293B8B" w14:textId="77777777" w:rsidR="009A170C" w:rsidRPr="006414E6" w:rsidRDefault="001241B9" w:rsidP="00EE3488">
      <w:pPr>
        <w:pStyle w:val="Heading2"/>
      </w:pPr>
      <w:bookmarkStart w:id="224" w:name="_Toc20841303"/>
      <w:bookmarkStart w:id="225" w:name="_Toc20841409"/>
      <w:bookmarkStart w:id="226" w:name="_Toc39133277"/>
      <w:r w:rsidRPr="006414E6">
        <w:t>6.</w:t>
      </w:r>
      <w:r w:rsidR="009A170C" w:rsidRPr="006414E6">
        <w:t xml:space="preserve">1. </w:t>
      </w:r>
      <w:r w:rsidR="000013CA" w:rsidRPr="006414E6">
        <w:tab/>
      </w:r>
      <w:r w:rsidR="009A170C" w:rsidRPr="006414E6">
        <w:t>PROIZVODNJA ELEKTRIČNE ENERGIJE I TOPLINE</w:t>
      </w:r>
      <w:bookmarkEnd w:id="224"/>
      <w:bookmarkEnd w:id="225"/>
      <w:bookmarkEnd w:id="226"/>
      <w:r w:rsidR="009A170C" w:rsidRPr="006414E6">
        <w:tab/>
      </w:r>
    </w:p>
    <w:p w14:paraId="105A2F82" w14:textId="60B480C1" w:rsidR="000013CA" w:rsidRPr="006414E6" w:rsidRDefault="001241B9" w:rsidP="00EE3488">
      <w:pPr>
        <w:pStyle w:val="Heading3"/>
      </w:pPr>
      <w:bookmarkStart w:id="227" w:name="_Toc39133278"/>
      <w:r w:rsidRPr="006414E6">
        <w:t>6.</w:t>
      </w:r>
      <w:r w:rsidR="00FF1E90" w:rsidRPr="006414E6">
        <w:t>1</w:t>
      </w:r>
      <w:r w:rsidR="000013CA" w:rsidRPr="006414E6">
        <w:t>.1. Emisije</w:t>
      </w:r>
      <w:r w:rsidR="007319A7" w:rsidRPr="006414E6">
        <w:t xml:space="preserve"> stakleničkih plinova</w:t>
      </w:r>
      <w:bookmarkEnd w:id="227"/>
    </w:p>
    <w:p w14:paraId="39FA7EE2" w14:textId="77777777" w:rsidR="00470CE1" w:rsidRPr="006414E6" w:rsidRDefault="00470CE1" w:rsidP="00C84014">
      <w:pPr>
        <w:rPr>
          <w:rFonts w:cs="Times New Roman"/>
        </w:rPr>
      </w:pPr>
      <w:r w:rsidRPr="006414E6">
        <w:rPr>
          <w:rFonts w:cs="Times New Roman"/>
        </w:rPr>
        <w:t>Sektor proizvodnje električne energije i topline</w:t>
      </w:r>
      <w:r w:rsidR="00937CED" w:rsidRPr="006414E6">
        <w:rPr>
          <w:rFonts w:cs="Times New Roman"/>
        </w:rPr>
        <w:t xml:space="preserve"> u 2018. godini</w:t>
      </w:r>
      <w:r w:rsidRPr="006414E6">
        <w:rPr>
          <w:rFonts w:cs="Times New Roman"/>
        </w:rPr>
        <w:t xml:space="preserve"> čini</w:t>
      </w:r>
      <w:r w:rsidR="00937CED" w:rsidRPr="006414E6">
        <w:rPr>
          <w:rFonts w:cs="Times New Roman"/>
        </w:rPr>
        <w:t>o je</w:t>
      </w:r>
      <w:r w:rsidRPr="006414E6">
        <w:rPr>
          <w:rFonts w:cs="Times New Roman"/>
        </w:rPr>
        <w:t xml:space="preserve"> 13,8% emisije stakleničkih plinova </w:t>
      </w:r>
      <w:r w:rsidR="002019AF" w:rsidRPr="006414E6">
        <w:rPr>
          <w:rFonts w:cs="Times New Roman"/>
        </w:rPr>
        <w:t>Republike Hrvatske</w:t>
      </w:r>
      <w:r w:rsidR="00C84887" w:rsidRPr="006414E6">
        <w:rPr>
          <w:rFonts w:cs="Times New Roman"/>
        </w:rPr>
        <w:t xml:space="preserve">. </w:t>
      </w:r>
      <w:r w:rsidRPr="006414E6">
        <w:rPr>
          <w:rFonts w:cs="Times New Roman"/>
        </w:rPr>
        <w:t xml:space="preserve">96% emisija u ovome sektoru obuhvaćeno je ETS-om. </w:t>
      </w:r>
    </w:p>
    <w:p w14:paraId="5D5D4262" w14:textId="77777777" w:rsidR="00ED6F20" w:rsidRPr="006414E6" w:rsidRDefault="00ED6F20" w:rsidP="00C84014">
      <w:pPr>
        <w:rPr>
          <w:rFonts w:cs="Times New Roman"/>
        </w:rPr>
      </w:pPr>
      <w:r w:rsidRPr="006414E6">
        <w:rPr>
          <w:rFonts w:cs="Times New Roman"/>
        </w:rPr>
        <w:t xml:space="preserve">U </w:t>
      </w:r>
      <w:r w:rsidR="0046634B" w:rsidRPr="006414E6">
        <w:rPr>
          <w:rFonts w:cs="Times New Roman"/>
        </w:rPr>
        <w:t xml:space="preserve">odnosu na 1990. godinu, u </w:t>
      </w:r>
      <w:r w:rsidRPr="006414E6">
        <w:rPr>
          <w:rFonts w:cs="Times New Roman"/>
        </w:rPr>
        <w:t xml:space="preserve">ovom sektoru u </w:t>
      </w:r>
      <w:proofErr w:type="spellStart"/>
      <w:r w:rsidR="00C84887" w:rsidRPr="006414E6">
        <w:rPr>
          <w:rFonts w:cs="Times New Roman"/>
        </w:rPr>
        <w:t>niskougljičnim</w:t>
      </w:r>
      <w:proofErr w:type="spellEnd"/>
      <w:r w:rsidR="00C84887" w:rsidRPr="006414E6">
        <w:rPr>
          <w:rFonts w:cs="Times New Roman"/>
        </w:rPr>
        <w:t xml:space="preserve"> </w:t>
      </w:r>
      <w:r w:rsidRPr="006414E6">
        <w:rPr>
          <w:rFonts w:cs="Times New Roman"/>
        </w:rPr>
        <w:t xml:space="preserve">scenarijima NU1 i NU2 postiže se smanjenje emisije za </w:t>
      </w:r>
      <w:r w:rsidR="00C84887" w:rsidRPr="006414E6">
        <w:rPr>
          <w:rFonts w:cs="Times New Roman"/>
        </w:rPr>
        <w:t>49,7</w:t>
      </w:r>
      <w:r w:rsidRPr="006414E6">
        <w:rPr>
          <w:rFonts w:cs="Times New Roman"/>
        </w:rPr>
        <w:t xml:space="preserve"> do </w:t>
      </w:r>
      <w:r w:rsidR="00C84887" w:rsidRPr="006414E6">
        <w:rPr>
          <w:rFonts w:cs="Times New Roman"/>
        </w:rPr>
        <w:t>53,3</w:t>
      </w:r>
      <w:r w:rsidRPr="006414E6">
        <w:rPr>
          <w:rFonts w:cs="Times New Roman"/>
        </w:rPr>
        <w:t>% u 2030.</w:t>
      </w:r>
      <w:r w:rsidR="0046634B" w:rsidRPr="006414E6">
        <w:rPr>
          <w:rFonts w:cs="Times New Roman"/>
        </w:rPr>
        <w:t xml:space="preserve"> </w:t>
      </w:r>
      <w:r w:rsidRPr="006414E6">
        <w:rPr>
          <w:rFonts w:cs="Times New Roman"/>
        </w:rPr>
        <w:t xml:space="preserve">godini, a za </w:t>
      </w:r>
      <w:r w:rsidR="00C84887" w:rsidRPr="006414E6">
        <w:rPr>
          <w:rFonts w:cs="Times New Roman"/>
        </w:rPr>
        <w:t xml:space="preserve">61,0 </w:t>
      </w:r>
      <w:r w:rsidRPr="006414E6">
        <w:rPr>
          <w:rFonts w:cs="Times New Roman"/>
        </w:rPr>
        <w:t xml:space="preserve">do </w:t>
      </w:r>
      <w:r w:rsidR="00EF0363" w:rsidRPr="006414E6">
        <w:rPr>
          <w:rFonts w:cs="Times New Roman"/>
        </w:rPr>
        <w:t>9</w:t>
      </w:r>
      <w:r w:rsidR="00C84887" w:rsidRPr="006414E6">
        <w:rPr>
          <w:rFonts w:cs="Times New Roman"/>
        </w:rPr>
        <w:t>3,3</w:t>
      </w:r>
      <w:r w:rsidRPr="006414E6">
        <w:rPr>
          <w:rFonts w:cs="Times New Roman"/>
        </w:rPr>
        <w:t>% u 2050. godini.</w:t>
      </w:r>
    </w:p>
    <w:p w14:paraId="7072D734" w14:textId="77777777" w:rsidR="000013CA" w:rsidRPr="006414E6" w:rsidRDefault="001241B9" w:rsidP="00EE3488">
      <w:pPr>
        <w:pStyle w:val="Heading3"/>
      </w:pPr>
      <w:bookmarkStart w:id="228" w:name="_Toc39133279"/>
      <w:r w:rsidRPr="006414E6">
        <w:t>6.</w:t>
      </w:r>
      <w:r w:rsidR="00FF1E90" w:rsidRPr="006414E6">
        <w:t>1</w:t>
      </w:r>
      <w:r w:rsidR="000E5653" w:rsidRPr="006414E6">
        <w:t>.2.</w:t>
      </w:r>
      <w:r w:rsidR="000E5653" w:rsidRPr="006414E6">
        <w:tab/>
      </w:r>
      <w:r w:rsidR="000013CA" w:rsidRPr="006414E6">
        <w:t xml:space="preserve">Politike i mjere za </w:t>
      </w:r>
      <w:proofErr w:type="spellStart"/>
      <w:r w:rsidR="000013CA" w:rsidRPr="006414E6">
        <w:t>niskougljični</w:t>
      </w:r>
      <w:proofErr w:type="spellEnd"/>
      <w:r w:rsidR="000013CA" w:rsidRPr="006414E6">
        <w:t xml:space="preserve"> razvoj</w:t>
      </w:r>
      <w:bookmarkEnd w:id="228"/>
    </w:p>
    <w:p w14:paraId="011C55B3" w14:textId="77777777" w:rsidR="00C84014" w:rsidRPr="006414E6" w:rsidRDefault="00C84014" w:rsidP="007319A7">
      <w:pPr>
        <w:spacing w:line="240" w:lineRule="auto"/>
        <w:rPr>
          <w:rFonts w:cs="Times New Roman"/>
        </w:rPr>
      </w:pPr>
      <w:r w:rsidRPr="006414E6">
        <w:rPr>
          <w:rFonts w:cs="Times New Roman"/>
        </w:rPr>
        <w:t xml:space="preserve">U ovom sektoru će doći do velikih promjena, elektrane na fosilna goriva prepuštati će mjesto obnovljivim izvorima energije. Od elektrana na fosilna goriva, najveći značaj imati će plinske </w:t>
      </w:r>
      <w:proofErr w:type="spellStart"/>
      <w:r w:rsidRPr="006414E6">
        <w:rPr>
          <w:rFonts w:cs="Times New Roman"/>
        </w:rPr>
        <w:t>koogeneracijske</w:t>
      </w:r>
      <w:proofErr w:type="spellEnd"/>
      <w:r w:rsidRPr="006414E6">
        <w:rPr>
          <w:rFonts w:cs="Times New Roman"/>
        </w:rPr>
        <w:t xml:space="preserve"> elektrane visoke učinkovitosti. Smjer je prema decentralizaciji proizvodnje električne energije, potrošači (kućanstva i ustanove) će biti i proizvođači energije, razmjena energije dešavat će se na lokalnim razinama, a </w:t>
      </w:r>
      <w:r w:rsidR="003950D9" w:rsidRPr="006414E6">
        <w:rPr>
          <w:rFonts w:cs="Times New Roman"/>
        </w:rPr>
        <w:t xml:space="preserve">proizvođači energije </w:t>
      </w:r>
      <w:r w:rsidRPr="006414E6">
        <w:rPr>
          <w:rFonts w:cs="Times New Roman"/>
        </w:rPr>
        <w:t>i spremišta energije biti će povezani naprednim mrežama. Fleksibilna će potrošnja biti upravljana pametnim sustavima. Za integraciju obnovljivih izvora energije ključna će biti sprem</w:t>
      </w:r>
      <w:r w:rsidR="003950D9" w:rsidRPr="006414E6">
        <w:rPr>
          <w:rFonts w:cs="Times New Roman"/>
        </w:rPr>
        <w:t xml:space="preserve">nici </w:t>
      </w:r>
      <w:r w:rsidRPr="006414E6">
        <w:rPr>
          <w:rFonts w:cs="Times New Roman"/>
        </w:rPr>
        <w:t>energije, njihovi kapaciteti, brzine punjenja i pražnjenja i cijena tehnologija.</w:t>
      </w:r>
    </w:p>
    <w:p w14:paraId="083221A3" w14:textId="77777777" w:rsidR="005F15B8" w:rsidRPr="006414E6" w:rsidRDefault="005F15B8" w:rsidP="007319A7">
      <w:pPr>
        <w:spacing w:line="240" w:lineRule="auto"/>
        <w:rPr>
          <w:rFonts w:cs="Times New Roman"/>
        </w:rPr>
      </w:pPr>
      <w:r w:rsidRPr="006414E6">
        <w:rPr>
          <w:rFonts w:cs="Times New Roman"/>
        </w:rPr>
        <w:t xml:space="preserve">Očekuje se </w:t>
      </w:r>
      <w:r w:rsidR="003950D9" w:rsidRPr="006414E6">
        <w:rPr>
          <w:rFonts w:cs="Times New Roman"/>
        </w:rPr>
        <w:t>po</w:t>
      </w:r>
      <w:r w:rsidRPr="006414E6">
        <w:rPr>
          <w:rFonts w:cs="Times New Roman"/>
        </w:rPr>
        <w:t>rast potrošnje električne energije</w:t>
      </w:r>
      <w:r w:rsidR="003950D9" w:rsidRPr="006414E6">
        <w:rPr>
          <w:rFonts w:cs="Times New Roman"/>
        </w:rPr>
        <w:t xml:space="preserve"> </w:t>
      </w:r>
      <w:r w:rsidRPr="006414E6">
        <w:rPr>
          <w:rFonts w:cs="Times New Roman"/>
        </w:rPr>
        <w:t>uslijed elektrifikacije sektora prometa, porasta primjene dizalica topline za grijanje, porasta korištenja klimatizacijskih uređaja te gospodarskog razvoja u sektor</w:t>
      </w:r>
      <w:r w:rsidR="003950D9" w:rsidRPr="006414E6">
        <w:rPr>
          <w:rFonts w:cs="Times New Roman"/>
        </w:rPr>
        <w:t xml:space="preserve">u </w:t>
      </w:r>
      <w:r w:rsidRPr="006414E6">
        <w:rPr>
          <w:rFonts w:cs="Times New Roman"/>
        </w:rPr>
        <w:t xml:space="preserve">industrije i uslužnom sektoru. Na dodatan rast bruto potrošnje električne energije utjecati će razvoj električnih kotlova i/ili dizalica topline u centraliziranim toplinskim sustavima te u dužem roku potencijalni razvoj sustava za elektrolizu vodika koji će koristiti električnu energiju u trenucima niskih cijena, odnosno viška proizvodnje električne energije iz obnovljivih izvora. </w:t>
      </w:r>
    </w:p>
    <w:p w14:paraId="0C19D598" w14:textId="77777777" w:rsidR="005F15B8" w:rsidRPr="006414E6" w:rsidRDefault="005F15B8" w:rsidP="007319A7">
      <w:pPr>
        <w:spacing w:line="240" w:lineRule="auto"/>
        <w:rPr>
          <w:rFonts w:cs="Times New Roman"/>
        </w:rPr>
      </w:pPr>
      <w:r w:rsidRPr="006414E6">
        <w:rPr>
          <w:rFonts w:cs="Times New Roman"/>
        </w:rPr>
        <w:t xml:space="preserve">S druge strane, postoji značajan potencijal za uštedu električne energije i povećanje energetske učinkovitosti u neposrednoj potrošnji, prvenstveno kroz povećanje učinkovitosti kućanskih i uredskih uređaja, povećanje učinkovitosti sustava javne i unutrašnje rasvjete, primjenu mjera energetske učinkovitosti u industriji te zamjenu </w:t>
      </w:r>
      <w:proofErr w:type="spellStart"/>
      <w:r w:rsidRPr="006414E6">
        <w:rPr>
          <w:rFonts w:cs="Times New Roman"/>
        </w:rPr>
        <w:t>elektrootpornog</w:t>
      </w:r>
      <w:proofErr w:type="spellEnd"/>
      <w:r w:rsidRPr="006414E6">
        <w:rPr>
          <w:rFonts w:cs="Times New Roman"/>
        </w:rPr>
        <w:t xml:space="preserve">  grijanja primjenom električne energije učinkovitijim sustavima.</w:t>
      </w:r>
    </w:p>
    <w:p w14:paraId="3BC3A9E7" w14:textId="77777777" w:rsidR="00437049" w:rsidRPr="006414E6" w:rsidRDefault="00FF01F5" w:rsidP="007319A7">
      <w:pPr>
        <w:spacing w:line="240" w:lineRule="auto"/>
        <w:rPr>
          <w:rFonts w:cs="Times New Roman"/>
        </w:rPr>
      </w:pPr>
      <w:r w:rsidRPr="006414E6">
        <w:rPr>
          <w:rFonts w:cs="Times New Roman"/>
        </w:rPr>
        <w:lastRenderedPageBreak/>
        <w:t>Osnovne mjere uključuju korištenje obnovljivih izvora energije i kogeneracije, korištenje goriva s manjom specifičnom emisijom CO</w:t>
      </w:r>
      <w:r w:rsidRPr="006414E6">
        <w:rPr>
          <w:rFonts w:cs="Times New Roman"/>
          <w:vertAlign w:val="subscript"/>
        </w:rPr>
        <w:t>2</w:t>
      </w:r>
      <w:r w:rsidRPr="006414E6">
        <w:rPr>
          <w:rFonts w:cs="Times New Roman"/>
        </w:rPr>
        <w:t>, povećanje energetske učinkovitosti</w:t>
      </w:r>
      <w:r w:rsidR="00437049" w:rsidRPr="006414E6">
        <w:rPr>
          <w:rFonts w:cs="Times New Roman"/>
        </w:rPr>
        <w:t xml:space="preserve">, </w:t>
      </w:r>
      <w:r w:rsidRPr="006414E6">
        <w:rPr>
          <w:rFonts w:cs="Times New Roman"/>
        </w:rPr>
        <w:t xml:space="preserve"> </w:t>
      </w:r>
      <w:r w:rsidR="00437049" w:rsidRPr="006414E6">
        <w:rPr>
          <w:rFonts w:cs="Times New Roman"/>
        </w:rPr>
        <w:t>hvatanje i skladištenje CO</w:t>
      </w:r>
      <w:r w:rsidR="00437049" w:rsidRPr="006414E6">
        <w:rPr>
          <w:rFonts w:cs="Times New Roman"/>
          <w:vertAlign w:val="subscript"/>
        </w:rPr>
        <w:t>2</w:t>
      </w:r>
      <w:r w:rsidR="00BE6DDA" w:rsidRPr="006414E6">
        <w:rPr>
          <w:rFonts w:cs="Times New Roman"/>
        </w:rPr>
        <w:t>,</w:t>
      </w:r>
      <w:r w:rsidR="00437049" w:rsidRPr="006414E6">
        <w:rPr>
          <w:rFonts w:cs="Times New Roman"/>
        </w:rPr>
        <w:t xml:space="preserve"> </w:t>
      </w:r>
      <w:r w:rsidR="00926BE7" w:rsidRPr="006414E6">
        <w:rPr>
          <w:rFonts w:cs="Times New Roman"/>
        </w:rPr>
        <w:t>korištenje nuklearne energije</w:t>
      </w:r>
      <w:r w:rsidR="00BE6DDA" w:rsidRPr="006414E6">
        <w:rPr>
          <w:rFonts w:cs="Times New Roman"/>
        </w:rPr>
        <w:t xml:space="preserve"> te smanjenje gubitaka u prijenosu i distribuciji  energije</w:t>
      </w:r>
      <w:r w:rsidR="00437049" w:rsidRPr="006414E6">
        <w:rPr>
          <w:rFonts w:cs="Times New Roman"/>
        </w:rPr>
        <w:t>.</w:t>
      </w:r>
    </w:p>
    <w:p w14:paraId="7BE76DA2" w14:textId="77777777" w:rsidR="0088774E" w:rsidRPr="006414E6" w:rsidRDefault="002A6D54" w:rsidP="007319A7">
      <w:pPr>
        <w:spacing w:line="240" w:lineRule="auto"/>
        <w:rPr>
          <w:rFonts w:cs="Times New Roman"/>
        </w:rPr>
      </w:pPr>
      <w:r w:rsidRPr="006414E6">
        <w:rPr>
          <w:rFonts w:cs="Times New Roman"/>
          <w:b/>
        </w:rPr>
        <w:t xml:space="preserve">Obnovljivi izvori energije </w:t>
      </w:r>
      <w:r w:rsidR="004E36B5" w:rsidRPr="006414E6">
        <w:rPr>
          <w:rFonts w:cs="Times New Roman"/>
          <w:b/>
        </w:rPr>
        <w:t>(</w:t>
      </w:r>
      <w:proofErr w:type="spellStart"/>
      <w:r w:rsidR="004E36B5" w:rsidRPr="006414E6">
        <w:rPr>
          <w:rFonts w:cs="Times New Roman"/>
          <w:b/>
        </w:rPr>
        <w:t>OIE</w:t>
      </w:r>
      <w:proofErr w:type="spellEnd"/>
      <w:r w:rsidR="004E36B5" w:rsidRPr="006414E6">
        <w:rPr>
          <w:rFonts w:cs="Times New Roman"/>
          <w:b/>
        </w:rPr>
        <w:t xml:space="preserve">) </w:t>
      </w:r>
      <w:r w:rsidRPr="006414E6">
        <w:rPr>
          <w:rFonts w:cs="Times New Roman"/>
          <w:b/>
        </w:rPr>
        <w:t>i kogeneracija.</w:t>
      </w:r>
      <w:r w:rsidRPr="006414E6">
        <w:rPr>
          <w:rFonts w:cs="Times New Roman"/>
        </w:rPr>
        <w:t xml:space="preserve"> Mjera uključuje izgradnju postrojenja koja koriste obnovljive izvore energije za proizvodnju električne energije i/ili topline kao što su</w:t>
      </w:r>
      <w:r w:rsidR="004E36B5" w:rsidRPr="006414E6">
        <w:rPr>
          <w:rFonts w:cs="Times New Roman"/>
        </w:rPr>
        <w:t xml:space="preserve"> hidroelektrane, sunčane elektrane, </w:t>
      </w:r>
      <w:r w:rsidR="00794067" w:rsidRPr="006414E6">
        <w:rPr>
          <w:rFonts w:cs="Times New Roman"/>
        </w:rPr>
        <w:t>vjetroelektrane, elektrane na biomasu/bioplin, g</w:t>
      </w:r>
      <w:r w:rsidR="00190BEF" w:rsidRPr="006414E6">
        <w:rPr>
          <w:rFonts w:cs="Times New Roman"/>
        </w:rPr>
        <w:t>e</w:t>
      </w:r>
      <w:r w:rsidR="00794067" w:rsidRPr="006414E6">
        <w:rPr>
          <w:rFonts w:cs="Times New Roman"/>
        </w:rPr>
        <w:t>otermalne elektrane.</w:t>
      </w:r>
    </w:p>
    <w:p w14:paraId="7454AD3B" w14:textId="77777777" w:rsidR="0088774E" w:rsidRPr="006414E6" w:rsidRDefault="0088774E" w:rsidP="007319A7">
      <w:pPr>
        <w:spacing w:line="240" w:lineRule="auto"/>
        <w:rPr>
          <w:rFonts w:cs="Times New Roman"/>
        </w:rPr>
      </w:pPr>
      <w:r w:rsidRPr="006414E6">
        <w:rPr>
          <w:rFonts w:cs="Times New Roman"/>
        </w:rPr>
        <w:t>Pretpostavka je da su sve opcije za proizvodnju električne energije otvorene i imaju jednak pristup tržištu (bez bio kakve vrste poticaja za bilo koju tehnologiju). Mogućnosti korištenja pojedinih oblika energije određene su u skladu s procjenom raspoloživog potencijala i raspoloživim tehnologijama. U obzir su uzete sljedeće opcije:</w:t>
      </w:r>
    </w:p>
    <w:p w14:paraId="1BBD7FC7" w14:textId="77777777" w:rsidR="0088774E" w:rsidRPr="006414E6" w:rsidRDefault="0088774E" w:rsidP="003A2F37">
      <w:pPr>
        <w:pStyle w:val="ListParagraph"/>
        <w:numPr>
          <w:ilvl w:val="0"/>
          <w:numId w:val="44"/>
        </w:numPr>
        <w:rPr>
          <w:rFonts w:cs="Times New Roman"/>
          <w:b/>
        </w:rPr>
      </w:pPr>
      <w:r w:rsidRPr="006414E6">
        <w:rPr>
          <w:rFonts w:cs="Times New Roman"/>
          <w:b/>
        </w:rPr>
        <w:t>hidroelektrane:</w:t>
      </w:r>
    </w:p>
    <w:p w14:paraId="4FDBAE03" w14:textId="77777777" w:rsidR="0088774E" w:rsidRPr="006414E6" w:rsidRDefault="0088774E" w:rsidP="003A2F37">
      <w:pPr>
        <w:pStyle w:val="ListParagraph"/>
        <w:numPr>
          <w:ilvl w:val="0"/>
          <w:numId w:val="45"/>
        </w:numPr>
        <w:rPr>
          <w:rFonts w:cs="Times New Roman"/>
        </w:rPr>
      </w:pPr>
      <w:r w:rsidRPr="006414E6">
        <w:rPr>
          <w:rFonts w:cs="Times New Roman"/>
        </w:rPr>
        <w:t>akumulacijske, protočne i reverzibilne</w:t>
      </w:r>
    </w:p>
    <w:p w14:paraId="39AF9630" w14:textId="77777777" w:rsidR="0088774E" w:rsidRPr="006414E6" w:rsidRDefault="0088774E" w:rsidP="003A2F37">
      <w:pPr>
        <w:pStyle w:val="ListParagraph"/>
        <w:numPr>
          <w:ilvl w:val="0"/>
          <w:numId w:val="45"/>
        </w:numPr>
        <w:rPr>
          <w:rFonts w:cs="Times New Roman"/>
        </w:rPr>
      </w:pPr>
      <w:r w:rsidRPr="006414E6">
        <w:rPr>
          <w:rFonts w:cs="Times New Roman"/>
        </w:rPr>
        <w:t>male elektrane (uobičajeno priključene na distribucijsku mrežu)</w:t>
      </w:r>
    </w:p>
    <w:p w14:paraId="202174E6" w14:textId="77777777" w:rsidR="0088774E" w:rsidRPr="006414E6" w:rsidRDefault="0088774E" w:rsidP="003A2F37">
      <w:pPr>
        <w:pStyle w:val="ListParagraph"/>
        <w:numPr>
          <w:ilvl w:val="0"/>
          <w:numId w:val="44"/>
        </w:numPr>
        <w:rPr>
          <w:rFonts w:cs="Times New Roman"/>
          <w:b/>
        </w:rPr>
      </w:pPr>
      <w:r w:rsidRPr="006414E6">
        <w:rPr>
          <w:rFonts w:cs="Times New Roman"/>
          <w:b/>
        </w:rPr>
        <w:t>sunčane elektrane</w:t>
      </w:r>
      <w:r w:rsidR="007319A7" w:rsidRPr="006414E6">
        <w:rPr>
          <w:rFonts w:cs="Times New Roman"/>
          <w:b/>
        </w:rPr>
        <w:t>:</w:t>
      </w:r>
    </w:p>
    <w:p w14:paraId="3E8E5DA4" w14:textId="77777777" w:rsidR="0088774E" w:rsidRPr="006414E6" w:rsidRDefault="0088774E" w:rsidP="003A2F37">
      <w:pPr>
        <w:pStyle w:val="ListParagraph"/>
        <w:numPr>
          <w:ilvl w:val="0"/>
          <w:numId w:val="45"/>
        </w:numPr>
        <w:rPr>
          <w:rFonts w:cs="Times New Roman"/>
        </w:rPr>
      </w:pPr>
      <w:r w:rsidRPr="006414E6">
        <w:rPr>
          <w:rFonts w:cs="Times New Roman"/>
        </w:rPr>
        <w:t>fotonaponski sustavi – individualni/integrirani i na razini distribucijske i prijenosne mreže. Prednost se daje sustavima koji su integrirani, tj. nalaze se na mjestu neposredne potrošnje</w:t>
      </w:r>
    </w:p>
    <w:p w14:paraId="76AB3E5B" w14:textId="77777777" w:rsidR="0088774E" w:rsidRPr="006414E6" w:rsidRDefault="0088774E" w:rsidP="003A2F37">
      <w:pPr>
        <w:pStyle w:val="ListParagraph"/>
        <w:numPr>
          <w:ilvl w:val="0"/>
          <w:numId w:val="45"/>
        </w:numPr>
        <w:rPr>
          <w:rFonts w:cs="Times New Roman"/>
        </w:rPr>
      </w:pPr>
      <w:r w:rsidRPr="006414E6">
        <w:rPr>
          <w:rFonts w:cs="Times New Roman"/>
        </w:rPr>
        <w:t xml:space="preserve">termo-sunčane elektrane (engl. </w:t>
      </w:r>
      <w:proofErr w:type="spellStart"/>
      <w:r w:rsidRPr="006414E6">
        <w:rPr>
          <w:rFonts w:cs="Times New Roman"/>
          <w:i/>
        </w:rPr>
        <w:t>CSP</w:t>
      </w:r>
      <w:proofErr w:type="spellEnd"/>
      <w:r w:rsidRPr="006414E6">
        <w:rPr>
          <w:rFonts w:cs="Times New Roman"/>
          <w:i/>
        </w:rPr>
        <w:t xml:space="preserve"> – </w:t>
      </w:r>
      <w:proofErr w:type="spellStart"/>
      <w:r w:rsidRPr="006414E6">
        <w:rPr>
          <w:rFonts w:cs="Times New Roman"/>
          <w:i/>
        </w:rPr>
        <w:t>Concentrated</w:t>
      </w:r>
      <w:proofErr w:type="spellEnd"/>
      <w:r w:rsidRPr="006414E6">
        <w:rPr>
          <w:rFonts w:cs="Times New Roman"/>
          <w:i/>
        </w:rPr>
        <w:t xml:space="preserve"> Solar Power</w:t>
      </w:r>
      <w:r w:rsidRPr="006414E6">
        <w:rPr>
          <w:rFonts w:cs="Times New Roman"/>
        </w:rPr>
        <w:t>)</w:t>
      </w:r>
    </w:p>
    <w:p w14:paraId="22842AD6" w14:textId="77777777" w:rsidR="0088774E" w:rsidRPr="006414E6" w:rsidRDefault="0088774E" w:rsidP="003A2F37">
      <w:pPr>
        <w:pStyle w:val="ListParagraph"/>
        <w:numPr>
          <w:ilvl w:val="0"/>
          <w:numId w:val="44"/>
        </w:numPr>
        <w:rPr>
          <w:rFonts w:cs="Times New Roman"/>
          <w:b/>
        </w:rPr>
      </w:pPr>
      <w:r w:rsidRPr="006414E6">
        <w:rPr>
          <w:rFonts w:cs="Times New Roman"/>
          <w:b/>
        </w:rPr>
        <w:t>vjetroelektrane:</w:t>
      </w:r>
    </w:p>
    <w:p w14:paraId="436C1E4C" w14:textId="77777777" w:rsidR="007319A7" w:rsidRPr="006414E6" w:rsidRDefault="0088774E" w:rsidP="003A2F37">
      <w:pPr>
        <w:pStyle w:val="ListParagraph"/>
        <w:numPr>
          <w:ilvl w:val="0"/>
          <w:numId w:val="45"/>
        </w:numPr>
        <w:rPr>
          <w:rFonts w:cs="Times New Roman"/>
        </w:rPr>
      </w:pPr>
      <w:r w:rsidRPr="006414E6">
        <w:rPr>
          <w:rFonts w:cs="Times New Roman"/>
        </w:rPr>
        <w:t>na kopnu i nad morem (pučinske)</w:t>
      </w:r>
    </w:p>
    <w:p w14:paraId="25D3192F" w14:textId="77777777" w:rsidR="0088774E" w:rsidRPr="006414E6" w:rsidRDefault="0088774E" w:rsidP="003A2F37">
      <w:pPr>
        <w:pStyle w:val="ListParagraph"/>
        <w:numPr>
          <w:ilvl w:val="0"/>
          <w:numId w:val="44"/>
        </w:numPr>
        <w:rPr>
          <w:rFonts w:cs="Times New Roman"/>
          <w:b/>
        </w:rPr>
      </w:pPr>
      <w:r w:rsidRPr="006414E6">
        <w:rPr>
          <w:rFonts w:cs="Times New Roman"/>
          <w:b/>
        </w:rPr>
        <w:t>elektrane/kogeneracije koje koriste krutu biomasu i bioplin</w:t>
      </w:r>
    </w:p>
    <w:p w14:paraId="2E79F62B" w14:textId="77777777" w:rsidR="0088774E" w:rsidRPr="006414E6" w:rsidRDefault="0088774E" w:rsidP="003A2F37">
      <w:pPr>
        <w:pStyle w:val="ListParagraph"/>
        <w:numPr>
          <w:ilvl w:val="0"/>
          <w:numId w:val="44"/>
        </w:numPr>
        <w:rPr>
          <w:rFonts w:cs="Times New Roman"/>
          <w:b/>
        </w:rPr>
      </w:pPr>
      <w:r w:rsidRPr="006414E6">
        <w:rPr>
          <w:rFonts w:cs="Times New Roman"/>
          <w:b/>
        </w:rPr>
        <w:t>geotermalne elektrane.</w:t>
      </w:r>
    </w:p>
    <w:p w14:paraId="5EF0D911" w14:textId="77777777" w:rsidR="00190BEF" w:rsidRPr="006414E6" w:rsidRDefault="00190BEF" w:rsidP="00190BEF">
      <w:pPr>
        <w:rPr>
          <w:rFonts w:cs="Times New Roman"/>
        </w:rPr>
      </w:pPr>
      <w:r w:rsidRPr="006414E6">
        <w:rPr>
          <w:rFonts w:cs="Times New Roman"/>
          <w:b/>
        </w:rPr>
        <w:t>Spremnici energije (baterije).</w:t>
      </w:r>
      <w:r w:rsidRPr="006414E6">
        <w:rPr>
          <w:rFonts w:cs="Times New Roman"/>
        </w:rPr>
        <w:t xml:space="preserve"> Pohrana energije nužna je u sustavima s visokim udjelom nestalnih obnovljivih izvora energije (sunce i vjetar) jer omogućava korištenje pohranjene energije u razdobljima niže raspoloživosti obnovljivog energenta. Osim toga, korištenjem sustava za pohranu energije odgađa se i smanjuje potreba za izgradnjom novih elektrana, jer se pohranjena energija koristi u razdobljima povećanog opterećenja sustava. Također, sustavi za pohranu energije imati će važnu ulogu u podupiranju proizvodnje električne energije za vlastite potrebe i omogućiti malim proizvođačima veće korištenje energije koju su sami proizveli. Potreba izgradnje spremnika energije (baterija) za uravnoteženje sustava, osobito je izražena nakon 2030. godine.</w:t>
      </w:r>
    </w:p>
    <w:p w14:paraId="7C4C6C49" w14:textId="77777777" w:rsidR="00C60C5D" w:rsidRPr="006414E6" w:rsidRDefault="00C60C5D" w:rsidP="00C60C5D">
      <w:pPr>
        <w:rPr>
          <w:rFonts w:cs="Times New Roman"/>
        </w:rPr>
      </w:pPr>
      <w:r w:rsidRPr="006414E6">
        <w:rPr>
          <w:rFonts w:cs="Times New Roman"/>
          <w:b/>
        </w:rPr>
        <w:t>Centralizirati toplinski sustav</w:t>
      </w:r>
      <w:r w:rsidR="006A1464" w:rsidRPr="006414E6">
        <w:rPr>
          <w:rFonts w:cs="Times New Roman"/>
          <w:b/>
        </w:rPr>
        <w:t xml:space="preserve"> (CTS)</w:t>
      </w:r>
      <w:r w:rsidRPr="006414E6">
        <w:rPr>
          <w:rFonts w:cs="Times New Roman"/>
          <w:b/>
        </w:rPr>
        <w:t>.</w:t>
      </w:r>
      <w:r w:rsidRPr="006414E6">
        <w:rPr>
          <w:rFonts w:cs="Times New Roman"/>
        </w:rPr>
        <w:t xml:space="preserve"> Pri razmatranju CTS-a, za glavnu okosnicu se smatraju sustavi s kogeneracijom i njihovo poboljšanje tehnologijama za spremanje toplinske energije u trenucima kad je električna energija jeftina</w:t>
      </w:r>
      <w:r w:rsidR="00987D6B" w:rsidRPr="006414E6">
        <w:rPr>
          <w:rFonts w:cs="Times New Roman"/>
        </w:rPr>
        <w:t>.</w:t>
      </w:r>
      <w:r w:rsidRPr="006414E6">
        <w:rPr>
          <w:rFonts w:cs="Times New Roman"/>
        </w:rPr>
        <w:t xml:space="preserve"> Adekvatni toplinski spremnici mogu se dodati na sve lokacije koje imaju potrebe za toplinskom energijom, a prije svega kod</w:t>
      </w:r>
      <w:r w:rsidR="00987D6B" w:rsidRPr="006414E6">
        <w:rPr>
          <w:rFonts w:cs="Times New Roman"/>
        </w:rPr>
        <w:t xml:space="preserve"> </w:t>
      </w:r>
      <w:proofErr w:type="spellStart"/>
      <w:r w:rsidRPr="006414E6">
        <w:rPr>
          <w:rFonts w:cs="Times New Roman"/>
        </w:rPr>
        <w:t>kogeneracijskih</w:t>
      </w:r>
      <w:proofErr w:type="spellEnd"/>
      <w:r w:rsidRPr="006414E6">
        <w:rPr>
          <w:rFonts w:cs="Times New Roman"/>
        </w:rPr>
        <w:t xml:space="preserve"> postrojenja na plin ili biomasu koja imaju mogućnost brzih promjena u proizvodnji električne i toplinske energije</w:t>
      </w:r>
      <w:r w:rsidR="00987D6B" w:rsidRPr="006414E6">
        <w:rPr>
          <w:rFonts w:cs="Times New Roman"/>
        </w:rPr>
        <w:t>.</w:t>
      </w:r>
    </w:p>
    <w:p w14:paraId="154F0861" w14:textId="77777777" w:rsidR="003950D9" w:rsidRPr="006414E6" w:rsidRDefault="003950D9" w:rsidP="002A6D54">
      <w:pPr>
        <w:rPr>
          <w:rFonts w:cs="Times New Roman"/>
        </w:rPr>
      </w:pPr>
      <w:r w:rsidRPr="006414E6">
        <w:rPr>
          <w:rFonts w:cs="Times New Roman"/>
          <w:b/>
        </w:rPr>
        <w:t>Korištenje goriva s manjom specifičnom emisijom CO</w:t>
      </w:r>
      <w:r w:rsidRPr="006414E6">
        <w:rPr>
          <w:rFonts w:cs="Times New Roman"/>
          <w:b/>
          <w:vertAlign w:val="subscript"/>
        </w:rPr>
        <w:t>2</w:t>
      </w:r>
      <w:r w:rsidRPr="006414E6">
        <w:rPr>
          <w:rFonts w:cs="Times New Roman"/>
          <w:b/>
        </w:rPr>
        <w:t xml:space="preserve">. </w:t>
      </w:r>
      <w:r w:rsidRPr="006414E6">
        <w:rPr>
          <w:rFonts w:cs="Times New Roman"/>
        </w:rPr>
        <w:t>Zamjena goriva u postojećim postrojenjima za proizvodnju električne energije i topline.</w:t>
      </w:r>
    </w:p>
    <w:p w14:paraId="09D37EB3" w14:textId="77777777" w:rsidR="003950D9" w:rsidRPr="006414E6" w:rsidRDefault="003950D9" w:rsidP="003950D9">
      <w:pPr>
        <w:ind w:left="357"/>
        <w:rPr>
          <w:rFonts w:cs="Times New Roman"/>
        </w:rPr>
      </w:pPr>
      <w:r w:rsidRPr="006414E6">
        <w:rPr>
          <w:rFonts w:cs="Times New Roman"/>
          <w:b/>
        </w:rPr>
        <w:t>Elektrane na loživo ulje.</w:t>
      </w:r>
      <w:r w:rsidRPr="006414E6">
        <w:rPr>
          <w:rFonts w:cs="Times New Roman"/>
        </w:rPr>
        <w:t xml:space="preserve"> Postojeće termoelektrane na loživo ulje izlaze iz pogona do 2025. godine. Ove elektrane već danas se ne koriste u redovitom pogonu jer visokim proizvodnim troškom ne mogu konkurirati ostalim opcijama na tržištu. </w:t>
      </w:r>
    </w:p>
    <w:p w14:paraId="35CC8782" w14:textId="77777777" w:rsidR="003950D9" w:rsidRPr="006414E6" w:rsidRDefault="003950D9" w:rsidP="003950D9">
      <w:pPr>
        <w:ind w:left="357"/>
        <w:rPr>
          <w:rFonts w:cs="Times New Roman"/>
        </w:rPr>
      </w:pPr>
      <w:r w:rsidRPr="006414E6">
        <w:rPr>
          <w:rFonts w:cs="Times New Roman"/>
          <w:b/>
        </w:rPr>
        <w:t>Elektrane na ugljen.</w:t>
      </w:r>
      <w:r w:rsidRPr="006414E6">
        <w:rPr>
          <w:rFonts w:cs="Times New Roman"/>
        </w:rPr>
        <w:t xml:space="preserve"> Glavni cjenovni signal za </w:t>
      </w:r>
      <w:r w:rsidRPr="006414E6">
        <w:rPr>
          <w:rFonts w:cs="Times New Roman"/>
          <w:b/>
        </w:rPr>
        <w:t>manje investiranje u nove ugljene elektrane</w:t>
      </w:r>
      <w:r w:rsidRPr="006414E6">
        <w:rPr>
          <w:rFonts w:cs="Times New Roman"/>
        </w:rPr>
        <w:t xml:space="preserve"> je cijena električne energije na tržištu i cijena CO</w:t>
      </w:r>
      <w:r w:rsidRPr="006414E6">
        <w:rPr>
          <w:rFonts w:cs="Times New Roman"/>
          <w:vertAlign w:val="subscript"/>
        </w:rPr>
        <w:t>2</w:t>
      </w:r>
      <w:r w:rsidRPr="006414E6">
        <w:rPr>
          <w:rFonts w:cs="Times New Roman"/>
        </w:rPr>
        <w:t xml:space="preserve">, čime ugljene elektrane prestaju biti dovoljno konkurentne, unatoč relativno jeftinom energentu. </w:t>
      </w:r>
      <w:proofErr w:type="spellStart"/>
      <w:r w:rsidRPr="006414E6">
        <w:rPr>
          <w:rFonts w:cs="Times New Roman"/>
        </w:rPr>
        <w:t>Niskougljična</w:t>
      </w:r>
      <w:proofErr w:type="spellEnd"/>
      <w:r w:rsidRPr="006414E6">
        <w:rPr>
          <w:rFonts w:cs="Times New Roman"/>
        </w:rPr>
        <w:t xml:space="preserve"> strategija ne predviđa izgradnju </w:t>
      </w:r>
      <w:r w:rsidRPr="006414E6">
        <w:rPr>
          <w:rFonts w:cs="Times New Roman"/>
        </w:rPr>
        <w:lastRenderedPageBreak/>
        <w:t xml:space="preserve">novih termoelektrana na ugljen, postojeće termoelektrane mogu održati svoju konkurentnu poziciju, no u krajnjim godinama njihova tehničkog vijeka angažman bio mogao biti vrlo smanjen. </w:t>
      </w:r>
    </w:p>
    <w:p w14:paraId="3603FC80" w14:textId="77777777" w:rsidR="004A44FB" w:rsidRPr="006414E6" w:rsidRDefault="003950D9" w:rsidP="004A44FB">
      <w:pPr>
        <w:ind w:left="357"/>
        <w:rPr>
          <w:rFonts w:cs="Times New Roman"/>
        </w:rPr>
      </w:pPr>
      <w:r w:rsidRPr="006414E6">
        <w:rPr>
          <w:rFonts w:cs="Times New Roman"/>
          <w:b/>
        </w:rPr>
        <w:t xml:space="preserve">Elektrane na prirodni plin. </w:t>
      </w:r>
      <w:r w:rsidRPr="006414E6">
        <w:rPr>
          <w:rFonts w:cs="Times New Roman"/>
        </w:rPr>
        <w:t xml:space="preserve">Prirodni plin je vrlo važan energent u tranziciji prema sustavima s visokim udjelima varijabilnih OIE, zbog zastupljenosti u </w:t>
      </w:r>
      <w:proofErr w:type="spellStart"/>
      <w:r w:rsidRPr="006414E6">
        <w:rPr>
          <w:rFonts w:cs="Times New Roman"/>
        </w:rPr>
        <w:t>kogeneracijskim</w:t>
      </w:r>
      <w:proofErr w:type="spellEnd"/>
      <w:r w:rsidRPr="006414E6">
        <w:rPr>
          <w:rFonts w:cs="Times New Roman"/>
        </w:rPr>
        <w:t xml:space="preserve"> postrojenjima te sudjelovanju u regulaciji elektroenergetskog sustava. Međutim, u scenarijima s projiciranim rastom cijena energenata i CO</w:t>
      </w:r>
      <w:r w:rsidRPr="006414E6">
        <w:rPr>
          <w:rFonts w:cs="Times New Roman"/>
          <w:vertAlign w:val="subscript"/>
        </w:rPr>
        <w:t>2</w:t>
      </w:r>
      <w:r w:rsidRPr="006414E6">
        <w:rPr>
          <w:rFonts w:cs="Times New Roman"/>
        </w:rPr>
        <w:t xml:space="preserve">, očekivani sati rada plinskih elektrana su ispod financijski poželjnog angažmana, isplativost ovih investicija postaje snažno vezana uz pomoćne regulacijske usluge. </w:t>
      </w:r>
      <w:r w:rsidR="004A44FB" w:rsidRPr="006414E6">
        <w:rPr>
          <w:rFonts w:cs="Times New Roman"/>
        </w:rPr>
        <w:t>Plinske jedinice se koriste za osiguranje rezerve sustava zbog niskih specifičnih troškova ulaganja, brzine izgradnje i brzine odziva u slučaju angažiranja. Lokacije postojećih elektrana na kojima pojedini blokovi izlaze iz pogona mogu se iskoristiti za izgradnju novih jedinica s obzirom da na njima već postoje određeni infrastrukturni preduvjeti.</w:t>
      </w:r>
    </w:p>
    <w:p w14:paraId="11EC3AE2" w14:textId="77777777" w:rsidR="00FB4F93" w:rsidRPr="006414E6" w:rsidRDefault="00FB4F93" w:rsidP="00FB4F93">
      <w:pPr>
        <w:rPr>
          <w:rFonts w:cs="Times New Roman"/>
        </w:rPr>
      </w:pPr>
      <w:r w:rsidRPr="006414E6">
        <w:rPr>
          <w:rFonts w:cs="Times New Roman"/>
          <w:b/>
        </w:rPr>
        <w:t>Tehnologija hvatanja i geološkog skladištenja CO</w:t>
      </w:r>
      <w:r w:rsidRPr="006414E6">
        <w:rPr>
          <w:rFonts w:cs="Times New Roman"/>
          <w:b/>
          <w:vertAlign w:val="subscript"/>
        </w:rPr>
        <w:t>2</w:t>
      </w:r>
      <w:r w:rsidR="0031792C" w:rsidRPr="006414E6">
        <w:rPr>
          <w:rFonts w:cs="Times New Roman"/>
        </w:rPr>
        <w:t xml:space="preserve"> (eng. </w:t>
      </w:r>
      <w:proofErr w:type="spellStart"/>
      <w:r w:rsidR="0031792C" w:rsidRPr="006414E6">
        <w:rPr>
          <w:rFonts w:cs="Times New Roman"/>
          <w:i/>
        </w:rPr>
        <w:t>carbon</w:t>
      </w:r>
      <w:proofErr w:type="spellEnd"/>
      <w:r w:rsidR="0031792C" w:rsidRPr="006414E6">
        <w:rPr>
          <w:rFonts w:cs="Times New Roman"/>
          <w:i/>
        </w:rPr>
        <w:t xml:space="preserve"> </w:t>
      </w:r>
      <w:proofErr w:type="spellStart"/>
      <w:r w:rsidR="0031792C" w:rsidRPr="006414E6">
        <w:rPr>
          <w:rFonts w:cs="Times New Roman"/>
          <w:i/>
        </w:rPr>
        <w:t>capture</w:t>
      </w:r>
      <w:proofErr w:type="spellEnd"/>
      <w:r w:rsidR="0031792C" w:rsidRPr="006414E6">
        <w:rPr>
          <w:rFonts w:cs="Times New Roman"/>
          <w:i/>
        </w:rPr>
        <w:t xml:space="preserve"> and </w:t>
      </w:r>
      <w:proofErr w:type="spellStart"/>
      <w:r w:rsidR="0031792C" w:rsidRPr="006414E6">
        <w:rPr>
          <w:rFonts w:cs="Times New Roman"/>
          <w:i/>
        </w:rPr>
        <w:t>storage</w:t>
      </w:r>
      <w:proofErr w:type="spellEnd"/>
      <w:r w:rsidR="0031792C" w:rsidRPr="006414E6">
        <w:rPr>
          <w:rFonts w:cs="Times New Roman"/>
          <w:i/>
        </w:rPr>
        <w:t xml:space="preserve"> </w:t>
      </w:r>
      <w:r w:rsidR="0031792C" w:rsidRPr="006414E6">
        <w:rPr>
          <w:rFonts w:cs="Times New Roman"/>
        </w:rPr>
        <w:t>– CCS)</w:t>
      </w:r>
      <w:r w:rsidRPr="006414E6">
        <w:rPr>
          <w:rFonts w:cs="Times New Roman"/>
          <w:b/>
        </w:rPr>
        <w:t>.</w:t>
      </w:r>
      <w:r w:rsidRPr="006414E6">
        <w:rPr>
          <w:rFonts w:cs="Times New Roman"/>
        </w:rPr>
        <w:t xml:space="preserve"> Hrvatska ima tehničke i prirodne preduvjete za korištenje CCS tehnologije. Na razvoj sustava za hvatanje i geološko skladištenje CO</w:t>
      </w:r>
      <w:r w:rsidRPr="006414E6">
        <w:rPr>
          <w:rFonts w:cs="Times New Roman"/>
          <w:vertAlign w:val="subscript"/>
        </w:rPr>
        <w:t>2</w:t>
      </w:r>
      <w:r w:rsidRPr="006414E6">
        <w:rPr>
          <w:rFonts w:cs="Times New Roman"/>
        </w:rPr>
        <w:t xml:space="preserve"> se danas gleda kao na prijelazno rješenje koje bi u predstojeća 3-4 desetljeća trebalo omogućiti nastavak korištenja fosilnih goriva s određenim udjelom u ukupnoj proizvodnji električne energije uz istovremeno postupno smanjenje emisije stakleničkih plinova dok se ne postignu tehnološki i organizacijski uvjeti za </w:t>
      </w:r>
      <w:proofErr w:type="spellStart"/>
      <w:r w:rsidRPr="006414E6">
        <w:rPr>
          <w:rFonts w:cs="Times New Roman"/>
        </w:rPr>
        <w:t>niskougljični</w:t>
      </w:r>
      <w:proofErr w:type="spellEnd"/>
      <w:r w:rsidRPr="006414E6">
        <w:rPr>
          <w:rFonts w:cs="Times New Roman"/>
        </w:rPr>
        <w:t xml:space="preserve"> razvoj. Scenarij NU1 ostvariv je bez CCS-a, u scenariju NU2 pojavljuje se potreba za CCS-om na plinskim elektranama i cementnoj industriji u godinama nakon 2040. godine.</w:t>
      </w:r>
    </w:p>
    <w:p w14:paraId="24BF6C5A" w14:textId="77777777" w:rsidR="004A44FB" w:rsidRPr="006414E6" w:rsidRDefault="003950D9" w:rsidP="004A44FB">
      <w:pPr>
        <w:rPr>
          <w:rFonts w:cs="Times New Roman"/>
        </w:rPr>
      </w:pPr>
      <w:r w:rsidRPr="006414E6">
        <w:rPr>
          <w:rFonts w:cs="Times New Roman"/>
          <w:b/>
        </w:rPr>
        <w:t>Nuklearne elektrane.</w:t>
      </w:r>
      <w:r w:rsidRPr="006414E6">
        <w:rPr>
          <w:rFonts w:cs="Times New Roman"/>
        </w:rPr>
        <w:t xml:space="preserve"> </w:t>
      </w:r>
      <w:r w:rsidR="00141456" w:rsidRPr="006414E6">
        <w:rPr>
          <w:rFonts w:cs="Times New Roman"/>
        </w:rPr>
        <w:t xml:space="preserve">Predviđa se da </w:t>
      </w:r>
      <w:r w:rsidR="00D72786" w:rsidRPr="006414E6">
        <w:rPr>
          <w:rFonts w:cs="Times New Roman"/>
        </w:rPr>
        <w:t xml:space="preserve">će </w:t>
      </w:r>
      <w:r w:rsidRPr="006414E6">
        <w:rPr>
          <w:rFonts w:cs="Times New Roman"/>
        </w:rPr>
        <w:t xml:space="preserve">Nuklearna elektrana </w:t>
      </w:r>
      <w:r w:rsidR="00D72786" w:rsidRPr="006414E6">
        <w:rPr>
          <w:rFonts w:cs="Times New Roman"/>
        </w:rPr>
        <w:t xml:space="preserve">(NE) </w:t>
      </w:r>
      <w:r w:rsidRPr="006414E6">
        <w:rPr>
          <w:rFonts w:cs="Times New Roman"/>
        </w:rPr>
        <w:t>Krško raditi do 2043. godine. Simulacije pokazuju da će do 2043. godine NE Krško, bez emisije CO</w:t>
      </w:r>
      <w:r w:rsidRPr="006414E6">
        <w:rPr>
          <w:rFonts w:cs="Times New Roman"/>
          <w:vertAlign w:val="subscript"/>
        </w:rPr>
        <w:t>2</w:t>
      </w:r>
      <w:r w:rsidRPr="006414E6">
        <w:rPr>
          <w:rFonts w:cs="Times New Roman"/>
        </w:rPr>
        <w:t xml:space="preserve"> isporučiti u sustav Republike Hrvatske više energije nego proizvodnja svih termoelektrana zajedno, a oko pedeset posto ukupne energije proizvedene iz sun</w:t>
      </w:r>
      <w:r w:rsidR="0030133C" w:rsidRPr="006414E6">
        <w:rPr>
          <w:rFonts w:cs="Times New Roman"/>
        </w:rPr>
        <w:t xml:space="preserve">čanih </w:t>
      </w:r>
      <w:r w:rsidRPr="006414E6">
        <w:rPr>
          <w:rFonts w:cs="Times New Roman"/>
        </w:rPr>
        <w:t xml:space="preserve">elektrana i vjetra. </w:t>
      </w:r>
      <w:r w:rsidR="004A44FB" w:rsidRPr="006414E6">
        <w:rPr>
          <w:rFonts w:cs="Times New Roman"/>
        </w:rPr>
        <w:t xml:space="preserve">U </w:t>
      </w:r>
      <w:proofErr w:type="spellStart"/>
      <w:r w:rsidR="00132737" w:rsidRPr="006414E6">
        <w:rPr>
          <w:rFonts w:cs="Times New Roman"/>
        </w:rPr>
        <w:t>niskougljičnim</w:t>
      </w:r>
      <w:proofErr w:type="spellEnd"/>
      <w:r w:rsidR="00132737" w:rsidRPr="006414E6">
        <w:rPr>
          <w:rFonts w:cs="Times New Roman"/>
        </w:rPr>
        <w:t xml:space="preserve"> </w:t>
      </w:r>
      <w:r w:rsidR="004A44FB" w:rsidRPr="006414E6">
        <w:rPr>
          <w:rFonts w:cs="Times New Roman"/>
        </w:rPr>
        <w:t>scenarijima je konzervativno pretpostavljen izlazak iz pogona</w:t>
      </w:r>
      <w:r w:rsidR="00132737" w:rsidRPr="006414E6">
        <w:rPr>
          <w:rFonts w:cs="Times New Roman"/>
        </w:rPr>
        <w:t xml:space="preserve"> NE Krško do 2043. godine</w:t>
      </w:r>
      <w:r w:rsidR="004A44FB" w:rsidRPr="006414E6">
        <w:rPr>
          <w:rFonts w:cs="Times New Roman"/>
        </w:rPr>
        <w:t>.</w:t>
      </w:r>
    </w:p>
    <w:p w14:paraId="1B3F7D4F" w14:textId="77777777" w:rsidR="000013CA" w:rsidRPr="006414E6" w:rsidRDefault="001241B9" w:rsidP="00EE3488">
      <w:pPr>
        <w:pStyle w:val="Heading3"/>
      </w:pPr>
      <w:bookmarkStart w:id="229" w:name="_Toc39133280"/>
      <w:r w:rsidRPr="006414E6">
        <w:t>6.</w:t>
      </w:r>
      <w:r w:rsidR="00FF1E90" w:rsidRPr="006414E6">
        <w:t>1</w:t>
      </w:r>
      <w:r w:rsidR="000013CA" w:rsidRPr="006414E6">
        <w:t xml:space="preserve">.3. Smjernice za </w:t>
      </w:r>
      <w:proofErr w:type="spellStart"/>
      <w:r w:rsidR="000013CA" w:rsidRPr="006414E6">
        <w:t>niskougljični</w:t>
      </w:r>
      <w:proofErr w:type="spellEnd"/>
      <w:r w:rsidR="000013CA" w:rsidRPr="006414E6">
        <w:t xml:space="preserve"> razvoj</w:t>
      </w:r>
      <w:bookmarkEnd w:id="229"/>
    </w:p>
    <w:p w14:paraId="215377BA" w14:textId="77777777" w:rsidR="00C84014" w:rsidRPr="00757A24" w:rsidRDefault="00C84014" w:rsidP="00757A24">
      <w:pPr>
        <w:rPr>
          <w:u w:val="single"/>
        </w:rPr>
      </w:pPr>
      <w:r w:rsidRPr="00757A24">
        <w:rPr>
          <w:u w:val="single"/>
        </w:rPr>
        <w:t>Do 2030. godine</w:t>
      </w:r>
    </w:p>
    <w:p w14:paraId="10F5F48D" w14:textId="77777777" w:rsidR="00C84014" w:rsidRPr="006414E6" w:rsidRDefault="00C84014" w:rsidP="003A2F37">
      <w:pPr>
        <w:pStyle w:val="ListParagraph"/>
        <w:numPr>
          <w:ilvl w:val="0"/>
          <w:numId w:val="35"/>
        </w:numPr>
        <w:rPr>
          <w:rFonts w:cs="Times New Roman"/>
        </w:rPr>
      </w:pPr>
      <w:r w:rsidRPr="006414E6">
        <w:rPr>
          <w:rFonts w:cs="Times New Roman"/>
        </w:rPr>
        <w:t>Emisije CO</w:t>
      </w:r>
      <w:r w:rsidRPr="006414E6">
        <w:rPr>
          <w:rFonts w:cs="Times New Roman"/>
          <w:vertAlign w:val="subscript"/>
        </w:rPr>
        <w:t>2</w:t>
      </w:r>
      <w:r w:rsidRPr="006414E6">
        <w:rPr>
          <w:rFonts w:cs="Times New Roman"/>
        </w:rPr>
        <w:t xml:space="preserve"> iz sektora za proizvodnju električne i toplinske energije nalaze se potpuno  u ETS-u, osim manjih kotlova snage ispod 20 MW. Besplatne jedinice će dobivati toplane, u dijelu isporuke topline za kućanstva i usluge. </w:t>
      </w:r>
    </w:p>
    <w:p w14:paraId="46B388BC" w14:textId="77777777" w:rsidR="00C84014" w:rsidRPr="006414E6" w:rsidRDefault="00C84014" w:rsidP="003A2F37">
      <w:pPr>
        <w:pStyle w:val="ListParagraph"/>
        <w:numPr>
          <w:ilvl w:val="0"/>
          <w:numId w:val="35"/>
        </w:numPr>
        <w:rPr>
          <w:rFonts w:cs="Times New Roman"/>
        </w:rPr>
      </w:pPr>
      <w:r w:rsidRPr="006414E6">
        <w:rPr>
          <w:rFonts w:cs="Times New Roman"/>
        </w:rPr>
        <w:t xml:space="preserve">Ukoliko se u tijeku razdoblja do 2030. </w:t>
      </w:r>
      <w:r w:rsidR="00EE76C0" w:rsidRPr="006414E6">
        <w:rPr>
          <w:rFonts w:cs="Times New Roman"/>
        </w:rPr>
        <w:t xml:space="preserve">godine </w:t>
      </w:r>
      <w:r w:rsidRPr="006414E6">
        <w:rPr>
          <w:rFonts w:cs="Times New Roman"/>
        </w:rPr>
        <w:t xml:space="preserve">odluči za put prema </w:t>
      </w:r>
      <w:proofErr w:type="spellStart"/>
      <w:r w:rsidRPr="006414E6">
        <w:rPr>
          <w:rFonts w:cs="Times New Roman"/>
        </w:rPr>
        <w:t>niskougljičnom</w:t>
      </w:r>
      <w:proofErr w:type="spellEnd"/>
      <w:r w:rsidRPr="006414E6">
        <w:rPr>
          <w:rFonts w:cs="Times New Roman"/>
        </w:rPr>
        <w:t xml:space="preserve"> gospodarstvu smjerom scenarija NU2 nakon 2030. godine, što znači i</w:t>
      </w:r>
      <w:r w:rsidR="00EE76C0" w:rsidRPr="006414E6">
        <w:rPr>
          <w:rFonts w:cs="Times New Roman"/>
        </w:rPr>
        <w:t xml:space="preserve"> širu primjenu CCS tehnologije,</w:t>
      </w:r>
      <w:r w:rsidRPr="006414E6">
        <w:rPr>
          <w:rFonts w:cs="Times New Roman"/>
        </w:rPr>
        <w:t xml:space="preserve"> sve postojeće i nove elektrane trebat će ispitati mogućnost primjene CCS tehnologije. </w:t>
      </w:r>
    </w:p>
    <w:p w14:paraId="70916105" w14:textId="77777777" w:rsidR="00057EC6" w:rsidRPr="006414E6" w:rsidRDefault="00057EC6" w:rsidP="003A2F37">
      <w:pPr>
        <w:pStyle w:val="ListParagraph"/>
        <w:numPr>
          <w:ilvl w:val="0"/>
          <w:numId w:val="35"/>
        </w:numPr>
        <w:spacing w:line="240" w:lineRule="auto"/>
        <w:rPr>
          <w:rFonts w:cs="Times New Roman"/>
        </w:rPr>
      </w:pPr>
      <w:r w:rsidRPr="006414E6">
        <w:rPr>
          <w:rFonts w:cs="Times New Roman"/>
        </w:rPr>
        <w:t>Analizirati inovativne modele poticanja OIE, posebice kroz modele građanske energije iz OIE i izraditi program razvoja prikladan hrvatskim prilikama, s ciljem razvoja projekata OIE s</w:t>
      </w:r>
      <w:r w:rsidR="00EE76C0" w:rsidRPr="006414E6">
        <w:rPr>
          <w:rFonts w:cs="Times New Roman"/>
        </w:rPr>
        <w:t xml:space="preserve"> većom participacijom lokalnog </w:t>
      </w:r>
      <w:r w:rsidRPr="006414E6">
        <w:rPr>
          <w:rFonts w:cs="Times New Roman"/>
        </w:rPr>
        <w:t>stanovništva u vlasničkom, upravljačkom i prihodovnom  pogledu kako bi se proširile koristi poticanja OIE.</w:t>
      </w:r>
    </w:p>
    <w:p w14:paraId="1443FD06" w14:textId="77777777" w:rsidR="00C84014" w:rsidRPr="006414E6" w:rsidRDefault="00C84014" w:rsidP="003A2F37">
      <w:pPr>
        <w:pStyle w:val="ListParagraph"/>
        <w:numPr>
          <w:ilvl w:val="0"/>
          <w:numId w:val="35"/>
        </w:numPr>
        <w:rPr>
          <w:rFonts w:cs="Times New Roman"/>
        </w:rPr>
      </w:pPr>
      <w:r w:rsidRPr="006414E6">
        <w:rPr>
          <w:rFonts w:cs="Times New Roman"/>
        </w:rPr>
        <w:t>Potrebno je poticati razvoj mreže za integraciju obnovljivih izvora energije, razvoj decentralizirane i centralizirane pohrane električne energije, širenje napre</w:t>
      </w:r>
      <w:r w:rsidR="00EE76C0" w:rsidRPr="006414E6">
        <w:rPr>
          <w:rFonts w:cs="Times New Roman"/>
        </w:rPr>
        <w:t xml:space="preserve">dnih mreža i pametnih sustava. </w:t>
      </w:r>
      <w:r w:rsidRPr="006414E6">
        <w:rPr>
          <w:rFonts w:cs="Times New Roman"/>
        </w:rPr>
        <w:t xml:space="preserve">Vezano za integraciju obnovljivih izvora energije, tržišna vrijednost rezervne raspoložive snage u sustavu konvencionalnih elektrana, treba biti adekvatno vrednovana  s gledišta predvidivosti cijena, kako bi se omogućile investicije u takve izvore. </w:t>
      </w:r>
    </w:p>
    <w:p w14:paraId="0F4E7A91" w14:textId="77777777" w:rsidR="00C84014" w:rsidRPr="006414E6" w:rsidRDefault="00C84014" w:rsidP="003A2F37">
      <w:pPr>
        <w:pStyle w:val="ListParagraph"/>
        <w:numPr>
          <w:ilvl w:val="0"/>
          <w:numId w:val="35"/>
        </w:numPr>
        <w:rPr>
          <w:rFonts w:cs="Times New Roman"/>
        </w:rPr>
      </w:pPr>
      <w:r w:rsidRPr="006414E6">
        <w:rPr>
          <w:rFonts w:cs="Times New Roman"/>
        </w:rPr>
        <w:t>Razvoj projekata integriranih sustava i višenamjenska rješenja proizvodnje električne energije, vodno-regulacijskih zahvata, agroekoloških mjera, turističke i druge namjene treba vrednovati kroz opće društvene koristi (analiza troškova i koristi) i u tom smislu odlučiti o oblicima poticanja. Početak korištenja financijskih sredstava iz Fonda z</w:t>
      </w:r>
      <w:r w:rsidR="00EE76C0" w:rsidRPr="006414E6">
        <w:rPr>
          <w:rFonts w:cs="Times New Roman"/>
        </w:rPr>
        <w:t>a modernizaciju</w:t>
      </w:r>
      <w:r w:rsidRPr="006414E6">
        <w:rPr>
          <w:rFonts w:cs="Times New Roman"/>
        </w:rPr>
        <w:t xml:space="preserve">, </w:t>
      </w:r>
      <w:r w:rsidR="00EE76C0" w:rsidRPr="006414E6">
        <w:rPr>
          <w:rFonts w:cs="Times New Roman"/>
        </w:rPr>
        <w:t xml:space="preserve">u skladu sa </w:t>
      </w:r>
      <w:r w:rsidR="00EE76C0" w:rsidRPr="006414E6">
        <w:rPr>
          <w:rFonts w:cs="Times New Roman"/>
        </w:rPr>
        <w:lastRenderedPageBreak/>
        <w:t>Zakonom o klimatskim promjenama i zaštiti ozonskog sloja</w:t>
      </w:r>
      <w:r w:rsidRPr="006414E6">
        <w:rPr>
          <w:rFonts w:cs="Times New Roman"/>
        </w:rPr>
        <w:t>. U ovome je prilika za javno privatno partnerstvo, i financiranje iz različitih fond</w:t>
      </w:r>
      <w:r w:rsidR="00EE76C0" w:rsidRPr="006414E6">
        <w:rPr>
          <w:rFonts w:cs="Times New Roman"/>
        </w:rPr>
        <w:t>ova, sa sinergijom djelovanja.</w:t>
      </w:r>
    </w:p>
    <w:p w14:paraId="50C0C6AB" w14:textId="77777777" w:rsidR="00057EC6" w:rsidRPr="006414E6" w:rsidRDefault="00057EC6" w:rsidP="003A2F37">
      <w:pPr>
        <w:pStyle w:val="ListParagraph"/>
        <w:numPr>
          <w:ilvl w:val="0"/>
          <w:numId w:val="35"/>
        </w:numPr>
        <w:spacing w:line="240" w:lineRule="auto"/>
        <w:rPr>
          <w:rFonts w:cs="Times New Roman"/>
        </w:rPr>
      </w:pPr>
      <w:r w:rsidRPr="006414E6">
        <w:rPr>
          <w:rFonts w:cs="Times New Roman"/>
        </w:rPr>
        <w:t>Potrebno je kontinuirano raditi na procjeni potencijala obnovljivih izvora energije, kartiranju potencijala, osobito hitno i detaljno treba obraditi potencijale biomase i odnosa sa LULUCF sektorom.</w:t>
      </w:r>
    </w:p>
    <w:p w14:paraId="0E927E98" w14:textId="77777777" w:rsidR="00C84014" w:rsidRPr="006414E6" w:rsidRDefault="00C84014" w:rsidP="003A2F37">
      <w:pPr>
        <w:pStyle w:val="ListParagraph"/>
        <w:numPr>
          <w:ilvl w:val="0"/>
          <w:numId w:val="35"/>
        </w:numPr>
        <w:rPr>
          <w:rFonts w:cs="Times New Roman"/>
        </w:rPr>
      </w:pPr>
      <w:r w:rsidRPr="006414E6">
        <w:rPr>
          <w:rFonts w:cs="Times New Roman"/>
        </w:rPr>
        <w:t xml:space="preserve">Program korištenja potencijala za učinkovitost u grijanju i hlađenju za razdoblje 2016. do 2030. godine treba biti u primjeni. </w:t>
      </w:r>
    </w:p>
    <w:p w14:paraId="250F32FC" w14:textId="77777777" w:rsidR="00C84014" w:rsidRPr="006414E6" w:rsidRDefault="00C84014" w:rsidP="003A2F37">
      <w:pPr>
        <w:pStyle w:val="ListParagraph"/>
        <w:numPr>
          <w:ilvl w:val="0"/>
          <w:numId w:val="35"/>
        </w:numPr>
        <w:rPr>
          <w:rFonts w:cs="Times New Roman"/>
        </w:rPr>
      </w:pPr>
      <w:r w:rsidRPr="006414E6">
        <w:rPr>
          <w:rFonts w:cs="Times New Roman"/>
        </w:rPr>
        <w:t xml:space="preserve">Potrebno je kontinuirano analizirati situaciju te po potrebi unaprijediti modele kako bi se omogućio razvoj projekata OIE s participacijom lokalnog  stanovništva, u vlasničkoj, upravljačkoj i prihodovnom  pogledu. </w:t>
      </w:r>
    </w:p>
    <w:p w14:paraId="1C0A10A5" w14:textId="77777777" w:rsidR="00C84014" w:rsidRPr="00757A24" w:rsidRDefault="00C84014" w:rsidP="00757A24">
      <w:pPr>
        <w:rPr>
          <w:szCs w:val="24"/>
          <w:u w:val="single"/>
        </w:rPr>
      </w:pPr>
      <w:r w:rsidRPr="00757A24">
        <w:rPr>
          <w:u w:val="single"/>
        </w:rPr>
        <w:t>Do 2050. godine</w:t>
      </w:r>
    </w:p>
    <w:p w14:paraId="6715C97D" w14:textId="77777777" w:rsidR="00C84014" w:rsidRPr="006414E6" w:rsidRDefault="001231F9" w:rsidP="003A2F37">
      <w:pPr>
        <w:pStyle w:val="ListParagraph"/>
        <w:numPr>
          <w:ilvl w:val="0"/>
          <w:numId w:val="36"/>
        </w:numPr>
        <w:rPr>
          <w:rFonts w:eastAsia="MS Mincho" w:cs="Times New Roman"/>
          <w:sz w:val="20"/>
          <w:lang w:eastAsia="ja-JP"/>
        </w:rPr>
      </w:pPr>
      <w:r w:rsidRPr="006414E6">
        <w:rPr>
          <w:rFonts w:cs="Times New Roman"/>
        </w:rPr>
        <w:t>Izgradnja novih kapaciteta</w:t>
      </w:r>
      <w:r w:rsidRPr="006414E6">
        <w:rPr>
          <w:rFonts w:cs="Times New Roman"/>
          <w:lang w:eastAsia="hr-HR"/>
        </w:rPr>
        <w:t xml:space="preserve"> obnovljivih izvora </w:t>
      </w:r>
      <w:r w:rsidR="00C84014" w:rsidRPr="006414E6">
        <w:rPr>
          <w:rFonts w:cs="Times New Roman"/>
        </w:rPr>
        <w:t>podrazumijeva adekvatan razvoj mreže za integraciju obnovljivih izvora energije, razvoj decentralizirane i centralizirane pohrane električne energije, širenje naprednih mreža i pametnih sustava te snažniju integraciju sa sektorom prometa i toplinskim sustavima.</w:t>
      </w:r>
    </w:p>
    <w:p w14:paraId="27859D5D" w14:textId="77777777" w:rsidR="009A170C" w:rsidRPr="006414E6" w:rsidRDefault="001241B9" w:rsidP="00EE3488">
      <w:pPr>
        <w:pStyle w:val="Heading2"/>
      </w:pPr>
      <w:bookmarkStart w:id="230" w:name="_Toc20841304"/>
      <w:bookmarkStart w:id="231" w:name="_Toc20841410"/>
      <w:bookmarkStart w:id="232" w:name="_Toc39133281"/>
      <w:r w:rsidRPr="006414E6">
        <w:t>6.</w:t>
      </w:r>
      <w:r w:rsidR="009A170C" w:rsidRPr="006414E6">
        <w:t xml:space="preserve">2. </w:t>
      </w:r>
      <w:r w:rsidR="000013CA" w:rsidRPr="006414E6">
        <w:tab/>
      </w:r>
      <w:r w:rsidR="009A170C" w:rsidRPr="006414E6">
        <w:t>PROIZVODNJA I PRERADA GORIVA</w:t>
      </w:r>
      <w:bookmarkEnd w:id="230"/>
      <w:bookmarkEnd w:id="231"/>
      <w:bookmarkEnd w:id="232"/>
    </w:p>
    <w:p w14:paraId="3CB25F5E" w14:textId="77777777" w:rsidR="00FF1E90" w:rsidRPr="006414E6" w:rsidRDefault="001241B9" w:rsidP="00EE3488">
      <w:pPr>
        <w:pStyle w:val="Heading3"/>
      </w:pPr>
      <w:bookmarkStart w:id="233" w:name="_Toc39133282"/>
      <w:r w:rsidRPr="006414E6">
        <w:t>6.</w:t>
      </w:r>
      <w:r w:rsidR="00FF1E90" w:rsidRPr="006414E6">
        <w:t>2.1. Emisije</w:t>
      </w:r>
      <w:r w:rsidR="007319A7" w:rsidRPr="006414E6">
        <w:t xml:space="preserve"> stakleničkih plinova</w:t>
      </w:r>
      <w:bookmarkEnd w:id="233"/>
    </w:p>
    <w:p w14:paraId="2C4929B9" w14:textId="77777777" w:rsidR="00470CE1" w:rsidRPr="006414E6" w:rsidRDefault="00470CE1" w:rsidP="00470CE1">
      <w:pPr>
        <w:rPr>
          <w:rFonts w:cs="Times New Roman"/>
        </w:rPr>
      </w:pPr>
      <w:r w:rsidRPr="006414E6">
        <w:rPr>
          <w:rFonts w:cs="Times New Roman"/>
        </w:rPr>
        <w:t xml:space="preserve">U ovom dijelu su objedinjena tri sektora prema IPCC metodologiji: </w:t>
      </w:r>
      <w:r w:rsidR="00D72786" w:rsidRPr="006414E6">
        <w:rPr>
          <w:rFonts w:cs="Times New Roman"/>
        </w:rPr>
        <w:t>r</w:t>
      </w:r>
      <w:r w:rsidRPr="006414E6">
        <w:rPr>
          <w:rFonts w:cs="Times New Roman"/>
        </w:rPr>
        <w:t xml:space="preserve">afinerije, </w:t>
      </w:r>
      <w:r w:rsidR="00D72786" w:rsidRPr="006414E6">
        <w:rPr>
          <w:rFonts w:cs="Times New Roman"/>
        </w:rPr>
        <w:t>s</w:t>
      </w:r>
      <w:r w:rsidRPr="006414E6">
        <w:rPr>
          <w:rFonts w:cs="Times New Roman"/>
        </w:rPr>
        <w:t xml:space="preserve">ektor proizvodnje krutih goriva i ostala energetska industrija te </w:t>
      </w:r>
      <w:proofErr w:type="spellStart"/>
      <w:r w:rsidRPr="006414E6">
        <w:rPr>
          <w:rFonts w:cs="Times New Roman"/>
        </w:rPr>
        <w:t>fugitivne</w:t>
      </w:r>
      <w:proofErr w:type="spellEnd"/>
      <w:r w:rsidRPr="006414E6">
        <w:rPr>
          <w:rFonts w:cs="Times New Roman"/>
        </w:rPr>
        <w:t xml:space="preserve"> emisije (emisije iz većeg broja malih izvora ili površina – isparavanj</w:t>
      </w:r>
      <w:r w:rsidR="00222F98" w:rsidRPr="006414E6">
        <w:rPr>
          <w:rFonts w:cs="Times New Roman"/>
        </w:rPr>
        <w:t>e</w:t>
      </w:r>
      <w:r w:rsidRPr="006414E6">
        <w:rPr>
          <w:rFonts w:cs="Times New Roman"/>
        </w:rPr>
        <w:t>, propuštanj</w:t>
      </w:r>
      <w:r w:rsidR="00222F98" w:rsidRPr="006414E6">
        <w:rPr>
          <w:rFonts w:cs="Times New Roman"/>
        </w:rPr>
        <w:t>e</w:t>
      </w:r>
      <w:r w:rsidRPr="006414E6">
        <w:rPr>
          <w:rFonts w:cs="Times New Roman"/>
        </w:rPr>
        <w:t>, ishlapljivanje i slično).</w:t>
      </w:r>
    </w:p>
    <w:p w14:paraId="5B071C0D" w14:textId="77777777" w:rsidR="00222F98" w:rsidRPr="006414E6" w:rsidRDefault="00470CE1" w:rsidP="00285F3A">
      <w:pPr>
        <w:rPr>
          <w:rFonts w:cs="Times New Roman"/>
        </w:rPr>
      </w:pPr>
      <w:bookmarkStart w:id="234" w:name="_Hlk36802200"/>
      <w:r w:rsidRPr="006414E6">
        <w:rPr>
          <w:rFonts w:cs="Times New Roman"/>
        </w:rPr>
        <w:t>Sektor proizvodnje i prerade nafte i plina čini 7,</w:t>
      </w:r>
      <w:r w:rsidR="00462811" w:rsidRPr="006414E6">
        <w:rPr>
          <w:rFonts w:cs="Times New Roman"/>
        </w:rPr>
        <w:t>4</w:t>
      </w:r>
      <w:r w:rsidRPr="006414E6">
        <w:rPr>
          <w:rFonts w:cs="Times New Roman"/>
        </w:rPr>
        <w:t xml:space="preserve">% emisije stakleničkih plinova </w:t>
      </w:r>
      <w:r w:rsidR="002019AF" w:rsidRPr="006414E6">
        <w:rPr>
          <w:rFonts w:cs="Times New Roman"/>
        </w:rPr>
        <w:t>Republike Hrvatske</w:t>
      </w:r>
      <w:r w:rsidRPr="006414E6">
        <w:rPr>
          <w:rFonts w:cs="Times New Roman"/>
        </w:rPr>
        <w:t xml:space="preserve"> (201</w:t>
      </w:r>
      <w:r w:rsidR="00462811" w:rsidRPr="006414E6">
        <w:rPr>
          <w:rFonts w:cs="Times New Roman"/>
        </w:rPr>
        <w:t>8</w:t>
      </w:r>
      <w:r w:rsidRPr="006414E6">
        <w:rPr>
          <w:rFonts w:cs="Times New Roman"/>
        </w:rPr>
        <w:t>. godina), od toga je 7</w:t>
      </w:r>
      <w:r w:rsidR="00462811" w:rsidRPr="006414E6">
        <w:rPr>
          <w:rFonts w:cs="Times New Roman"/>
        </w:rPr>
        <w:t>4,6</w:t>
      </w:r>
      <w:r w:rsidRPr="006414E6">
        <w:rPr>
          <w:rFonts w:cs="Times New Roman"/>
        </w:rPr>
        <w:t xml:space="preserve">% emisija iz rafinerija. Iz ovog sektora </w:t>
      </w:r>
      <w:r w:rsidR="00462811" w:rsidRPr="006414E6">
        <w:rPr>
          <w:rFonts w:cs="Times New Roman"/>
        </w:rPr>
        <w:t>74,3</w:t>
      </w:r>
      <w:r w:rsidRPr="006414E6">
        <w:rPr>
          <w:rFonts w:cs="Times New Roman"/>
        </w:rPr>
        <w:t>% emisija je obuhvaćeno ETS-om. Navedeno se odnosi na emisije od izgaranja goriva</w:t>
      </w:r>
      <w:r w:rsidR="004C5523" w:rsidRPr="006414E6">
        <w:rPr>
          <w:rFonts w:cs="Times New Roman"/>
        </w:rPr>
        <w:t xml:space="preserve">. </w:t>
      </w:r>
    </w:p>
    <w:bookmarkEnd w:id="234"/>
    <w:p w14:paraId="4152D839" w14:textId="77777777" w:rsidR="000961F5" w:rsidRPr="006414E6" w:rsidRDefault="004C5523" w:rsidP="00285F3A">
      <w:pPr>
        <w:rPr>
          <w:rFonts w:cs="Times New Roman"/>
        </w:rPr>
      </w:pPr>
      <w:proofErr w:type="spellStart"/>
      <w:r w:rsidRPr="006414E6">
        <w:rPr>
          <w:rFonts w:cs="Times New Roman"/>
        </w:rPr>
        <w:t>F</w:t>
      </w:r>
      <w:r w:rsidR="00470CE1" w:rsidRPr="006414E6">
        <w:rPr>
          <w:rFonts w:cs="Times New Roman"/>
        </w:rPr>
        <w:t>ugitivne</w:t>
      </w:r>
      <w:proofErr w:type="spellEnd"/>
      <w:r w:rsidR="00470CE1" w:rsidRPr="006414E6">
        <w:rPr>
          <w:rFonts w:cs="Times New Roman"/>
        </w:rPr>
        <w:t xml:space="preserve"> emisije metana koje nastaju u procesu proizvodnje, transporta i distribucije fosilnih goriva obračunavaju se u posebnom sektoru </w:t>
      </w:r>
      <w:proofErr w:type="spellStart"/>
      <w:r w:rsidR="00470CE1" w:rsidRPr="006414E6">
        <w:rPr>
          <w:rFonts w:cs="Times New Roman"/>
        </w:rPr>
        <w:t>fugitivnih</w:t>
      </w:r>
      <w:proofErr w:type="spellEnd"/>
      <w:r w:rsidR="00470CE1" w:rsidRPr="006414E6">
        <w:rPr>
          <w:rFonts w:cs="Times New Roman"/>
        </w:rPr>
        <w:t xml:space="preserve"> emisija te čine dodatnih 1,7% ukupnih emisija. </w:t>
      </w:r>
      <w:proofErr w:type="spellStart"/>
      <w:r w:rsidR="00470CE1" w:rsidRPr="006414E6">
        <w:rPr>
          <w:rFonts w:cs="Times New Roman"/>
        </w:rPr>
        <w:t>Fugitivne</w:t>
      </w:r>
      <w:proofErr w:type="spellEnd"/>
      <w:r w:rsidR="00470CE1" w:rsidRPr="006414E6">
        <w:rPr>
          <w:rFonts w:cs="Times New Roman"/>
        </w:rPr>
        <w:t xml:space="preserve"> emisije nisu obuhvaćene ETS-om.</w:t>
      </w:r>
    </w:p>
    <w:p w14:paraId="3815119F" w14:textId="77777777" w:rsidR="009E36A8" w:rsidRPr="006414E6" w:rsidRDefault="009E36A8" w:rsidP="009E36A8">
      <w:pPr>
        <w:rPr>
          <w:rFonts w:cs="Times New Roman"/>
          <w:lang w:eastAsia="hr-HR"/>
        </w:rPr>
      </w:pPr>
      <w:r w:rsidRPr="006414E6">
        <w:rPr>
          <w:rFonts w:cs="Times New Roman"/>
        </w:rPr>
        <w:t xml:space="preserve">U ovom sektoru u scenarijima NU1 i NU2 postiže se smanjenje emisije </w:t>
      </w:r>
      <w:r w:rsidR="006E52C2" w:rsidRPr="006414E6">
        <w:rPr>
          <w:rFonts w:cs="Times New Roman"/>
        </w:rPr>
        <w:t>od</w:t>
      </w:r>
      <w:r w:rsidRPr="006414E6">
        <w:rPr>
          <w:rFonts w:cs="Times New Roman"/>
        </w:rPr>
        <w:t xml:space="preserve"> </w:t>
      </w:r>
      <w:r w:rsidR="00222F98" w:rsidRPr="006414E6">
        <w:rPr>
          <w:rFonts w:cs="Times New Roman"/>
        </w:rPr>
        <w:t>55,8</w:t>
      </w:r>
      <w:r w:rsidRPr="006414E6">
        <w:rPr>
          <w:rFonts w:cs="Times New Roman"/>
        </w:rPr>
        <w:t>% do 5</w:t>
      </w:r>
      <w:r w:rsidR="00222F98" w:rsidRPr="006414E6">
        <w:rPr>
          <w:rFonts w:cs="Times New Roman"/>
        </w:rPr>
        <w:t>6,0</w:t>
      </w:r>
      <w:r w:rsidR="006E52C2" w:rsidRPr="006414E6">
        <w:rPr>
          <w:rFonts w:cs="Times New Roman"/>
        </w:rPr>
        <w:t>% u 2030.</w:t>
      </w:r>
      <w:r w:rsidR="0046634B" w:rsidRPr="006414E6">
        <w:rPr>
          <w:rFonts w:cs="Times New Roman"/>
        </w:rPr>
        <w:t xml:space="preserve"> </w:t>
      </w:r>
      <w:r w:rsidR="006E52C2" w:rsidRPr="006414E6">
        <w:rPr>
          <w:rFonts w:cs="Times New Roman"/>
        </w:rPr>
        <w:t xml:space="preserve">godini te od </w:t>
      </w:r>
      <w:r w:rsidRPr="006414E6">
        <w:rPr>
          <w:rFonts w:cs="Times New Roman"/>
        </w:rPr>
        <w:t>7</w:t>
      </w:r>
      <w:r w:rsidR="00222F98" w:rsidRPr="006414E6">
        <w:rPr>
          <w:rFonts w:cs="Times New Roman"/>
        </w:rPr>
        <w:t>4,7</w:t>
      </w:r>
      <w:r w:rsidRPr="006414E6">
        <w:rPr>
          <w:rFonts w:cs="Times New Roman"/>
        </w:rPr>
        <w:t xml:space="preserve">% do </w:t>
      </w:r>
      <w:r w:rsidR="00222F98" w:rsidRPr="006414E6">
        <w:rPr>
          <w:rFonts w:cs="Times New Roman"/>
        </w:rPr>
        <w:t>75,9</w:t>
      </w:r>
      <w:r w:rsidR="006E52C2" w:rsidRPr="006414E6">
        <w:rPr>
          <w:rFonts w:cs="Times New Roman"/>
        </w:rPr>
        <w:t>% u 2050. godini, u odnosu na 1990. godinu.</w:t>
      </w:r>
    </w:p>
    <w:p w14:paraId="2D3F2300" w14:textId="77777777" w:rsidR="00FF1E90" w:rsidRPr="006414E6" w:rsidRDefault="001241B9" w:rsidP="00EE3488">
      <w:pPr>
        <w:pStyle w:val="Heading3"/>
      </w:pPr>
      <w:bookmarkStart w:id="235" w:name="_Toc39133283"/>
      <w:r w:rsidRPr="006414E6">
        <w:t>6.</w:t>
      </w:r>
      <w:r w:rsidR="00FF1E90" w:rsidRPr="006414E6">
        <w:t xml:space="preserve">2.2. Politike i mjere za </w:t>
      </w:r>
      <w:proofErr w:type="spellStart"/>
      <w:r w:rsidR="00FF1E90" w:rsidRPr="006414E6">
        <w:t>niskougljični</w:t>
      </w:r>
      <w:proofErr w:type="spellEnd"/>
      <w:r w:rsidR="00FF1E90" w:rsidRPr="006414E6">
        <w:t xml:space="preserve"> razvoj</w:t>
      </w:r>
      <w:bookmarkEnd w:id="235"/>
    </w:p>
    <w:p w14:paraId="14413EC4" w14:textId="77777777" w:rsidR="00CD048F" w:rsidRPr="006414E6" w:rsidRDefault="00CD048F" w:rsidP="00237F92">
      <w:pPr>
        <w:rPr>
          <w:rFonts w:cs="Times New Roman"/>
          <w:b/>
          <w:u w:val="single"/>
        </w:rPr>
      </w:pPr>
      <w:r w:rsidRPr="006414E6">
        <w:rPr>
          <w:rFonts w:cs="Times New Roman"/>
          <w:b/>
          <w:u w:val="single"/>
        </w:rPr>
        <w:t>Nafta i naftni derivati</w:t>
      </w:r>
    </w:p>
    <w:p w14:paraId="534E73B1" w14:textId="17E84813" w:rsidR="00285F3A" w:rsidRPr="006414E6" w:rsidRDefault="00285F3A" w:rsidP="00BD50B7">
      <w:pPr>
        <w:rPr>
          <w:rFonts w:cs="Times New Roman"/>
        </w:rPr>
      </w:pPr>
      <w:r w:rsidRPr="006414E6">
        <w:rPr>
          <w:rFonts w:cs="Times New Roman"/>
        </w:rPr>
        <w:t xml:space="preserve">U nadolazećem razdoblju politike </w:t>
      </w:r>
      <w:proofErr w:type="spellStart"/>
      <w:r w:rsidRPr="006414E6">
        <w:rPr>
          <w:rFonts w:cs="Times New Roman"/>
        </w:rPr>
        <w:t>dekarbonizacije</w:t>
      </w:r>
      <w:proofErr w:type="spellEnd"/>
      <w:r w:rsidRPr="006414E6">
        <w:rPr>
          <w:rFonts w:cs="Times New Roman"/>
        </w:rPr>
        <w:t xml:space="preserve"> energetskog se</w:t>
      </w:r>
      <w:r w:rsidR="00237F92">
        <w:rPr>
          <w:rFonts w:cs="Times New Roman"/>
        </w:rPr>
        <w:t xml:space="preserve">ktora, naftni sektor bit će pod </w:t>
      </w:r>
      <w:r w:rsidRPr="006414E6">
        <w:rPr>
          <w:rFonts w:cs="Times New Roman"/>
        </w:rPr>
        <w:t xml:space="preserve">snažnim utjecajem povećanja </w:t>
      </w:r>
      <w:r w:rsidR="00BD50B7" w:rsidRPr="006414E6">
        <w:rPr>
          <w:rFonts w:cs="Times New Roman"/>
        </w:rPr>
        <w:t>korištenja alternativnih goriva,</w:t>
      </w:r>
      <w:r w:rsidRPr="006414E6">
        <w:rPr>
          <w:rFonts w:cs="Times New Roman"/>
        </w:rPr>
        <w:t xml:space="preserve"> ali i pov</w:t>
      </w:r>
      <w:r w:rsidR="00BD50B7" w:rsidRPr="006414E6">
        <w:rPr>
          <w:rFonts w:cs="Times New Roman"/>
        </w:rPr>
        <w:t>ećanja energetske učinkovitosti te će se potrošnja naftnih derivata kontinuirano smanjivati.</w:t>
      </w:r>
      <w:r w:rsidRPr="006414E6">
        <w:rPr>
          <w:rFonts w:cs="Times New Roman"/>
        </w:rPr>
        <w:t xml:space="preserve"> To će se naročito odraziti na rad rafinerija, transport i distribuciju nafte i naftnih derivata te tržište skladištenja.</w:t>
      </w:r>
    </w:p>
    <w:p w14:paraId="72923110" w14:textId="77777777" w:rsidR="00EE240D" w:rsidRPr="006414E6" w:rsidRDefault="00285F3A" w:rsidP="00285F3A">
      <w:pPr>
        <w:rPr>
          <w:rFonts w:cs="Times New Roman"/>
        </w:rPr>
      </w:pPr>
      <w:r w:rsidRPr="006414E6">
        <w:rPr>
          <w:rFonts w:cs="Times New Roman"/>
        </w:rPr>
        <w:t>Bez obzira na predviđeno smanjenje potrošnje naftnih derivata do 2030.</w:t>
      </w:r>
      <w:r w:rsidR="00BD50B7" w:rsidRPr="006414E6">
        <w:rPr>
          <w:rFonts w:cs="Times New Roman"/>
        </w:rPr>
        <w:t xml:space="preserve">, odnosno </w:t>
      </w:r>
      <w:r w:rsidRPr="006414E6">
        <w:rPr>
          <w:rFonts w:cs="Times New Roman"/>
        </w:rPr>
        <w:t>2050. godine, oni će još uvijek zauzimati značajni udio u ukupnoj potrošnji energije te je potrebno osigurati njihovu</w:t>
      </w:r>
      <w:r w:rsidR="00BD50B7" w:rsidRPr="006414E6">
        <w:rPr>
          <w:rFonts w:cs="Times New Roman"/>
        </w:rPr>
        <w:t xml:space="preserve"> </w:t>
      </w:r>
      <w:r w:rsidRPr="006414E6">
        <w:rPr>
          <w:rFonts w:cs="Times New Roman"/>
        </w:rPr>
        <w:t>nesmetanu opskrbu.</w:t>
      </w:r>
      <w:r w:rsidR="00BD50B7" w:rsidRPr="006414E6">
        <w:rPr>
          <w:rFonts w:cs="Times New Roman"/>
        </w:rPr>
        <w:t xml:space="preserve"> </w:t>
      </w:r>
      <w:r w:rsidR="00EE240D" w:rsidRPr="006414E6">
        <w:rPr>
          <w:rFonts w:cs="Times New Roman"/>
        </w:rPr>
        <w:t>Zbog smanjivanja opskrbljenosti domaćom proizvodnjom nafte, gospodarski je i energetski opravdano potaknuti dodatna ulaganja u postojeće proizvodne kapacitete i u nova istraživanja te ubrzati dovršetak modernizacije rafinerija s ciljem povećanja konkurentnosti na domaćem i stranim tržištima.</w:t>
      </w:r>
    </w:p>
    <w:p w14:paraId="2B7F899D" w14:textId="77777777" w:rsidR="00285F3A" w:rsidRPr="006414E6" w:rsidRDefault="00285F3A" w:rsidP="00285F3A">
      <w:pPr>
        <w:rPr>
          <w:rFonts w:cs="Times New Roman"/>
        </w:rPr>
      </w:pPr>
      <w:r w:rsidRPr="006414E6">
        <w:rPr>
          <w:rFonts w:cs="Times New Roman"/>
        </w:rPr>
        <w:t xml:space="preserve">Godišnja proizvodnja naftnih derivata </w:t>
      </w:r>
      <w:r w:rsidR="00BB32F6" w:rsidRPr="006414E6">
        <w:rPr>
          <w:rFonts w:cs="Times New Roman"/>
        </w:rPr>
        <w:t>p</w:t>
      </w:r>
      <w:r w:rsidRPr="006414E6">
        <w:rPr>
          <w:rFonts w:cs="Times New Roman"/>
        </w:rPr>
        <w:t xml:space="preserve">rema </w:t>
      </w:r>
      <w:proofErr w:type="spellStart"/>
      <w:r w:rsidRPr="006414E6">
        <w:rPr>
          <w:rFonts w:cs="Times New Roman"/>
        </w:rPr>
        <w:t>niskougljičnim</w:t>
      </w:r>
      <w:proofErr w:type="spellEnd"/>
      <w:r w:rsidRPr="006414E6">
        <w:rPr>
          <w:rFonts w:cs="Times New Roman"/>
        </w:rPr>
        <w:t xml:space="preserve"> scenarijima</w:t>
      </w:r>
      <w:r w:rsidR="00BB32F6" w:rsidRPr="006414E6">
        <w:rPr>
          <w:rFonts w:cs="Times New Roman"/>
        </w:rPr>
        <w:t xml:space="preserve"> bit će </w:t>
      </w:r>
      <w:r w:rsidRPr="006414E6">
        <w:rPr>
          <w:rFonts w:cs="Times New Roman"/>
        </w:rPr>
        <w:t xml:space="preserve">otprilike </w:t>
      </w:r>
      <w:r w:rsidR="00BB32F6" w:rsidRPr="006414E6">
        <w:rPr>
          <w:rFonts w:cs="Times New Roman"/>
        </w:rPr>
        <w:t xml:space="preserve">na razini današnje </w:t>
      </w:r>
      <w:r w:rsidRPr="006414E6">
        <w:rPr>
          <w:rFonts w:cs="Times New Roman"/>
        </w:rPr>
        <w:t xml:space="preserve">proizvodnje do 2030. godine nakon čega slijedi postupni pad proizvodnje. Pad proizvodnje </w:t>
      </w:r>
      <w:r w:rsidRPr="006414E6">
        <w:rPr>
          <w:rFonts w:cs="Times New Roman"/>
        </w:rPr>
        <w:lastRenderedPageBreak/>
        <w:t>nakon 2030. godine uzrokovan je prvenstveno povećanjem broja električnih</w:t>
      </w:r>
      <w:r w:rsidR="00C7076B" w:rsidRPr="006414E6">
        <w:rPr>
          <w:rFonts w:cs="Times New Roman"/>
        </w:rPr>
        <w:t xml:space="preserve"> </w:t>
      </w:r>
      <w:r w:rsidRPr="006414E6">
        <w:rPr>
          <w:rFonts w:cs="Times New Roman"/>
        </w:rPr>
        <w:t>vozila u cestovnom prometu.</w:t>
      </w:r>
    </w:p>
    <w:p w14:paraId="5F130BEA" w14:textId="77777777" w:rsidR="00285F3A" w:rsidRPr="006414E6" w:rsidRDefault="00285F3A" w:rsidP="00285F3A">
      <w:pPr>
        <w:rPr>
          <w:rFonts w:cs="Times New Roman"/>
        </w:rPr>
      </w:pPr>
      <w:r w:rsidRPr="006414E6">
        <w:rPr>
          <w:rFonts w:cs="Times New Roman"/>
        </w:rPr>
        <w:t xml:space="preserve">Proizvodnja </w:t>
      </w:r>
      <w:r w:rsidR="00BB32F6" w:rsidRPr="006414E6">
        <w:rPr>
          <w:rFonts w:cs="Times New Roman"/>
        </w:rPr>
        <w:t xml:space="preserve">naftnih </w:t>
      </w:r>
      <w:r w:rsidR="002F3316" w:rsidRPr="006414E6">
        <w:rPr>
          <w:rFonts w:cs="Times New Roman"/>
        </w:rPr>
        <w:t xml:space="preserve">derivata </w:t>
      </w:r>
      <w:r w:rsidRPr="006414E6">
        <w:rPr>
          <w:rFonts w:cs="Times New Roman"/>
        </w:rPr>
        <w:t>pratit</w:t>
      </w:r>
      <w:r w:rsidR="002F3316" w:rsidRPr="006414E6">
        <w:rPr>
          <w:rFonts w:cs="Times New Roman"/>
        </w:rPr>
        <w:t xml:space="preserve"> će</w:t>
      </w:r>
      <w:r w:rsidRPr="006414E6">
        <w:rPr>
          <w:rFonts w:cs="Times New Roman"/>
        </w:rPr>
        <w:t xml:space="preserve"> smanjenje potrošnje derivata sve do 2035.</w:t>
      </w:r>
      <w:r w:rsidR="00BB32F6" w:rsidRPr="006414E6">
        <w:rPr>
          <w:rFonts w:cs="Times New Roman"/>
        </w:rPr>
        <w:t xml:space="preserve"> </w:t>
      </w:r>
      <w:r w:rsidRPr="006414E6">
        <w:rPr>
          <w:rFonts w:cs="Times New Roman"/>
        </w:rPr>
        <w:t>godine</w:t>
      </w:r>
      <w:r w:rsidR="00BB32F6" w:rsidRPr="006414E6">
        <w:rPr>
          <w:rFonts w:cs="Times New Roman"/>
        </w:rPr>
        <w:t xml:space="preserve">. </w:t>
      </w:r>
      <w:r w:rsidRPr="006414E6">
        <w:rPr>
          <w:rFonts w:cs="Times New Roman"/>
        </w:rPr>
        <w:t>Nakon 2035. godine dolazi do smanjenja</w:t>
      </w:r>
      <w:r w:rsidR="00C7076B" w:rsidRPr="006414E6">
        <w:rPr>
          <w:rFonts w:cs="Times New Roman"/>
        </w:rPr>
        <w:t xml:space="preserve"> </w:t>
      </w:r>
      <w:r w:rsidRPr="006414E6">
        <w:rPr>
          <w:rFonts w:cs="Times New Roman"/>
        </w:rPr>
        <w:t xml:space="preserve">potrošnje naftnih derivata i povećanja neto izvoza. </w:t>
      </w:r>
    </w:p>
    <w:p w14:paraId="04A8A162" w14:textId="77777777" w:rsidR="00E36D78" w:rsidRPr="006414E6" w:rsidRDefault="00E36D78" w:rsidP="00285F3A">
      <w:pPr>
        <w:rPr>
          <w:rFonts w:cs="Times New Roman"/>
        </w:rPr>
      </w:pPr>
      <w:r w:rsidRPr="006414E6">
        <w:rPr>
          <w:rFonts w:cs="Times New Roman"/>
        </w:rPr>
        <w:t xml:space="preserve">Bez obzira na predviđeno smanjenje prerade nafte u rafinerijama regije nakon 2030. godine, neće doći do značajnijeg smanjenja transporta JANAF-om jer će se povećati potreba za uvozom sirove nafte uslijed smanjenja proizvodnje na domaćim poljima. </w:t>
      </w:r>
    </w:p>
    <w:p w14:paraId="4CA19DCC" w14:textId="77777777" w:rsidR="00702B7F" w:rsidRPr="006414E6" w:rsidRDefault="00702B7F" w:rsidP="00702B7F">
      <w:pPr>
        <w:rPr>
          <w:rFonts w:cs="Times New Roman"/>
        </w:rPr>
      </w:pPr>
      <w:r w:rsidRPr="006414E6">
        <w:rPr>
          <w:rFonts w:cs="Times New Roman"/>
          <w:b/>
        </w:rPr>
        <w:t xml:space="preserve">Rafinerije i </w:t>
      </w:r>
      <w:proofErr w:type="spellStart"/>
      <w:r w:rsidRPr="006414E6">
        <w:rPr>
          <w:rFonts w:cs="Times New Roman"/>
          <w:b/>
        </w:rPr>
        <w:t>b</w:t>
      </w:r>
      <w:r w:rsidR="008D0D62" w:rsidRPr="006414E6">
        <w:rPr>
          <w:rFonts w:cs="Times New Roman"/>
          <w:b/>
        </w:rPr>
        <w:t>iorafinerije</w:t>
      </w:r>
      <w:proofErr w:type="spellEnd"/>
      <w:r w:rsidR="008D0D62" w:rsidRPr="006414E6">
        <w:rPr>
          <w:rFonts w:cs="Times New Roman"/>
          <w:b/>
        </w:rPr>
        <w:t>.</w:t>
      </w:r>
      <w:r w:rsidR="008D0D62" w:rsidRPr="006414E6">
        <w:rPr>
          <w:rFonts w:cs="Times New Roman"/>
        </w:rPr>
        <w:t xml:space="preserve"> </w:t>
      </w:r>
      <w:r w:rsidRPr="006414E6">
        <w:rPr>
          <w:rFonts w:cs="Times New Roman"/>
        </w:rPr>
        <w:t xml:space="preserve">Potrebne su značajne investicije u modernizaciju i unaprjeđenje proizvodnje kako bi se održala konkurentnost rafinerija. Međutim, važno je razmotriti modele </w:t>
      </w:r>
      <w:r w:rsidR="006A1464" w:rsidRPr="006414E6">
        <w:rPr>
          <w:rFonts w:cs="Times New Roman"/>
        </w:rPr>
        <w:t>diversifikacije</w:t>
      </w:r>
      <w:r w:rsidRPr="006414E6">
        <w:rPr>
          <w:rFonts w:cs="Times New Roman"/>
        </w:rPr>
        <w:t xml:space="preserve"> poslovanja u slučajevima kada investiranje nije opravdano. U slučaju </w:t>
      </w:r>
      <w:r w:rsidR="002019AF" w:rsidRPr="006414E6">
        <w:rPr>
          <w:rFonts w:cs="Times New Roman"/>
        </w:rPr>
        <w:t>Republike Hrvatske</w:t>
      </w:r>
      <w:r w:rsidRPr="006414E6">
        <w:rPr>
          <w:rFonts w:cs="Times New Roman"/>
        </w:rPr>
        <w:t>, istraživanje i eksploatacija novih nalazišta te uvoz sirove nafte za preradu mogu doprinijeti boljoj iskoristivosti kapaciteta rafinerija.</w:t>
      </w:r>
    </w:p>
    <w:p w14:paraId="0B2A9A01" w14:textId="77777777" w:rsidR="00702B7F" w:rsidRPr="006414E6" w:rsidRDefault="008D0D62" w:rsidP="008D0D62">
      <w:pPr>
        <w:rPr>
          <w:rFonts w:cs="Times New Roman"/>
        </w:rPr>
      </w:pPr>
      <w:r w:rsidRPr="006414E6">
        <w:rPr>
          <w:rFonts w:cs="Times New Roman"/>
        </w:rPr>
        <w:t>Razvoj tehnologija za proizvodnju energije iz biomase se najviše usmjerava na sektor prometa</w:t>
      </w:r>
      <w:r w:rsidR="00702B7F" w:rsidRPr="006414E6">
        <w:rPr>
          <w:rFonts w:cs="Times New Roman"/>
        </w:rPr>
        <w:t xml:space="preserve"> </w:t>
      </w:r>
      <w:r w:rsidRPr="006414E6">
        <w:rPr>
          <w:rFonts w:cs="Times New Roman"/>
        </w:rPr>
        <w:t>za p</w:t>
      </w:r>
      <w:r w:rsidR="00702B7F" w:rsidRPr="006414E6">
        <w:rPr>
          <w:rFonts w:cs="Times New Roman"/>
        </w:rPr>
        <w:t xml:space="preserve">roizvodnju naprednih biogoriva </w:t>
      </w:r>
      <w:r w:rsidRPr="006414E6">
        <w:rPr>
          <w:rFonts w:cs="Times New Roman"/>
        </w:rPr>
        <w:t xml:space="preserve">kroz sustav </w:t>
      </w:r>
      <w:proofErr w:type="spellStart"/>
      <w:r w:rsidRPr="006414E6">
        <w:rPr>
          <w:rFonts w:cs="Times New Roman"/>
        </w:rPr>
        <w:t>biorafinerija</w:t>
      </w:r>
      <w:proofErr w:type="spellEnd"/>
      <w:r w:rsidR="00702B7F" w:rsidRPr="006414E6">
        <w:rPr>
          <w:rFonts w:cs="Times New Roman"/>
        </w:rPr>
        <w:t xml:space="preserve">. </w:t>
      </w:r>
    </w:p>
    <w:p w14:paraId="7577C5AC" w14:textId="77777777" w:rsidR="00CD048F" w:rsidRPr="006414E6" w:rsidRDefault="00CD048F" w:rsidP="00532D93">
      <w:pPr>
        <w:rPr>
          <w:rFonts w:cs="Times New Roman"/>
          <w:b/>
          <w:u w:val="single"/>
        </w:rPr>
      </w:pPr>
      <w:r w:rsidRPr="006414E6">
        <w:rPr>
          <w:rFonts w:cs="Times New Roman"/>
          <w:b/>
          <w:u w:val="single"/>
        </w:rPr>
        <w:t>Prirodni plin</w:t>
      </w:r>
    </w:p>
    <w:p w14:paraId="58BD737B" w14:textId="77777777" w:rsidR="00532D93" w:rsidRPr="006414E6" w:rsidRDefault="00532D93" w:rsidP="00532D93">
      <w:pPr>
        <w:rPr>
          <w:rFonts w:cs="Times New Roman"/>
        </w:rPr>
      </w:pPr>
      <w:r w:rsidRPr="006414E6">
        <w:rPr>
          <w:rFonts w:cs="Times New Roman"/>
        </w:rPr>
        <w:t xml:space="preserve">Razvoj plinskog sustava u </w:t>
      </w:r>
      <w:r w:rsidR="002F3316" w:rsidRPr="006414E6">
        <w:rPr>
          <w:rFonts w:cs="Times New Roman"/>
        </w:rPr>
        <w:t xml:space="preserve">Republici </w:t>
      </w:r>
      <w:r w:rsidRPr="006414E6">
        <w:rPr>
          <w:rFonts w:cs="Times New Roman"/>
        </w:rPr>
        <w:t xml:space="preserve">Hrvatskoj uvjetovan je razvojem tržišta plina i potrebom osiguravanja odgovarajuće razine sigurnosti opskrbe plinom. Potrebno je osigurati unutarnju operativnu sigurnost opskrbe plinom, kao i sigurnost dobave plina. Hrvatska se u ovom trenutku opskrbljuje plinom iz domaće proizvodnje i iz uvoza preko dobavnih pravaca iz Slovenije i Mađarske, a vršne potrebe zadovoljava opskrbom iz podzemnog skladišta plina </w:t>
      </w:r>
      <w:proofErr w:type="spellStart"/>
      <w:r w:rsidRPr="006414E6">
        <w:rPr>
          <w:rFonts w:cs="Times New Roman"/>
        </w:rPr>
        <w:t>Okoli</w:t>
      </w:r>
      <w:proofErr w:type="spellEnd"/>
      <w:r w:rsidRPr="006414E6">
        <w:rPr>
          <w:rFonts w:cs="Times New Roman"/>
        </w:rPr>
        <w:t>.</w:t>
      </w:r>
    </w:p>
    <w:p w14:paraId="741BDF18" w14:textId="77777777" w:rsidR="00744102" w:rsidRPr="006414E6" w:rsidRDefault="002019AF" w:rsidP="00532D93">
      <w:pPr>
        <w:rPr>
          <w:rFonts w:cs="Times New Roman"/>
        </w:rPr>
      </w:pPr>
      <w:r w:rsidRPr="006414E6">
        <w:rPr>
          <w:rFonts w:cs="Times New Roman"/>
        </w:rPr>
        <w:t>Republika Hrvatska</w:t>
      </w:r>
      <w:r w:rsidR="00744102" w:rsidRPr="006414E6">
        <w:rPr>
          <w:rFonts w:cs="Times New Roman"/>
        </w:rPr>
        <w:t xml:space="preserve"> trenutno bilježi trend smanjenja domaće proizvodnje prirodnog plina. U cilju zaustavljanja trenda smanjenja proizvodnje prirodnog plina potrebno je potaknuti dodatna ulaganja u postojeće proizvodne kapacitete te pokrenuti nova istraživanja.</w:t>
      </w:r>
    </w:p>
    <w:p w14:paraId="065AB254" w14:textId="77777777" w:rsidR="00532D93" w:rsidRPr="006414E6" w:rsidRDefault="00744102" w:rsidP="00532D93">
      <w:pPr>
        <w:rPr>
          <w:rFonts w:cs="Times New Roman"/>
        </w:rPr>
      </w:pPr>
      <w:r w:rsidRPr="006414E6">
        <w:rPr>
          <w:rFonts w:cs="Times New Roman"/>
        </w:rPr>
        <w:t xml:space="preserve">Daljnji razvoj </w:t>
      </w:r>
      <w:r w:rsidR="00532D93" w:rsidRPr="006414E6">
        <w:rPr>
          <w:rFonts w:cs="Times New Roman"/>
        </w:rPr>
        <w:t>transportn</w:t>
      </w:r>
      <w:r w:rsidRPr="006414E6">
        <w:rPr>
          <w:rFonts w:cs="Times New Roman"/>
        </w:rPr>
        <w:t>og</w:t>
      </w:r>
      <w:r w:rsidR="00532D93" w:rsidRPr="006414E6">
        <w:rPr>
          <w:rFonts w:cs="Times New Roman"/>
        </w:rPr>
        <w:t xml:space="preserve"> plinsk</w:t>
      </w:r>
      <w:r w:rsidRPr="006414E6">
        <w:rPr>
          <w:rFonts w:cs="Times New Roman"/>
        </w:rPr>
        <w:t>og</w:t>
      </w:r>
      <w:r w:rsidR="006248F9" w:rsidRPr="006414E6">
        <w:rPr>
          <w:rFonts w:cs="Times New Roman"/>
        </w:rPr>
        <w:t xml:space="preserve"> </w:t>
      </w:r>
      <w:r w:rsidR="00532D93" w:rsidRPr="006414E6">
        <w:rPr>
          <w:rFonts w:cs="Times New Roman"/>
        </w:rPr>
        <w:t>sustav</w:t>
      </w:r>
      <w:r w:rsidR="002019AF" w:rsidRPr="006414E6">
        <w:rPr>
          <w:rFonts w:cs="Times New Roman"/>
        </w:rPr>
        <w:t>a Republike Hrvatske</w:t>
      </w:r>
      <w:r w:rsidRPr="006414E6">
        <w:rPr>
          <w:rFonts w:cs="Times New Roman"/>
        </w:rPr>
        <w:t xml:space="preserve"> </w:t>
      </w:r>
      <w:r w:rsidR="00532D93" w:rsidRPr="006414E6">
        <w:rPr>
          <w:rFonts w:cs="Times New Roman"/>
        </w:rPr>
        <w:t>nužan je radi povećanja njegove tehničke sigurnosti,</w:t>
      </w:r>
      <w:r w:rsidR="006248F9" w:rsidRPr="006414E6">
        <w:rPr>
          <w:rFonts w:cs="Times New Roman"/>
        </w:rPr>
        <w:t xml:space="preserve"> </w:t>
      </w:r>
      <w:r w:rsidR="00532D93" w:rsidRPr="006414E6">
        <w:rPr>
          <w:rFonts w:cs="Times New Roman"/>
        </w:rPr>
        <w:t>pouzdanosti opskrbe, tržišne prilagođenosti i učinkovitosti. Dakle, osim što je nužno da</w:t>
      </w:r>
      <w:r w:rsidR="006248F9" w:rsidRPr="006414E6">
        <w:rPr>
          <w:rFonts w:cs="Times New Roman"/>
        </w:rPr>
        <w:t xml:space="preserve"> </w:t>
      </w:r>
      <w:r w:rsidR="00532D93" w:rsidRPr="006414E6">
        <w:rPr>
          <w:rFonts w:cs="Times New Roman"/>
        </w:rPr>
        <w:t>transportni plinski sustav, svojim kapacitetima i povezanošću s više izvora i pravaca dobave</w:t>
      </w:r>
      <w:r w:rsidR="006248F9" w:rsidRPr="006414E6">
        <w:rPr>
          <w:rFonts w:cs="Times New Roman"/>
        </w:rPr>
        <w:t xml:space="preserve"> </w:t>
      </w:r>
      <w:r w:rsidR="00532D93" w:rsidRPr="006414E6">
        <w:rPr>
          <w:rFonts w:cs="Times New Roman"/>
        </w:rPr>
        <w:t>prirodnog plina, omogući nesmetanu opskrbu i u izvanrednim uvjetima sustav mora omogućiti opskrbu po tržišno konkurentnim cijenama.</w:t>
      </w:r>
    </w:p>
    <w:p w14:paraId="75456407" w14:textId="77777777" w:rsidR="00744102" w:rsidRPr="006414E6" w:rsidRDefault="00744102" w:rsidP="007D728D">
      <w:pPr>
        <w:rPr>
          <w:rFonts w:cs="Times New Roman"/>
          <w:szCs w:val="24"/>
        </w:rPr>
      </w:pPr>
      <w:r w:rsidRPr="006414E6">
        <w:rPr>
          <w:rFonts w:cs="Times New Roman"/>
          <w:szCs w:val="24"/>
        </w:rPr>
        <w:t>Razvoj sustava za skladištenje prirodnog plina obuhvaća dogradnju postojećeg podzemnog skladišta plina, izgradnju i puštanje u rad novog (vršnog) podzemnog skladišta plina te potencijalnu izgradnju novog sezonskog skladišta plina sukladno mogućnostima i potrebama.</w:t>
      </w:r>
    </w:p>
    <w:p w14:paraId="6ED15757" w14:textId="77777777" w:rsidR="00887E3B" w:rsidRPr="006414E6" w:rsidRDefault="00797E3C" w:rsidP="007D728D">
      <w:pPr>
        <w:rPr>
          <w:rFonts w:cs="Times New Roman"/>
          <w:szCs w:val="24"/>
        </w:rPr>
      </w:pPr>
      <w:r w:rsidRPr="006414E6">
        <w:rPr>
          <w:rFonts w:cs="Times New Roman"/>
          <w:b/>
          <w:szCs w:val="24"/>
        </w:rPr>
        <w:t xml:space="preserve">Terminal za </w:t>
      </w:r>
      <w:r w:rsidR="00887E3B" w:rsidRPr="006414E6">
        <w:rPr>
          <w:rFonts w:cs="Times New Roman"/>
          <w:b/>
          <w:szCs w:val="24"/>
        </w:rPr>
        <w:t>ukapljeni prirodni plin</w:t>
      </w:r>
      <w:r w:rsidR="007D728D" w:rsidRPr="006414E6">
        <w:rPr>
          <w:rFonts w:cs="Times New Roman"/>
          <w:b/>
          <w:szCs w:val="24"/>
        </w:rPr>
        <w:t xml:space="preserve">. </w:t>
      </w:r>
      <w:r w:rsidR="00887E3B" w:rsidRPr="006414E6">
        <w:rPr>
          <w:rFonts w:cs="Times New Roman"/>
          <w:szCs w:val="24"/>
        </w:rPr>
        <w:t>Izgradnja terminala za ukapljeni prirodni plin (UPP) jed</w:t>
      </w:r>
      <w:r w:rsidR="002019AF" w:rsidRPr="006414E6">
        <w:rPr>
          <w:rFonts w:cs="Times New Roman"/>
          <w:szCs w:val="24"/>
        </w:rPr>
        <w:t xml:space="preserve">an je od strateških projekata </w:t>
      </w:r>
      <w:r w:rsidR="002019AF" w:rsidRPr="006414E6">
        <w:rPr>
          <w:rFonts w:cs="Times New Roman"/>
        </w:rPr>
        <w:t>Republike Hrvatske</w:t>
      </w:r>
      <w:r w:rsidR="00887E3B" w:rsidRPr="006414E6">
        <w:rPr>
          <w:rFonts w:cs="Times New Roman"/>
          <w:szCs w:val="24"/>
        </w:rPr>
        <w:t>. Osnovna namjena terminala za UPP je prihvat posebnih brodova za prijevoz UPP-a, pretakanje UPP-a u spremnike, skladištenje, isparavanje i isporuka prirodnog plina u plinovodnu mrežu i za distribuciju plina u brodskom prometu (</w:t>
      </w:r>
      <w:proofErr w:type="spellStart"/>
      <w:r w:rsidR="00887E3B" w:rsidRPr="006414E6">
        <w:rPr>
          <w:rFonts w:cs="Times New Roman"/>
          <w:szCs w:val="24"/>
        </w:rPr>
        <w:t>bunkering</w:t>
      </w:r>
      <w:proofErr w:type="spellEnd"/>
      <w:r w:rsidR="00887E3B" w:rsidRPr="006414E6">
        <w:rPr>
          <w:rFonts w:cs="Times New Roman"/>
          <w:szCs w:val="24"/>
        </w:rPr>
        <w:t xml:space="preserve">). </w:t>
      </w:r>
    </w:p>
    <w:p w14:paraId="45AFCE91" w14:textId="77777777" w:rsidR="00797E3C" w:rsidRPr="006414E6" w:rsidRDefault="00797E3C" w:rsidP="007D728D">
      <w:pPr>
        <w:rPr>
          <w:rFonts w:cs="Times New Roman"/>
          <w:szCs w:val="24"/>
        </w:rPr>
      </w:pPr>
      <w:r w:rsidRPr="006414E6">
        <w:rPr>
          <w:rFonts w:cs="Times New Roman"/>
          <w:szCs w:val="24"/>
        </w:rPr>
        <w:t>Tvrtka LNG Hrvatska d.o.o. je osnovana s namjerom izgradnje i upravljanja infrastrukture</w:t>
      </w:r>
      <w:r w:rsidR="00887E3B" w:rsidRPr="006414E6">
        <w:rPr>
          <w:rFonts w:cs="Times New Roman"/>
          <w:szCs w:val="24"/>
        </w:rPr>
        <w:t xml:space="preserve"> </w:t>
      </w:r>
      <w:r w:rsidRPr="006414E6">
        <w:rPr>
          <w:rFonts w:cs="Times New Roman"/>
          <w:szCs w:val="24"/>
        </w:rPr>
        <w:t xml:space="preserve">potrebne za prihvat, skladištenje i uplinjavanje </w:t>
      </w:r>
      <w:proofErr w:type="spellStart"/>
      <w:r w:rsidRPr="006414E6">
        <w:rPr>
          <w:rFonts w:cs="Times New Roman"/>
          <w:szCs w:val="24"/>
        </w:rPr>
        <w:t>UPP</w:t>
      </w:r>
      <w:proofErr w:type="spellEnd"/>
      <w:r w:rsidRPr="006414E6">
        <w:rPr>
          <w:rFonts w:cs="Times New Roman"/>
          <w:szCs w:val="24"/>
        </w:rPr>
        <w:t>-a. Terminal za UPP nalazit će se u općini</w:t>
      </w:r>
    </w:p>
    <w:p w14:paraId="04946A5E" w14:textId="77777777" w:rsidR="00797E3C" w:rsidRPr="006414E6" w:rsidRDefault="00797E3C" w:rsidP="007D728D">
      <w:pPr>
        <w:rPr>
          <w:rFonts w:cs="Times New Roman"/>
          <w:szCs w:val="24"/>
        </w:rPr>
      </w:pPr>
      <w:r w:rsidRPr="006414E6">
        <w:rPr>
          <w:rFonts w:cs="Times New Roman"/>
          <w:szCs w:val="24"/>
        </w:rPr>
        <w:t>Omišalj na otoku Krku. Projekt je važan čimbenik diversifikacije opskrbe prirodnim plinom i</w:t>
      </w:r>
      <w:r w:rsidR="00887E3B" w:rsidRPr="006414E6">
        <w:rPr>
          <w:rFonts w:cs="Times New Roman"/>
          <w:szCs w:val="24"/>
        </w:rPr>
        <w:t xml:space="preserve"> </w:t>
      </w:r>
      <w:r w:rsidRPr="006414E6">
        <w:rPr>
          <w:rFonts w:cs="Times New Roman"/>
          <w:szCs w:val="24"/>
        </w:rPr>
        <w:t>povećanja sigurnosti opskrbe u srednjoj i jugoistočnoj Europi.</w:t>
      </w:r>
    </w:p>
    <w:p w14:paraId="30EECEBC" w14:textId="77777777" w:rsidR="00887E3B" w:rsidRPr="006414E6" w:rsidRDefault="00797E3C" w:rsidP="007D728D">
      <w:pPr>
        <w:rPr>
          <w:rFonts w:cs="Times New Roman"/>
          <w:szCs w:val="24"/>
        </w:rPr>
      </w:pPr>
      <w:r w:rsidRPr="006414E6">
        <w:rPr>
          <w:rFonts w:cs="Times New Roman"/>
          <w:szCs w:val="24"/>
        </w:rPr>
        <w:t>Veličina terminala za UPP ovisi o zainteresiranosti tržišta te je u prvoj fazi planirana izgradnja</w:t>
      </w:r>
      <w:r w:rsidR="00887E3B" w:rsidRPr="006414E6">
        <w:rPr>
          <w:rFonts w:cs="Times New Roman"/>
          <w:szCs w:val="24"/>
        </w:rPr>
        <w:t xml:space="preserve"> </w:t>
      </w:r>
      <w:r w:rsidRPr="006414E6">
        <w:rPr>
          <w:rFonts w:cs="Times New Roman"/>
          <w:szCs w:val="24"/>
        </w:rPr>
        <w:t xml:space="preserve">FSRU broda (engl. </w:t>
      </w:r>
      <w:proofErr w:type="spellStart"/>
      <w:r w:rsidRPr="006414E6">
        <w:rPr>
          <w:rFonts w:cs="Times New Roman"/>
          <w:i/>
          <w:szCs w:val="24"/>
        </w:rPr>
        <w:t>floating</w:t>
      </w:r>
      <w:proofErr w:type="spellEnd"/>
      <w:r w:rsidRPr="006414E6">
        <w:rPr>
          <w:rFonts w:cs="Times New Roman"/>
          <w:i/>
          <w:szCs w:val="24"/>
        </w:rPr>
        <w:t xml:space="preserve"> </w:t>
      </w:r>
      <w:proofErr w:type="spellStart"/>
      <w:r w:rsidRPr="006414E6">
        <w:rPr>
          <w:rFonts w:cs="Times New Roman"/>
          <w:i/>
          <w:szCs w:val="24"/>
        </w:rPr>
        <w:t>storage</w:t>
      </w:r>
      <w:proofErr w:type="spellEnd"/>
      <w:r w:rsidRPr="006414E6">
        <w:rPr>
          <w:rFonts w:cs="Times New Roman"/>
          <w:i/>
          <w:szCs w:val="24"/>
        </w:rPr>
        <w:t xml:space="preserve"> and </w:t>
      </w:r>
      <w:proofErr w:type="spellStart"/>
      <w:r w:rsidRPr="006414E6">
        <w:rPr>
          <w:rFonts w:cs="Times New Roman"/>
          <w:i/>
          <w:szCs w:val="24"/>
        </w:rPr>
        <w:t>regasification</w:t>
      </w:r>
      <w:proofErr w:type="spellEnd"/>
      <w:r w:rsidRPr="006414E6">
        <w:rPr>
          <w:rFonts w:cs="Times New Roman"/>
          <w:i/>
          <w:szCs w:val="24"/>
        </w:rPr>
        <w:t xml:space="preserve"> </w:t>
      </w:r>
      <w:proofErr w:type="spellStart"/>
      <w:r w:rsidRPr="006414E6">
        <w:rPr>
          <w:rFonts w:cs="Times New Roman"/>
          <w:i/>
          <w:szCs w:val="24"/>
        </w:rPr>
        <w:t>unit</w:t>
      </w:r>
      <w:proofErr w:type="spellEnd"/>
      <w:r w:rsidRPr="006414E6">
        <w:rPr>
          <w:rFonts w:cs="Times New Roman"/>
          <w:szCs w:val="24"/>
        </w:rPr>
        <w:t>, brod za skladištenje i uplinjavanje</w:t>
      </w:r>
      <w:r w:rsidR="00887E3B" w:rsidRPr="006414E6">
        <w:rPr>
          <w:rFonts w:cs="Times New Roman"/>
          <w:szCs w:val="24"/>
        </w:rPr>
        <w:t xml:space="preserve"> </w:t>
      </w:r>
      <w:r w:rsidRPr="006414E6">
        <w:rPr>
          <w:rFonts w:cs="Times New Roman"/>
          <w:szCs w:val="24"/>
        </w:rPr>
        <w:t xml:space="preserve">plina) čija će </w:t>
      </w:r>
      <w:r w:rsidRPr="006414E6">
        <w:rPr>
          <w:rFonts w:cs="Times New Roman"/>
          <w:szCs w:val="24"/>
        </w:rPr>
        <w:lastRenderedPageBreak/>
        <w:t>maksimalna godišnja isporuka prirodnog plina iznositi do 2,6 milijarde kubičnih</w:t>
      </w:r>
      <w:r w:rsidR="00887E3B" w:rsidRPr="006414E6">
        <w:rPr>
          <w:rFonts w:cs="Times New Roman"/>
          <w:szCs w:val="24"/>
        </w:rPr>
        <w:t xml:space="preserve"> </w:t>
      </w:r>
      <w:r w:rsidRPr="006414E6">
        <w:rPr>
          <w:rFonts w:cs="Times New Roman"/>
          <w:szCs w:val="24"/>
        </w:rPr>
        <w:t>metara. Planirani maksimalni kapacitet isporuke prirodnog plina iz terminala, a posredno i</w:t>
      </w:r>
      <w:r w:rsidR="00887E3B" w:rsidRPr="006414E6">
        <w:rPr>
          <w:rFonts w:cs="Times New Roman"/>
          <w:szCs w:val="24"/>
        </w:rPr>
        <w:t xml:space="preserve"> </w:t>
      </w:r>
      <w:r w:rsidRPr="006414E6">
        <w:rPr>
          <w:rFonts w:cs="Times New Roman"/>
          <w:szCs w:val="24"/>
        </w:rPr>
        <w:t>njegova veličina i kapacitet, uvjetovan je maksimalnim kapacitetom plinovodnog sustava</w:t>
      </w:r>
      <w:r w:rsidR="00887E3B" w:rsidRPr="006414E6">
        <w:rPr>
          <w:rFonts w:cs="Times New Roman"/>
          <w:szCs w:val="24"/>
        </w:rPr>
        <w:t>.</w:t>
      </w:r>
    </w:p>
    <w:p w14:paraId="7998B1B9" w14:textId="77777777" w:rsidR="005B3E0E" w:rsidRPr="006414E6" w:rsidRDefault="005B3E0E" w:rsidP="007D728D">
      <w:pPr>
        <w:rPr>
          <w:rFonts w:cs="Times New Roman"/>
          <w:szCs w:val="24"/>
        </w:rPr>
      </w:pPr>
      <w:r w:rsidRPr="006414E6">
        <w:rPr>
          <w:rFonts w:cs="Times New Roman"/>
          <w:szCs w:val="24"/>
        </w:rPr>
        <w:t>Planirano puštanje terminala za UPP u pogon je početkom 2021. godine.</w:t>
      </w:r>
    </w:p>
    <w:p w14:paraId="45472ED4" w14:textId="3043A14F" w:rsidR="00FF1E90" w:rsidRPr="006414E6" w:rsidRDefault="001241B9" w:rsidP="00EE3488">
      <w:pPr>
        <w:pStyle w:val="Heading3"/>
      </w:pPr>
      <w:bookmarkStart w:id="236" w:name="_Toc39133284"/>
      <w:r w:rsidRPr="006414E6">
        <w:t>6.</w:t>
      </w:r>
      <w:r w:rsidR="00FF1E90" w:rsidRPr="006414E6">
        <w:t xml:space="preserve">2.3. Smjernice za </w:t>
      </w:r>
      <w:proofErr w:type="spellStart"/>
      <w:r w:rsidR="00FF1E90" w:rsidRPr="006414E6">
        <w:t>niskougljični</w:t>
      </w:r>
      <w:proofErr w:type="spellEnd"/>
      <w:r w:rsidR="00FF1E90" w:rsidRPr="006414E6">
        <w:t xml:space="preserve"> razvoj</w:t>
      </w:r>
      <w:bookmarkEnd w:id="236"/>
    </w:p>
    <w:p w14:paraId="5C6E35B7" w14:textId="77777777" w:rsidR="000961F5" w:rsidRPr="006414E6" w:rsidRDefault="000961F5" w:rsidP="000961F5">
      <w:pPr>
        <w:rPr>
          <w:rFonts w:cs="Times New Roman"/>
          <w:u w:val="single"/>
        </w:rPr>
      </w:pPr>
      <w:r w:rsidRPr="006414E6">
        <w:rPr>
          <w:rFonts w:cs="Times New Roman"/>
          <w:u w:val="single"/>
        </w:rPr>
        <w:t>Do 2030. godine</w:t>
      </w:r>
    </w:p>
    <w:p w14:paraId="6DE3E52A" w14:textId="77777777" w:rsidR="000961F5" w:rsidRPr="006414E6" w:rsidRDefault="000961F5" w:rsidP="003A2F37">
      <w:pPr>
        <w:pStyle w:val="ListParagraph"/>
        <w:numPr>
          <w:ilvl w:val="0"/>
          <w:numId w:val="59"/>
        </w:numPr>
        <w:spacing w:line="240" w:lineRule="auto"/>
        <w:rPr>
          <w:rFonts w:eastAsia="Times New Roman" w:cs="Times New Roman"/>
          <w:lang w:eastAsia="hr-HR"/>
        </w:rPr>
      </w:pPr>
      <w:r w:rsidRPr="006414E6">
        <w:rPr>
          <w:rFonts w:eastAsia="Times New Roman" w:cs="Times New Roman"/>
          <w:lang w:eastAsia="hr-HR"/>
        </w:rPr>
        <w:t>Smanjena potražnja za tekućim fosilnim gorivom u rafinerijama mogla bi dovesti do viška rafinerijskih kapaciteta i pojačane međunarodne konkurencije - važna je učinkovitost i optimizacija rada rafinerija; u cilju očuvanja konkurentnosti.</w:t>
      </w:r>
    </w:p>
    <w:p w14:paraId="5ADB7929" w14:textId="77777777" w:rsidR="000961F5" w:rsidRPr="006414E6" w:rsidRDefault="000961F5" w:rsidP="003A2F37">
      <w:pPr>
        <w:pStyle w:val="ListParagraph"/>
        <w:numPr>
          <w:ilvl w:val="0"/>
          <w:numId w:val="59"/>
        </w:numPr>
        <w:spacing w:line="240" w:lineRule="auto"/>
        <w:rPr>
          <w:rFonts w:eastAsia="Times New Roman" w:cs="Times New Roman"/>
          <w:lang w:eastAsia="hr-HR"/>
        </w:rPr>
      </w:pPr>
      <w:r w:rsidRPr="006414E6">
        <w:rPr>
          <w:rFonts w:eastAsia="Times New Roman" w:cs="Times New Roman"/>
          <w:lang w:eastAsia="hr-HR"/>
        </w:rPr>
        <w:t>Porast potrošnje tekućih biogoriva potencijalno otvara priliku postojećim rafinerijama za proširenje djelatnosti na napredna biogoriva - potrebno je provesti dodatne analize mogućnosti i isplativosti ovakvih projekata.</w:t>
      </w:r>
    </w:p>
    <w:p w14:paraId="30C4124E" w14:textId="77777777" w:rsidR="000961F5" w:rsidRPr="006414E6" w:rsidRDefault="000961F5" w:rsidP="003A2F37">
      <w:pPr>
        <w:pStyle w:val="ListParagraph"/>
        <w:numPr>
          <w:ilvl w:val="0"/>
          <w:numId w:val="59"/>
        </w:numPr>
        <w:spacing w:line="240" w:lineRule="auto"/>
        <w:rPr>
          <w:rFonts w:eastAsia="Times New Roman" w:cs="Times New Roman"/>
          <w:lang w:eastAsia="hr-HR"/>
        </w:rPr>
      </w:pPr>
      <w:r w:rsidRPr="006414E6">
        <w:rPr>
          <w:rFonts w:eastAsia="Times New Roman" w:cs="Times New Roman"/>
          <w:lang w:eastAsia="hr-HR"/>
        </w:rPr>
        <w:t>Analizirati mogućnost proizvodnje vodika i sintetskih goriva u kontekstu regulacije elektroenergetskog sustava i korištenja u plinskom sustavu i prometu.</w:t>
      </w:r>
    </w:p>
    <w:p w14:paraId="101D7AE1" w14:textId="77777777" w:rsidR="000961F5" w:rsidRPr="006414E6" w:rsidRDefault="000961F5" w:rsidP="000961F5">
      <w:pPr>
        <w:rPr>
          <w:rFonts w:eastAsia="Times New Roman" w:cs="Times New Roman"/>
          <w:u w:val="single"/>
          <w:lang w:eastAsia="hr-HR"/>
        </w:rPr>
      </w:pPr>
      <w:r w:rsidRPr="006414E6">
        <w:rPr>
          <w:rFonts w:eastAsia="Times New Roman" w:cs="Times New Roman"/>
          <w:u w:val="single"/>
          <w:lang w:eastAsia="hr-HR"/>
        </w:rPr>
        <w:t>Do 2050. godine</w:t>
      </w:r>
    </w:p>
    <w:p w14:paraId="4D390D9A" w14:textId="77777777" w:rsidR="000961F5" w:rsidRPr="006414E6" w:rsidRDefault="000961F5" w:rsidP="003A2F37">
      <w:pPr>
        <w:pStyle w:val="ListParagraph"/>
        <w:numPr>
          <w:ilvl w:val="0"/>
          <w:numId w:val="60"/>
        </w:numPr>
        <w:spacing w:line="240" w:lineRule="auto"/>
        <w:rPr>
          <w:rFonts w:eastAsia="MS Mincho" w:cs="Times New Roman"/>
          <w:lang w:eastAsia="hr-HR"/>
        </w:rPr>
      </w:pPr>
      <w:r w:rsidRPr="006414E6">
        <w:rPr>
          <w:rFonts w:eastAsia="Times New Roman" w:cs="Times New Roman"/>
          <w:bCs/>
          <w:lang w:eastAsia="hr-HR"/>
        </w:rPr>
        <w:t xml:space="preserve">Potrebno je poticati ugradnju mjera za smanjenje emisija iz baklji (regeneracija metana, ugradnja baklji sa velikom </w:t>
      </w:r>
      <w:r w:rsidRPr="006414E6">
        <w:rPr>
          <w:rFonts w:cs="Times New Roman"/>
          <w:lang w:eastAsia="hr-HR"/>
        </w:rPr>
        <w:t>efikasnošću te izdvajanje proizvedenog CO</w:t>
      </w:r>
      <w:r w:rsidRPr="006414E6">
        <w:rPr>
          <w:rFonts w:cs="Times New Roman"/>
          <w:vertAlign w:val="subscript"/>
          <w:lang w:eastAsia="hr-HR"/>
        </w:rPr>
        <w:t>2</w:t>
      </w:r>
      <w:r w:rsidRPr="006414E6">
        <w:rPr>
          <w:rFonts w:cs="Times New Roman"/>
          <w:lang w:eastAsia="hr-HR"/>
        </w:rPr>
        <w:t xml:space="preserve">). </w:t>
      </w:r>
    </w:p>
    <w:p w14:paraId="20CBB5C6" w14:textId="77777777" w:rsidR="000961F5" w:rsidRPr="006414E6" w:rsidRDefault="000961F5" w:rsidP="003A2F37">
      <w:pPr>
        <w:pStyle w:val="ListParagraph"/>
        <w:numPr>
          <w:ilvl w:val="0"/>
          <w:numId w:val="60"/>
        </w:numPr>
        <w:spacing w:line="240" w:lineRule="auto"/>
        <w:rPr>
          <w:rFonts w:eastAsia="Times New Roman" w:cs="Times New Roman"/>
          <w:bCs/>
          <w:lang w:eastAsia="hr-HR"/>
        </w:rPr>
      </w:pPr>
      <w:r w:rsidRPr="006414E6">
        <w:rPr>
          <w:rFonts w:cs="Times New Roman"/>
          <w:lang w:eastAsia="hr-HR"/>
        </w:rPr>
        <w:t>Potrebno je p</w:t>
      </w:r>
      <w:r w:rsidRPr="006414E6">
        <w:rPr>
          <w:rFonts w:eastAsia="Times New Roman" w:cs="Times New Roman"/>
          <w:bCs/>
          <w:lang w:eastAsia="hr-HR"/>
        </w:rPr>
        <w:t>oticati mjere kojima bi se u potpunosti spriječilo odzračivanje.</w:t>
      </w:r>
    </w:p>
    <w:p w14:paraId="420924D4" w14:textId="77777777" w:rsidR="000961F5" w:rsidRPr="006414E6" w:rsidRDefault="000961F5" w:rsidP="003A2F37">
      <w:pPr>
        <w:pStyle w:val="ListParagraph"/>
        <w:numPr>
          <w:ilvl w:val="0"/>
          <w:numId w:val="60"/>
        </w:numPr>
        <w:spacing w:line="240" w:lineRule="auto"/>
        <w:rPr>
          <w:rFonts w:eastAsia="Times New Roman" w:cs="Times New Roman"/>
          <w:bCs/>
          <w:lang w:eastAsia="hr-HR"/>
        </w:rPr>
      </w:pPr>
      <w:r w:rsidRPr="006414E6">
        <w:rPr>
          <w:rFonts w:eastAsia="Times New Roman" w:cs="Times New Roman"/>
          <w:bCs/>
          <w:lang w:eastAsia="hr-HR"/>
        </w:rPr>
        <w:t>Potrebno je poticati mjere kojima bi se curenje plina prilikom distribucije svelo na minimum.</w:t>
      </w:r>
    </w:p>
    <w:p w14:paraId="73D69FD2" w14:textId="77777777" w:rsidR="000961F5" w:rsidRPr="006414E6" w:rsidRDefault="000961F5" w:rsidP="003A2F37">
      <w:pPr>
        <w:pStyle w:val="ListParagraph"/>
        <w:numPr>
          <w:ilvl w:val="0"/>
          <w:numId w:val="60"/>
        </w:numPr>
        <w:spacing w:line="240" w:lineRule="auto"/>
        <w:rPr>
          <w:rFonts w:eastAsia="MS Mincho" w:cs="Times New Roman"/>
          <w:lang w:eastAsia="ja-JP"/>
        </w:rPr>
      </w:pPr>
      <w:r w:rsidRPr="006414E6">
        <w:rPr>
          <w:rFonts w:cs="Times New Roman"/>
        </w:rPr>
        <w:t>U scenariju provedbe mjera za smanjenje emisija u prometu može se očekivati nastavak trenda smanjenja potražnje za tekućim fosilnim gorivima - opstanak rafinerija ovisiti će o međunarodnoj konkurentnosti te o sposobnosti za razvoj novih djelatnosti kao što su proizvodnja biogoriva, vodika ili sintetičkih goriva.</w:t>
      </w:r>
    </w:p>
    <w:p w14:paraId="19FA9999" w14:textId="77777777" w:rsidR="005536C1" w:rsidRPr="00F130BE" w:rsidRDefault="000E5653" w:rsidP="00EE3488">
      <w:pPr>
        <w:pStyle w:val="Heading2"/>
      </w:pPr>
      <w:bookmarkStart w:id="237" w:name="_Toc39133285"/>
      <w:r w:rsidRPr="00F130BE">
        <w:t>6.3.</w:t>
      </w:r>
      <w:r w:rsidR="005536C1" w:rsidRPr="00F130BE">
        <w:tab/>
        <w:t>PROMET</w:t>
      </w:r>
      <w:bookmarkEnd w:id="237"/>
    </w:p>
    <w:p w14:paraId="51DCC0C4" w14:textId="77777777" w:rsidR="005536C1" w:rsidRPr="006414E6" w:rsidRDefault="000E5653" w:rsidP="00EE3488">
      <w:pPr>
        <w:pStyle w:val="Heading3"/>
      </w:pPr>
      <w:bookmarkStart w:id="238" w:name="_Toc39133286"/>
      <w:r w:rsidRPr="006414E6">
        <w:t>6.3.1.</w:t>
      </w:r>
      <w:r w:rsidRPr="006414E6">
        <w:tab/>
      </w:r>
      <w:r w:rsidR="005536C1" w:rsidRPr="006414E6">
        <w:t>Emisije</w:t>
      </w:r>
      <w:r w:rsidR="007319A7" w:rsidRPr="006414E6">
        <w:t xml:space="preserve"> stakleničkih plinova</w:t>
      </w:r>
      <w:bookmarkEnd w:id="238"/>
    </w:p>
    <w:p w14:paraId="3E4CC867" w14:textId="57D1B3D9" w:rsidR="00740D3B" w:rsidRPr="006414E6" w:rsidRDefault="00937CED" w:rsidP="00F130BE">
      <w:pPr>
        <w:rPr>
          <w:rFonts w:cs="Times New Roman"/>
        </w:rPr>
      </w:pPr>
      <w:bookmarkStart w:id="239" w:name="_Hlk38268959"/>
      <w:bookmarkStart w:id="240" w:name="_Hlk36802270"/>
      <w:r w:rsidRPr="006414E6">
        <w:rPr>
          <w:rFonts w:cs="Times New Roman"/>
        </w:rPr>
        <w:t>U 2018. godini, p</w:t>
      </w:r>
      <w:r w:rsidR="00740D3B" w:rsidRPr="006414E6">
        <w:rPr>
          <w:rFonts w:cs="Times New Roman"/>
        </w:rPr>
        <w:t xml:space="preserve">romet </w:t>
      </w:r>
      <w:r w:rsidRPr="006414E6">
        <w:rPr>
          <w:rFonts w:cs="Times New Roman"/>
        </w:rPr>
        <w:t xml:space="preserve">je </w:t>
      </w:r>
      <w:r w:rsidR="00740D3B" w:rsidRPr="006414E6">
        <w:rPr>
          <w:rFonts w:cs="Times New Roman"/>
        </w:rPr>
        <w:t>čini</w:t>
      </w:r>
      <w:r w:rsidRPr="006414E6">
        <w:rPr>
          <w:rFonts w:cs="Times New Roman"/>
        </w:rPr>
        <w:t>o</w:t>
      </w:r>
      <w:r w:rsidR="00740D3B" w:rsidRPr="006414E6">
        <w:rPr>
          <w:rFonts w:cs="Times New Roman"/>
        </w:rPr>
        <w:t xml:space="preserve"> 2</w:t>
      </w:r>
      <w:r w:rsidR="00462811" w:rsidRPr="006414E6">
        <w:rPr>
          <w:rFonts w:cs="Times New Roman"/>
        </w:rPr>
        <w:t>7</w:t>
      </w:r>
      <w:r w:rsidR="00740D3B" w:rsidRPr="006414E6">
        <w:rPr>
          <w:rFonts w:cs="Times New Roman"/>
        </w:rPr>
        <w:t xml:space="preserve">% ukupnih emisije stakleničkih plinova, </w:t>
      </w:r>
      <w:r w:rsidR="00BC7ADA" w:rsidRPr="006414E6">
        <w:rPr>
          <w:rFonts w:cs="Times New Roman"/>
        </w:rPr>
        <w:t xml:space="preserve">a </w:t>
      </w:r>
      <w:r w:rsidR="00740D3B" w:rsidRPr="006414E6">
        <w:rPr>
          <w:rFonts w:cs="Times New Roman"/>
        </w:rPr>
        <w:t xml:space="preserve">od toga cestovni putnički promet </w:t>
      </w:r>
      <w:r w:rsidR="00462811" w:rsidRPr="006414E6">
        <w:rPr>
          <w:rFonts w:cs="Times New Roman"/>
        </w:rPr>
        <w:t>71,6</w:t>
      </w:r>
      <w:r w:rsidR="00740D3B" w:rsidRPr="006414E6">
        <w:rPr>
          <w:rFonts w:cs="Times New Roman"/>
        </w:rPr>
        <w:t>%, cestovni teretni promet 2</w:t>
      </w:r>
      <w:r w:rsidR="00462811" w:rsidRPr="006414E6">
        <w:rPr>
          <w:rFonts w:cs="Times New Roman"/>
        </w:rPr>
        <w:t>4,7</w:t>
      </w:r>
      <w:r w:rsidR="00740D3B" w:rsidRPr="006414E6">
        <w:rPr>
          <w:rFonts w:cs="Times New Roman"/>
        </w:rPr>
        <w:t xml:space="preserve">%, željeznički promet </w:t>
      </w:r>
      <w:r w:rsidR="00462811" w:rsidRPr="006414E6">
        <w:rPr>
          <w:rFonts w:cs="Times New Roman"/>
        </w:rPr>
        <w:t>0,8</w:t>
      </w:r>
      <w:r w:rsidR="00740D3B" w:rsidRPr="006414E6">
        <w:rPr>
          <w:rFonts w:cs="Times New Roman"/>
        </w:rPr>
        <w:t>%, pomorski i riječni promet 2,</w:t>
      </w:r>
      <w:r w:rsidR="00462811" w:rsidRPr="006414E6">
        <w:rPr>
          <w:rFonts w:cs="Times New Roman"/>
        </w:rPr>
        <w:t>4</w:t>
      </w:r>
      <w:r w:rsidR="00740D3B" w:rsidRPr="006414E6">
        <w:rPr>
          <w:rFonts w:cs="Times New Roman"/>
        </w:rPr>
        <w:t xml:space="preserve">% te domaći zračni promet 0,5%. Sektor prometa </w:t>
      </w:r>
      <w:r w:rsidRPr="006414E6">
        <w:rPr>
          <w:rFonts w:cs="Times New Roman"/>
        </w:rPr>
        <w:t xml:space="preserve">je </w:t>
      </w:r>
      <w:r w:rsidR="00740D3B" w:rsidRPr="006414E6">
        <w:rPr>
          <w:rFonts w:cs="Times New Roman"/>
        </w:rPr>
        <w:t>ima</w:t>
      </w:r>
      <w:r w:rsidRPr="006414E6">
        <w:rPr>
          <w:rFonts w:cs="Times New Roman"/>
        </w:rPr>
        <w:t>o</w:t>
      </w:r>
      <w:r w:rsidR="00740D3B" w:rsidRPr="006414E6">
        <w:rPr>
          <w:rFonts w:cs="Times New Roman"/>
        </w:rPr>
        <w:t xml:space="preserve"> u 201</w:t>
      </w:r>
      <w:r w:rsidR="00462811" w:rsidRPr="006414E6">
        <w:rPr>
          <w:rFonts w:cs="Times New Roman"/>
        </w:rPr>
        <w:t>8</w:t>
      </w:r>
      <w:r w:rsidR="00740D3B" w:rsidRPr="006414E6">
        <w:rPr>
          <w:rFonts w:cs="Times New Roman"/>
        </w:rPr>
        <w:t xml:space="preserve">. godini emisiju veću od emisije u 1990. godini za </w:t>
      </w:r>
      <w:r w:rsidR="00462811" w:rsidRPr="006414E6">
        <w:rPr>
          <w:rFonts w:cs="Times New Roman"/>
        </w:rPr>
        <w:t>60,4</w:t>
      </w:r>
      <w:r w:rsidR="00740D3B" w:rsidRPr="006414E6">
        <w:rPr>
          <w:rFonts w:cs="Times New Roman"/>
        </w:rPr>
        <w:t xml:space="preserve">%. Oko 90% emisija domaćeg zračnog prometa je </w:t>
      </w:r>
      <w:bookmarkStart w:id="241" w:name="_Hlk38268973"/>
      <w:bookmarkEnd w:id="239"/>
      <w:r w:rsidR="00740D3B" w:rsidRPr="006414E6">
        <w:rPr>
          <w:rFonts w:cs="Times New Roman"/>
        </w:rPr>
        <w:t>obuhvaćeno ETS-om, odnosno manje od 0,</w:t>
      </w:r>
      <w:r w:rsidR="00462811" w:rsidRPr="006414E6">
        <w:rPr>
          <w:rFonts w:cs="Times New Roman"/>
        </w:rPr>
        <w:t>4</w:t>
      </w:r>
      <w:r w:rsidR="00740D3B" w:rsidRPr="006414E6">
        <w:rPr>
          <w:rFonts w:cs="Times New Roman"/>
        </w:rPr>
        <w:t xml:space="preserve">% emisija iz sektora prometa. </w:t>
      </w:r>
      <w:bookmarkEnd w:id="241"/>
      <w:r w:rsidR="00740D3B" w:rsidRPr="006414E6">
        <w:rPr>
          <w:rFonts w:cs="Times New Roman"/>
        </w:rPr>
        <w:t>Time je odgovornost za smanjenje emisija u sektoru prometa prvenstveno na državama članicama.</w:t>
      </w:r>
    </w:p>
    <w:bookmarkEnd w:id="240"/>
    <w:p w14:paraId="75F10781" w14:textId="29740DB3" w:rsidR="006E52C2" w:rsidRPr="006414E6" w:rsidRDefault="00363E02" w:rsidP="006E52C2">
      <w:pPr>
        <w:rPr>
          <w:rFonts w:cs="Times New Roman"/>
        </w:rPr>
      </w:pPr>
      <w:r w:rsidRPr="006414E6">
        <w:rPr>
          <w:rFonts w:cs="Times New Roman"/>
        </w:rPr>
        <w:t xml:space="preserve">U </w:t>
      </w:r>
      <w:proofErr w:type="spellStart"/>
      <w:r w:rsidRPr="006414E6">
        <w:rPr>
          <w:rFonts w:cs="Times New Roman"/>
        </w:rPr>
        <w:t>ni</w:t>
      </w:r>
      <w:r w:rsidR="00BC7ADA" w:rsidRPr="006414E6">
        <w:rPr>
          <w:rFonts w:cs="Times New Roman"/>
        </w:rPr>
        <w:t>skougljičnim</w:t>
      </w:r>
      <w:proofErr w:type="spellEnd"/>
      <w:r w:rsidR="00BC7ADA" w:rsidRPr="006414E6">
        <w:rPr>
          <w:rFonts w:cs="Times New Roman"/>
        </w:rPr>
        <w:t xml:space="preserve"> scenarijima NU1 i NU2, </w:t>
      </w:r>
      <w:r w:rsidR="006E52C2" w:rsidRPr="006414E6">
        <w:rPr>
          <w:rFonts w:cs="Times New Roman"/>
        </w:rPr>
        <w:t>u odnosu na 1990. godinu</w:t>
      </w:r>
      <w:r w:rsidR="00BC7ADA" w:rsidRPr="006414E6">
        <w:rPr>
          <w:rFonts w:cs="Times New Roman"/>
        </w:rPr>
        <w:t>,</w:t>
      </w:r>
      <w:r w:rsidR="006E52C2" w:rsidRPr="006414E6">
        <w:rPr>
          <w:rFonts w:cs="Times New Roman"/>
        </w:rPr>
        <w:t xml:space="preserve"> </w:t>
      </w:r>
      <w:r w:rsidR="00B80F8B" w:rsidRPr="006414E6">
        <w:rPr>
          <w:rFonts w:cs="Times New Roman"/>
        </w:rPr>
        <w:t xml:space="preserve">usprkos mjerama dolazi do </w:t>
      </w:r>
      <w:r w:rsidR="006E52C2" w:rsidRPr="006414E6">
        <w:rPr>
          <w:rFonts w:cs="Times New Roman"/>
        </w:rPr>
        <w:t>povećanj</w:t>
      </w:r>
      <w:r w:rsidR="00B80F8B" w:rsidRPr="006414E6">
        <w:rPr>
          <w:rFonts w:cs="Times New Roman"/>
        </w:rPr>
        <w:t>a</w:t>
      </w:r>
      <w:r w:rsidR="006E52C2" w:rsidRPr="006414E6">
        <w:rPr>
          <w:rFonts w:cs="Times New Roman"/>
        </w:rPr>
        <w:t xml:space="preserve"> emisije za 51,4%</w:t>
      </w:r>
      <w:r w:rsidR="00B840DF" w:rsidRPr="006414E6">
        <w:rPr>
          <w:rFonts w:cs="Times New Roman"/>
        </w:rPr>
        <w:t>,</w:t>
      </w:r>
      <w:r w:rsidR="006E52C2" w:rsidRPr="006414E6">
        <w:rPr>
          <w:rFonts w:cs="Times New Roman"/>
        </w:rPr>
        <w:t xml:space="preserve"> </w:t>
      </w:r>
      <w:r w:rsidR="00BC7ADA" w:rsidRPr="006414E6">
        <w:rPr>
          <w:rFonts w:cs="Times New Roman"/>
        </w:rPr>
        <w:t xml:space="preserve">odnosno </w:t>
      </w:r>
      <w:r w:rsidR="006E52C2" w:rsidRPr="006414E6">
        <w:rPr>
          <w:rFonts w:cs="Times New Roman"/>
        </w:rPr>
        <w:t>44% u 2030. godini. Smanjenje emisije očekuje</w:t>
      </w:r>
      <w:r w:rsidR="00ED684D" w:rsidRPr="006414E6">
        <w:rPr>
          <w:rFonts w:cs="Times New Roman"/>
        </w:rPr>
        <w:t xml:space="preserve"> se</w:t>
      </w:r>
      <w:r w:rsidR="006E52C2" w:rsidRPr="006414E6">
        <w:rPr>
          <w:rFonts w:cs="Times New Roman"/>
        </w:rPr>
        <w:t xml:space="preserve"> tek iza 2040. godine. U 2050. godini smanjenje u NU1 scenariju iznositi </w:t>
      </w:r>
      <w:r w:rsidR="00BC7ADA" w:rsidRPr="006414E6">
        <w:rPr>
          <w:rFonts w:cs="Times New Roman"/>
        </w:rPr>
        <w:t xml:space="preserve">će </w:t>
      </w:r>
      <w:r w:rsidR="006E52C2" w:rsidRPr="006414E6">
        <w:rPr>
          <w:rFonts w:cs="Times New Roman"/>
        </w:rPr>
        <w:t>28,3%, a u NU2 scenariju 55,4%.</w:t>
      </w:r>
    </w:p>
    <w:p w14:paraId="058E381B" w14:textId="77777777" w:rsidR="005536C1" w:rsidRPr="006414E6" w:rsidRDefault="000E5653" w:rsidP="00EE3488">
      <w:pPr>
        <w:pStyle w:val="Heading3"/>
      </w:pPr>
      <w:bookmarkStart w:id="242" w:name="_Toc39133287"/>
      <w:r w:rsidRPr="006414E6">
        <w:t>6.3.2.</w:t>
      </w:r>
      <w:r w:rsidRPr="006414E6">
        <w:tab/>
      </w:r>
      <w:r w:rsidR="005536C1" w:rsidRPr="006414E6">
        <w:t xml:space="preserve">Politike i mjere za </w:t>
      </w:r>
      <w:proofErr w:type="spellStart"/>
      <w:r w:rsidR="005536C1" w:rsidRPr="006414E6">
        <w:t>niskougljični</w:t>
      </w:r>
      <w:proofErr w:type="spellEnd"/>
      <w:r w:rsidR="005536C1" w:rsidRPr="006414E6">
        <w:t xml:space="preserve"> razvoj</w:t>
      </w:r>
      <w:bookmarkEnd w:id="242"/>
    </w:p>
    <w:p w14:paraId="0F5B4AC6" w14:textId="77777777" w:rsidR="00DD12DF" w:rsidRPr="006414E6" w:rsidRDefault="00313C63" w:rsidP="00DD12DF">
      <w:pPr>
        <w:rPr>
          <w:rFonts w:cs="Times New Roman"/>
        </w:rPr>
      </w:pPr>
      <w:r w:rsidRPr="006414E6">
        <w:rPr>
          <w:rFonts w:cs="Times New Roman"/>
        </w:rPr>
        <w:t xml:space="preserve">Temeljne mjere u prometu </w:t>
      </w:r>
      <w:r w:rsidR="004C5523" w:rsidRPr="006414E6">
        <w:rPr>
          <w:rFonts w:cs="Times New Roman"/>
        </w:rPr>
        <w:t>uključuju</w:t>
      </w:r>
      <w:r w:rsidR="00DD12DF" w:rsidRPr="006414E6">
        <w:rPr>
          <w:rFonts w:cs="Times New Roman"/>
        </w:rPr>
        <w:t>:</w:t>
      </w:r>
    </w:p>
    <w:p w14:paraId="6F73D2BC" w14:textId="77777777" w:rsidR="00DD12DF" w:rsidRPr="006414E6" w:rsidRDefault="00313C63" w:rsidP="003A2F37">
      <w:pPr>
        <w:pStyle w:val="ListParagraph"/>
        <w:numPr>
          <w:ilvl w:val="0"/>
          <w:numId w:val="39"/>
        </w:numPr>
        <w:rPr>
          <w:rFonts w:cs="Times New Roman"/>
          <w:szCs w:val="24"/>
        </w:rPr>
      </w:pPr>
      <w:r w:rsidRPr="006414E6">
        <w:rPr>
          <w:rFonts w:cs="Times New Roman"/>
          <w:szCs w:val="24"/>
        </w:rPr>
        <w:t>primjen</w:t>
      </w:r>
      <w:r w:rsidR="004C5523" w:rsidRPr="006414E6">
        <w:rPr>
          <w:rFonts w:cs="Times New Roman"/>
          <w:szCs w:val="24"/>
        </w:rPr>
        <w:t>u</w:t>
      </w:r>
      <w:r w:rsidRPr="006414E6">
        <w:rPr>
          <w:rFonts w:cs="Times New Roman"/>
          <w:szCs w:val="24"/>
        </w:rPr>
        <w:t xml:space="preserve"> goriva niske emisije CO</w:t>
      </w:r>
      <w:r w:rsidRPr="006414E6">
        <w:rPr>
          <w:rFonts w:cs="Times New Roman"/>
          <w:szCs w:val="24"/>
          <w:vertAlign w:val="subscript"/>
        </w:rPr>
        <w:t>2</w:t>
      </w:r>
      <w:r w:rsidR="00DD12DF" w:rsidRPr="006414E6">
        <w:rPr>
          <w:rFonts w:cs="Times New Roman"/>
          <w:szCs w:val="24"/>
        </w:rPr>
        <w:t xml:space="preserve"> što uključuje korištenje električnih i hibridnih, vozila, vozila koja koriste prirodni plin </w:t>
      </w:r>
      <w:r w:rsidR="00E00E28" w:rsidRPr="006414E6">
        <w:rPr>
          <w:rFonts w:cs="Times New Roman"/>
          <w:szCs w:val="24"/>
        </w:rPr>
        <w:t>i bioplin</w:t>
      </w:r>
      <w:r w:rsidR="00DD12DF" w:rsidRPr="006414E6">
        <w:rPr>
          <w:rFonts w:cs="Times New Roman"/>
          <w:szCs w:val="24"/>
        </w:rPr>
        <w:t>, vozila koja koriste vodik te korištenje biogoriva</w:t>
      </w:r>
    </w:p>
    <w:p w14:paraId="49685A8D" w14:textId="77777777" w:rsidR="00DD12DF" w:rsidRPr="006414E6" w:rsidRDefault="00313C63" w:rsidP="003A2F37">
      <w:pPr>
        <w:pStyle w:val="ListParagraph"/>
        <w:numPr>
          <w:ilvl w:val="0"/>
          <w:numId w:val="39"/>
        </w:numPr>
        <w:rPr>
          <w:rFonts w:cs="Times New Roman"/>
          <w:szCs w:val="24"/>
        </w:rPr>
      </w:pPr>
      <w:r w:rsidRPr="006414E6">
        <w:rPr>
          <w:rFonts w:cs="Times New Roman"/>
          <w:szCs w:val="24"/>
        </w:rPr>
        <w:t>optimizacij</w:t>
      </w:r>
      <w:r w:rsidR="004C5523" w:rsidRPr="006414E6">
        <w:rPr>
          <w:rFonts w:cs="Times New Roman"/>
          <w:szCs w:val="24"/>
        </w:rPr>
        <w:t>u</w:t>
      </w:r>
      <w:r w:rsidRPr="006414E6">
        <w:rPr>
          <w:rFonts w:cs="Times New Roman"/>
          <w:szCs w:val="24"/>
        </w:rPr>
        <w:t xml:space="preserve"> i povećanje učinkovitosti prijevoznih sredstava</w:t>
      </w:r>
    </w:p>
    <w:p w14:paraId="4366AE8F" w14:textId="77777777" w:rsidR="00DD12DF" w:rsidRPr="006414E6" w:rsidRDefault="00EE0C26" w:rsidP="003A2F37">
      <w:pPr>
        <w:pStyle w:val="ListParagraph"/>
        <w:numPr>
          <w:ilvl w:val="0"/>
          <w:numId w:val="39"/>
        </w:numPr>
        <w:rPr>
          <w:rFonts w:cs="Times New Roman"/>
          <w:b/>
          <w:szCs w:val="24"/>
        </w:rPr>
      </w:pPr>
      <w:r w:rsidRPr="006414E6">
        <w:rPr>
          <w:rFonts w:cs="Times New Roman"/>
          <w:color w:val="000000"/>
          <w:szCs w:val="24"/>
        </w:rPr>
        <w:t>promicanje</w:t>
      </w:r>
      <w:r w:rsidR="00092805" w:rsidRPr="006414E6">
        <w:rPr>
          <w:rFonts w:cs="Times New Roman"/>
        </w:rPr>
        <w:t xml:space="preserve"> </w:t>
      </w:r>
      <w:r w:rsidR="00772191" w:rsidRPr="006414E6">
        <w:rPr>
          <w:rFonts w:cs="Times New Roman"/>
        </w:rPr>
        <w:t xml:space="preserve">održivog </w:t>
      </w:r>
      <w:r w:rsidR="00092805" w:rsidRPr="006414E6">
        <w:rPr>
          <w:rFonts w:cs="Times New Roman"/>
          <w:color w:val="000000"/>
          <w:szCs w:val="24"/>
        </w:rPr>
        <w:t xml:space="preserve">integriranog </w:t>
      </w:r>
      <w:r w:rsidR="00DD12DF" w:rsidRPr="006414E6">
        <w:rPr>
          <w:rFonts w:cs="Times New Roman"/>
          <w:color w:val="000000"/>
          <w:szCs w:val="24"/>
        </w:rPr>
        <w:t xml:space="preserve">prometa </w:t>
      </w:r>
      <w:r w:rsidR="00B7259E" w:rsidRPr="006414E6">
        <w:rPr>
          <w:rFonts w:cs="Times New Roman"/>
          <w:color w:val="000000"/>
          <w:szCs w:val="24"/>
        </w:rPr>
        <w:t>putničkog i teretnog prometa</w:t>
      </w:r>
      <w:r w:rsidR="00DD12DF" w:rsidRPr="006414E6">
        <w:rPr>
          <w:rFonts w:cs="Times New Roman"/>
          <w:color w:val="000000"/>
          <w:szCs w:val="24"/>
        </w:rPr>
        <w:t>.</w:t>
      </w:r>
    </w:p>
    <w:p w14:paraId="1BA78441" w14:textId="77777777" w:rsidR="00E46E2A" w:rsidRPr="006414E6" w:rsidRDefault="00E46E2A" w:rsidP="00313C63">
      <w:pPr>
        <w:rPr>
          <w:rFonts w:cs="Times New Roman"/>
          <w:b/>
        </w:rPr>
      </w:pPr>
      <w:r w:rsidRPr="006414E6">
        <w:rPr>
          <w:rFonts w:cs="Times New Roman"/>
          <w:b/>
        </w:rPr>
        <w:t>Alternativna goriva</w:t>
      </w:r>
      <w:r w:rsidR="00B7259E" w:rsidRPr="006414E6">
        <w:rPr>
          <w:rFonts w:cs="Times New Roman"/>
          <w:b/>
        </w:rPr>
        <w:t xml:space="preserve">. </w:t>
      </w:r>
      <w:r w:rsidR="00B7259E" w:rsidRPr="006414E6">
        <w:rPr>
          <w:rFonts w:cs="Times New Roman"/>
        </w:rPr>
        <w:t xml:space="preserve">Korištenje alternativnih goriva, kao što su </w:t>
      </w:r>
      <w:r w:rsidR="00907ACB" w:rsidRPr="006414E6">
        <w:rPr>
          <w:rFonts w:cs="Times New Roman"/>
        </w:rPr>
        <w:t xml:space="preserve">električna energija, </w:t>
      </w:r>
      <w:r w:rsidR="00B7259E" w:rsidRPr="006414E6">
        <w:rPr>
          <w:rFonts w:cs="Times New Roman"/>
        </w:rPr>
        <w:t>ukapljeni prirodni plin (</w:t>
      </w:r>
      <w:r w:rsidR="00907ACB" w:rsidRPr="006414E6">
        <w:rPr>
          <w:rFonts w:cs="Times New Roman"/>
        </w:rPr>
        <w:t>UPP</w:t>
      </w:r>
      <w:r w:rsidR="00B7259E" w:rsidRPr="006414E6">
        <w:rPr>
          <w:rFonts w:cs="Times New Roman"/>
        </w:rPr>
        <w:t>), stlačeni prirodni plin (</w:t>
      </w:r>
      <w:r w:rsidR="00907ACB" w:rsidRPr="006414E6">
        <w:rPr>
          <w:rFonts w:cs="Times New Roman"/>
        </w:rPr>
        <w:t>SPP</w:t>
      </w:r>
      <w:r w:rsidR="00B7259E" w:rsidRPr="006414E6">
        <w:rPr>
          <w:rFonts w:cs="Times New Roman"/>
        </w:rPr>
        <w:t>), ukapljeni naftni plin</w:t>
      </w:r>
      <w:r w:rsidR="00907ACB" w:rsidRPr="006414E6">
        <w:rPr>
          <w:rFonts w:cs="Times New Roman"/>
        </w:rPr>
        <w:t xml:space="preserve"> (</w:t>
      </w:r>
      <w:proofErr w:type="spellStart"/>
      <w:r w:rsidR="00907ACB" w:rsidRPr="006414E6">
        <w:rPr>
          <w:rFonts w:cs="Times New Roman"/>
        </w:rPr>
        <w:t>UNP</w:t>
      </w:r>
      <w:proofErr w:type="spellEnd"/>
      <w:r w:rsidR="00907ACB" w:rsidRPr="006414E6">
        <w:rPr>
          <w:rFonts w:cs="Times New Roman"/>
        </w:rPr>
        <w:t>)</w:t>
      </w:r>
      <w:r w:rsidR="00B7259E" w:rsidRPr="006414E6">
        <w:rPr>
          <w:rFonts w:cs="Times New Roman"/>
        </w:rPr>
        <w:t>, biogoriva</w:t>
      </w:r>
      <w:r w:rsidR="00907ACB" w:rsidRPr="006414E6">
        <w:rPr>
          <w:rFonts w:cs="Times New Roman"/>
        </w:rPr>
        <w:t xml:space="preserve"> i</w:t>
      </w:r>
      <w:r w:rsidR="00B7259E" w:rsidRPr="006414E6">
        <w:rPr>
          <w:rFonts w:cs="Times New Roman"/>
        </w:rPr>
        <w:t xml:space="preserve"> vodik</w:t>
      </w:r>
      <w:r w:rsidR="00907ACB" w:rsidRPr="006414E6">
        <w:rPr>
          <w:rFonts w:cs="Times New Roman"/>
        </w:rPr>
        <w:t>.</w:t>
      </w:r>
      <w:r w:rsidR="00B7259E" w:rsidRPr="006414E6">
        <w:rPr>
          <w:rFonts w:cs="Times New Roman"/>
        </w:rPr>
        <w:t xml:space="preserve"> Preduvjet za </w:t>
      </w:r>
      <w:r w:rsidR="00B7259E" w:rsidRPr="006414E6">
        <w:rPr>
          <w:rFonts w:cs="Times New Roman"/>
        </w:rPr>
        <w:lastRenderedPageBreak/>
        <w:t>primjenu mjere je razvoj infrastrukture za alternativna goriva te po potrebi poticanje zamjene ili nabave novih vozila.</w:t>
      </w:r>
    </w:p>
    <w:p w14:paraId="2559DC24" w14:textId="77777777" w:rsidR="00907ACB" w:rsidRPr="006414E6" w:rsidRDefault="00907ACB" w:rsidP="00C01DCC">
      <w:pPr>
        <w:ind w:left="357"/>
        <w:rPr>
          <w:rFonts w:cs="Times New Roman"/>
        </w:rPr>
      </w:pPr>
      <w:r w:rsidRPr="006414E6">
        <w:rPr>
          <w:rFonts w:cs="Times New Roman"/>
          <w:b/>
        </w:rPr>
        <w:t>Elektrifikacija osobnih vozila.</w:t>
      </w:r>
      <w:r w:rsidRPr="006414E6">
        <w:rPr>
          <w:rFonts w:cs="Times New Roman"/>
        </w:rPr>
        <w:t xml:space="preserve"> Za snažno smanjenje emisija u sektoru prometa do 2050. godine biti će jako važan razvoj vozila koja koriste električnu energiju</w:t>
      </w:r>
      <w:r w:rsidR="00C01DCC" w:rsidRPr="006414E6">
        <w:rPr>
          <w:rFonts w:cs="Times New Roman"/>
        </w:rPr>
        <w:t xml:space="preserve"> (uključujući i hibridna vozila)</w:t>
      </w:r>
      <w:r w:rsidRPr="006414E6">
        <w:rPr>
          <w:rFonts w:cs="Times New Roman"/>
        </w:rPr>
        <w:t xml:space="preserve">. Za učinkovito ukupno smanjenje emisija važno je ovu mjeru poduprijeti s mjerama za smanjenje emisija u proizvodnji električne energije, odnosno primjenom OIE. </w:t>
      </w:r>
    </w:p>
    <w:p w14:paraId="7465F1E5" w14:textId="77777777" w:rsidR="00907ACB" w:rsidRPr="006414E6" w:rsidRDefault="00907ACB" w:rsidP="00C01DCC">
      <w:pPr>
        <w:ind w:left="357"/>
        <w:rPr>
          <w:rFonts w:cs="Times New Roman"/>
        </w:rPr>
      </w:pPr>
      <w:r w:rsidRPr="006414E6">
        <w:rPr>
          <w:rFonts w:cs="Times New Roman"/>
        </w:rPr>
        <w:t>U sektoru elektrifikacije prometnih sustava, u razvoju infrastrukture, ali i vozila ili komponenata za vozila, nalazi se prilika za inovacije i domaću industriju.</w:t>
      </w:r>
    </w:p>
    <w:p w14:paraId="75750F71" w14:textId="77777777" w:rsidR="00C01DCC" w:rsidRPr="006414E6" w:rsidRDefault="00C01DCC" w:rsidP="00C01DCC">
      <w:pPr>
        <w:ind w:left="357"/>
        <w:rPr>
          <w:rFonts w:cs="Times New Roman"/>
        </w:rPr>
      </w:pPr>
      <w:r w:rsidRPr="006414E6">
        <w:rPr>
          <w:rFonts w:cs="Times New Roman"/>
          <w:b/>
        </w:rPr>
        <w:t>Prirodni plin i bioplin</w:t>
      </w:r>
      <w:r w:rsidRPr="006414E6">
        <w:rPr>
          <w:rFonts w:cs="Times New Roman"/>
        </w:rPr>
        <w:t>. Porast korištenja prirodnog plina i bioplina u autobusima, teškim teretnim vozilima, željezničkom te u pomorskom prometu. Usporedno s razvojem eko-brodarstva potrebno je razviti objekte za preuzimanje goriva za brodove na plin i eko-brodove kao što su punionice i postrojenja za ukapljeni prirodni plin, stlačeni prirodni plin, ukapljeni naftni plin i vodik.</w:t>
      </w:r>
    </w:p>
    <w:p w14:paraId="39896AAC" w14:textId="77777777" w:rsidR="00FE6F87" w:rsidRPr="006414E6" w:rsidRDefault="00C01DCC" w:rsidP="00FE6F87">
      <w:pPr>
        <w:ind w:left="357"/>
        <w:rPr>
          <w:rFonts w:cs="Times New Roman"/>
        </w:rPr>
      </w:pPr>
      <w:r w:rsidRPr="006414E6">
        <w:rPr>
          <w:rFonts w:cs="Times New Roman"/>
          <w:b/>
        </w:rPr>
        <w:t>Vodik.</w:t>
      </w:r>
      <w:r w:rsidRPr="006414E6">
        <w:rPr>
          <w:rFonts w:cs="Times New Roman"/>
        </w:rPr>
        <w:t xml:space="preserve"> </w:t>
      </w:r>
      <w:r w:rsidR="00B77DD4" w:rsidRPr="006414E6">
        <w:rPr>
          <w:rFonts w:cs="Times New Roman"/>
        </w:rPr>
        <w:t>Potencijal vodika kao goriva je značajan. Potrebna su značajna ulaganja u distribucijsku mrežu za vodik, koja je identificirana kao jedno od ključnih sredstava prema širem usvajanju vodika kao goriva za promet, dok se dostupnost ugljikovodika ne smatra preprekom. Korištenje vodika u vozilima ne zahtjeva posebne prilagodbe u pogledu navika putovanja i punjenja vozila. Iako već danas postoje</w:t>
      </w:r>
      <w:r w:rsidR="00DE4985" w:rsidRPr="006414E6">
        <w:rPr>
          <w:rFonts w:cs="Times New Roman"/>
        </w:rPr>
        <w:t xml:space="preserve"> razvijene </w:t>
      </w:r>
      <w:r w:rsidR="00B77DD4" w:rsidRPr="006414E6">
        <w:rPr>
          <w:rFonts w:cs="Times New Roman"/>
        </w:rPr>
        <w:t>tehnologije za proizvodnju vodika, potrebni su znatni napori da bi se uspostavila infrastruktura za punjenje vozila vodikom.</w:t>
      </w:r>
      <w:r w:rsidR="00FE6F87" w:rsidRPr="006414E6">
        <w:rPr>
          <w:rFonts w:cs="Times New Roman"/>
        </w:rPr>
        <w:t xml:space="preserve"> Prednost vodika je što je zbog visoke energetske vrijednosti pogodan za korištenje u teretnim vozilima i za pogon brodova. Njegovo široko korištenje potpomaže u integraciji obnovljivih izvora energije jer se viškovi električne energije iz obnovljivih izvora mogu skladištiti tako da se proizvodi vodik.</w:t>
      </w:r>
    </w:p>
    <w:p w14:paraId="69CB3E8A" w14:textId="77777777" w:rsidR="00092805" w:rsidRPr="006414E6" w:rsidRDefault="00092805" w:rsidP="00092805">
      <w:pPr>
        <w:ind w:left="357"/>
        <w:rPr>
          <w:rFonts w:cs="Times New Roman"/>
        </w:rPr>
      </w:pPr>
      <w:r w:rsidRPr="006414E6">
        <w:rPr>
          <w:rFonts w:cs="Times New Roman"/>
          <w:b/>
        </w:rPr>
        <w:t>Korištenje biogoriva</w:t>
      </w:r>
      <w:r w:rsidRPr="006414E6">
        <w:rPr>
          <w:rFonts w:cs="Times New Roman"/>
        </w:rPr>
        <w:t xml:space="preserve"> mora se u budućnosti ograničiti na napredna biogoriva koja su proizvedena na način da se ne ugrožava poljoprivredna proizvodnja u skladu s kriterijima održivosti. Razvoj biogoriva ovisiti će o kriterijima održivosti te inovacijama i rješenjima za napredna biogoriva, kao i o sustavu poticaja.</w:t>
      </w:r>
    </w:p>
    <w:p w14:paraId="512B2AF6" w14:textId="643E45CC" w:rsidR="00092805" w:rsidRPr="006414E6" w:rsidRDefault="00092805" w:rsidP="00092805">
      <w:pPr>
        <w:rPr>
          <w:rFonts w:cs="Times New Roman"/>
        </w:rPr>
      </w:pPr>
      <w:r w:rsidRPr="006414E6">
        <w:rPr>
          <w:rFonts w:cs="Times New Roman"/>
          <w:b/>
        </w:rPr>
        <w:t xml:space="preserve">Promicanje </w:t>
      </w:r>
      <w:r w:rsidR="00772191" w:rsidRPr="006414E6">
        <w:rPr>
          <w:rFonts w:cs="Times New Roman"/>
          <w:b/>
        </w:rPr>
        <w:t xml:space="preserve">održivog </w:t>
      </w:r>
      <w:r w:rsidRPr="006414E6">
        <w:rPr>
          <w:rFonts w:cs="Times New Roman"/>
          <w:b/>
        </w:rPr>
        <w:t>integriranog prometa</w:t>
      </w:r>
      <w:r w:rsidR="00907ACB" w:rsidRPr="006414E6">
        <w:rPr>
          <w:rFonts w:cs="Times New Roman"/>
          <w:b/>
        </w:rPr>
        <w:t xml:space="preserve">. </w:t>
      </w:r>
      <w:r w:rsidR="00907ACB" w:rsidRPr="006414E6">
        <w:rPr>
          <w:rFonts w:cs="Times New Roman"/>
        </w:rPr>
        <w:t>Uspješn</w:t>
      </w:r>
      <w:r w:rsidRPr="006414E6">
        <w:rPr>
          <w:rFonts w:cs="Times New Roman"/>
        </w:rPr>
        <w:t>im</w:t>
      </w:r>
      <w:r w:rsidR="00907ACB" w:rsidRPr="006414E6">
        <w:rPr>
          <w:rFonts w:cs="Times New Roman"/>
        </w:rPr>
        <w:t xml:space="preserve"> promicanje</w:t>
      </w:r>
      <w:r w:rsidRPr="006414E6">
        <w:rPr>
          <w:rFonts w:cs="Times New Roman"/>
        </w:rPr>
        <w:t>m</w:t>
      </w:r>
      <w:r w:rsidR="00907ACB" w:rsidRPr="006414E6">
        <w:rPr>
          <w:rFonts w:cs="Times New Roman"/>
        </w:rPr>
        <w:t xml:space="preserve"> </w:t>
      </w:r>
      <w:r w:rsidR="00772191" w:rsidRPr="006414E6">
        <w:rPr>
          <w:rFonts w:cs="Times New Roman"/>
        </w:rPr>
        <w:t xml:space="preserve">održivog </w:t>
      </w:r>
      <w:r w:rsidR="00907ACB" w:rsidRPr="006414E6">
        <w:rPr>
          <w:rFonts w:cs="Times New Roman"/>
        </w:rPr>
        <w:t>integriranog gradskog i međugradskog prometa s naglaskom na razvoj željezni</w:t>
      </w:r>
      <w:r w:rsidRPr="006414E6">
        <w:rPr>
          <w:rFonts w:cs="Times New Roman"/>
        </w:rPr>
        <w:t>ce za prijevoz putnika i tereta uslijedit će prebacivanje prijevoza tereta i putnika s ceste na željeznicu i unut</w:t>
      </w:r>
      <w:r w:rsidR="001932C5" w:rsidRPr="006414E6">
        <w:rPr>
          <w:rFonts w:cs="Times New Roman"/>
        </w:rPr>
        <w:t xml:space="preserve">arnje </w:t>
      </w:r>
      <w:r w:rsidRPr="006414E6">
        <w:rPr>
          <w:rFonts w:cs="Times New Roman"/>
        </w:rPr>
        <w:t>plovne putove.</w:t>
      </w:r>
    </w:p>
    <w:p w14:paraId="4F6D32CF" w14:textId="77777777" w:rsidR="00313C63" w:rsidRPr="006414E6" w:rsidRDefault="00313C63" w:rsidP="00313C63">
      <w:pPr>
        <w:rPr>
          <w:rFonts w:cs="Times New Roman"/>
        </w:rPr>
      </w:pPr>
      <w:r w:rsidRPr="006414E6">
        <w:rPr>
          <w:rFonts w:cs="Times New Roman"/>
          <w:b/>
        </w:rPr>
        <w:t xml:space="preserve">Ekonomična potrošnja goriva. </w:t>
      </w:r>
      <w:r w:rsidRPr="006414E6">
        <w:rPr>
          <w:rFonts w:cs="Times New Roman"/>
        </w:rPr>
        <w:t>Unaprjeđenje učinkovitosti vozila prilikom obnove voznog parka biti će prvi faktor za smanjenje jediničnih emisija stakleničkih plinova na temelj</w:t>
      </w:r>
      <w:r w:rsidR="00221CBE" w:rsidRPr="006414E6">
        <w:rPr>
          <w:rFonts w:cs="Times New Roman"/>
        </w:rPr>
        <w:t>u postojeće politike i mjere EU</w:t>
      </w:r>
      <w:r w:rsidRPr="006414E6">
        <w:rPr>
          <w:rFonts w:cs="Times New Roman"/>
        </w:rPr>
        <w:t>. Najznačajnija mjera je obveza smanjenja prosječnih emisija za sva nova osobna vozila ispod 95 g CO</w:t>
      </w:r>
      <w:r w:rsidRPr="006414E6">
        <w:rPr>
          <w:rFonts w:cs="Times New Roman"/>
          <w:vertAlign w:val="subscript"/>
        </w:rPr>
        <w:t>2</w:t>
      </w:r>
      <w:r w:rsidRPr="006414E6">
        <w:rPr>
          <w:rFonts w:cs="Times New Roman"/>
        </w:rPr>
        <w:t>/km od 2021. godine.</w:t>
      </w:r>
    </w:p>
    <w:p w14:paraId="46A77A37" w14:textId="77777777" w:rsidR="00313C63" w:rsidRPr="006414E6" w:rsidRDefault="00313C63" w:rsidP="00313C63">
      <w:pPr>
        <w:rPr>
          <w:rFonts w:eastAsia="Times New Roman" w:cs="Times New Roman"/>
          <w:lang w:eastAsia="hr-HR"/>
        </w:rPr>
      </w:pPr>
      <w:r w:rsidRPr="006414E6">
        <w:rPr>
          <w:rFonts w:cs="Times New Roman"/>
          <w:b/>
        </w:rPr>
        <w:t>Održivi prometni sustavi u gradovima</w:t>
      </w:r>
      <w:r w:rsidR="00092805" w:rsidRPr="006414E6">
        <w:rPr>
          <w:rFonts w:cs="Times New Roman"/>
          <w:b/>
        </w:rPr>
        <w:t xml:space="preserve">. </w:t>
      </w:r>
      <w:r w:rsidR="00092805" w:rsidRPr="006414E6">
        <w:rPr>
          <w:rFonts w:cs="Times New Roman"/>
        </w:rPr>
        <w:t>P</w:t>
      </w:r>
      <w:r w:rsidR="00582F42" w:rsidRPr="006414E6">
        <w:rPr>
          <w:rFonts w:cs="Times New Roman"/>
        </w:rPr>
        <w:t xml:space="preserve">rioritetno </w:t>
      </w:r>
      <w:proofErr w:type="spellStart"/>
      <w:r w:rsidR="00582F42" w:rsidRPr="006414E6">
        <w:rPr>
          <w:rFonts w:cs="Times New Roman"/>
        </w:rPr>
        <w:t>niskougljič</w:t>
      </w:r>
      <w:r w:rsidRPr="006414E6">
        <w:rPr>
          <w:rFonts w:cs="Times New Roman"/>
        </w:rPr>
        <w:t>n</w:t>
      </w:r>
      <w:r w:rsidR="00582F42" w:rsidRPr="006414E6">
        <w:rPr>
          <w:rFonts w:cs="Times New Roman"/>
        </w:rPr>
        <w:t>i</w:t>
      </w:r>
      <w:proofErr w:type="spellEnd"/>
      <w:r w:rsidRPr="006414E6">
        <w:rPr>
          <w:rFonts w:cs="Times New Roman"/>
        </w:rPr>
        <w:t xml:space="preserve"> javni gradski prijevoz, uže središte </w:t>
      </w:r>
      <w:r w:rsidR="00582F42" w:rsidRPr="006414E6">
        <w:rPr>
          <w:rFonts w:cs="Times New Roman"/>
        </w:rPr>
        <w:t xml:space="preserve">gradova </w:t>
      </w:r>
      <w:r w:rsidRPr="006414E6">
        <w:rPr>
          <w:rFonts w:cs="Times New Roman"/>
        </w:rPr>
        <w:t xml:space="preserve">bez prometa, razvijen biciklistički promet, kvalitetnija goriva i nove tehnologije, znatno će smanjiti utrošak energije i emisije stakleničkih plinova. Sve više vozila u gradskom prijevozu biti će autonomna vozila uz napredno punjenje i korištenje baterija. </w:t>
      </w:r>
      <w:r w:rsidRPr="006414E6">
        <w:rPr>
          <w:rFonts w:eastAsia="Times New Roman" w:cs="Times New Roman"/>
          <w:lang w:eastAsia="hr-HR"/>
        </w:rPr>
        <w:t>Razvoj inteligentnih i integriranih urbanih prometnih sustava podrazumijeva optimiranje gradske logistike prijevoza tereta, inteligentno upravljanje prometom i javnim parkirnim površinama, uvođenje sustava dijeljenja automobila te promicanje, razvoj i optimiranje javnog gradskog prijevoza putnika.</w:t>
      </w:r>
    </w:p>
    <w:p w14:paraId="38BF043A" w14:textId="6B84C94F" w:rsidR="00FE5718" w:rsidRPr="006414E6" w:rsidRDefault="00FE5718" w:rsidP="00313C63">
      <w:pPr>
        <w:rPr>
          <w:rFonts w:cs="Times New Roman"/>
        </w:rPr>
      </w:pPr>
      <w:r w:rsidRPr="006414E6">
        <w:rPr>
          <w:rFonts w:cs="Times New Roman"/>
          <w:b/>
          <w:bCs/>
        </w:rPr>
        <w:t>Smanjenje emisije u teretnom prijevozu.</w:t>
      </w:r>
      <w:r w:rsidRPr="006414E6">
        <w:rPr>
          <w:rFonts w:cs="Times New Roman"/>
        </w:rPr>
        <w:t xml:space="preserve"> Očekuje se da će se prijevoz tereta povećati, u međugradskom i gradskom prometu. Vrlo važna mjera treba biti povećanje korištenja željezničkog prijevoza, općenito sustav transporta treba biti bolje optimiran, primjenom I</w:t>
      </w:r>
      <w:r w:rsidR="00313063" w:rsidRPr="006414E6">
        <w:rPr>
          <w:rFonts w:cs="Times New Roman"/>
        </w:rPr>
        <w:t>C</w:t>
      </w:r>
      <w:r w:rsidRPr="006414E6">
        <w:rPr>
          <w:rFonts w:cs="Times New Roman"/>
        </w:rPr>
        <w:t xml:space="preserve">T rješenja i korištenjem autonomnih vozila gdje to moguće. Za teretna cestovna vozila pogodna su goriva proizvedena uz </w:t>
      </w:r>
      <w:r w:rsidRPr="006414E6">
        <w:rPr>
          <w:rFonts w:cs="Times New Roman"/>
        </w:rPr>
        <w:lastRenderedPageBreak/>
        <w:t xml:space="preserve">pomoć električne energije iz obnovljivih izvora energije, najperspektivnije gorivo je vodik (korištenje u gorivim ćelijama), sintetski metan i sintetsko tekuće gorive. Manja teretna vozila biti će na hibridni i baterijski pogon. Za brodove u prijelaznom razdoblju tekući prirodni plin, a potom vodik i sintetska goriva.      </w:t>
      </w:r>
    </w:p>
    <w:p w14:paraId="34D75D88" w14:textId="77777777" w:rsidR="005536C1" w:rsidRPr="006414E6" w:rsidRDefault="000E5653" w:rsidP="00EE3488">
      <w:pPr>
        <w:pStyle w:val="Heading3"/>
      </w:pPr>
      <w:bookmarkStart w:id="243" w:name="_Toc39133288"/>
      <w:r w:rsidRPr="006414E6">
        <w:t>6.3.3.</w:t>
      </w:r>
      <w:r w:rsidRPr="006414E6">
        <w:tab/>
      </w:r>
      <w:r w:rsidR="005536C1" w:rsidRPr="006414E6">
        <w:t xml:space="preserve">Smjernice za </w:t>
      </w:r>
      <w:proofErr w:type="spellStart"/>
      <w:r w:rsidR="005536C1" w:rsidRPr="006414E6">
        <w:t>niskougljični</w:t>
      </w:r>
      <w:proofErr w:type="spellEnd"/>
      <w:r w:rsidR="005536C1" w:rsidRPr="006414E6">
        <w:t xml:space="preserve"> razvoj</w:t>
      </w:r>
      <w:bookmarkEnd w:id="243"/>
    </w:p>
    <w:p w14:paraId="44BFD5A7" w14:textId="77777777" w:rsidR="00313C63" w:rsidRPr="006414E6" w:rsidRDefault="00313C63" w:rsidP="00313C63">
      <w:pPr>
        <w:rPr>
          <w:rFonts w:eastAsia="Times New Roman" w:cs="Times New Roman"/>
          <w:u w:val="single"/>
          <w:lang w:eastAsia="hr-HR"/>
        </w:rPr>
      </w:pPr>
      <w:r w:rsidRPr="006414E6">
        <w:rPr>
          <w:rFonts w:eastAsia="Times New Roman" w:cs="Times New Roman"/>
          <w:u w:val="single"/>
          <w:lang w:eastAsia="hr-HR"/>
        </w:rPr>
        <w:t>Do 2030. godine</w:t>
      </w:r>
    </w:p>
    <w:p w14:paraId="1E5DBA41" w14:textId="77777777" w:rsidR="00620B53" w:rsidRPr="006414E6" w:rsidRDefault="00620B53" w:rsidP="003A2F37">
      <w:pPr>
        <w:pStyle w:val="ListParagraph"/>
        <w:numPr>
          <w:ilvl w:val="0"/>
          <w:numId w:val="57"/>
        </w:numPr>
        <w:spacing w:line="240" w:lineRule="auto"/>
        <w:rPr>
          <w:rFonts w:eastAsia="Times New Roman" w:cs="Times New Roman"/>
          <w:lang w:eastAsia="hr-HR"/>
        </w:rPr>
      </w:pPr>
      <w:r w:rsidRPr="006414E6">
        <w:rPr>
          <w:rFonts w:eastAsia="Times New Roman" w:cs="Times New Roman"/>
          <w:lang w:eastAsia="hr-HR"/>
        </w:rPr>
        <w:t>U sektoru prometa treba ojačati kapacitete za planiranje održive mobilnosti i integralno planiranje mobilnosti u gradovima.</w:t>
      </w:r>
    </w:p>
    <w:p w14:paraId="0CBF02B8" w14:textId="77777777" w:rsidR="00313C63" w:rsidRPr="006414E6" w:rsidRDefault="00313C63" w:rsidP="003A2F37">
      <w:pPr>
        <w:pStyle w:val="ListParagraph"/>
        <w:numPr>
          <w:ilvl w:val="0"/>
          <w:numId w:val="57"/>
        </w:numPr>
        <w:rPr>
          <w:rFonts w:cs="Times New Roman"/>
          <w:lang w:eastAsia="hr-HR"/>
        </w:rPr>
      </w:pPr>
      <w:r w:rsidRPr="006414E6">
        <w:rPr>
          <w:rFonts w:cs="Times New Roman"/>
          <w:lang w:eastAsia="hr-HR"/>
        </w:rPr>
        <w:t>Potrebno je poticati razvoj integriranog prometa. Potrebno je poticati željeznički promet kako bi postao konkurentan drugim vidovima prometa. Jedan od preduvjeta za ostvarenje je unaprijediti infrastrukturu:</w:t>
      </w:r>
    </w:p>
    <w:p w14:paraId="16D7FBAD" w14:textId="77777777" w:rsidR="00313C63" w:rsidRPr="006414E6" w:rsidRDefault="00313C63" w:rsidP="003A2F37">
      <w:pPr>
        <w:pStyle w:val="ListParagraph"/>
        <w:numPr>
          <w:ilvl w:val="1"/>
          <w:numId w:val="58"/>
        </w:numPr>
        <w:rPr>
          <w:rFonts w:cs="Times New Roman"/>
          <w:lang w:eastAsia="hr-HR"/>
        </w:rPr>
      </w:pPr>
      <w:r w:rsidRPr="006414E6">
        <w:rPr>
          <w:rFonts w:cs="Times New Roman"/>
          <w:lang w:eastAsia="hr-HR"/>
        </w:rPr>
        <w:t>potrebno je unaprijediti i modernizirati pruge, sustave signalizacije i kontrole kako bi se omogućile veće brzine prometovanja</w:t>
      </w:r>
    </w:p>
    <w:p w14:paraId="76DEE37A" w14:textId="77777777" w:rsidR="00313C63" w:rsidRPr="006414E6" w:rsidRDefault="00313C63" w:rsidP="003A2F37">
      <w:pPr>
        <w:pStyle w:val="ListParagraph"/>
        <w:numPr>
          <w:ilvl w:val="1"/>
          <w:numId w:val="58"/>
        </w:numPr>
        <w:rPr>
          <w:rFonts w:cs="Times New Roman"/>
          <w:lang w:eastAsia="hr-HR"/>
        </w:rPr>
      </w:pPr>
      <w:r w:rsidRPr="006414E6">
        <w:rPr>
          <w:rFonts w:cs="Times New Roman"/>
          <w:lang w:eastAsia="hr-HR"/>
        </w:rPr>
        <w:t>potrebno je ulagati u obnovu fonda lokomotiva i vagona</w:t>
      </w:r>
    </w:p>
    <w:p w14:paraId="5FC9B209" w14:textId="77777777" w:rsidR="00313C63" w:rsidRPr="006414E6" w:rsidRDefault="00313C63" w:rsidP="003A2F37">
      <w:pPr>
        <w:pStyle w:val="ListParagraph"/>
        <w:numPr>
          <w:ilvl w:val="1"/>
          <w:numId w:val="58"/>
        </w:numPr>
        <w:rPr>
          <w:rFonts w:cs="Times New Roman"/>
          <w:lang w:eastAsia="hr-HR"/>
        </w:rPr>
      </w:pPr>
      <w:r w:rsidRPr="006414E6">
        <w:rPr>
          <w:rFonts w:cs="Times New Roman"/>
          <w:lang w:eastAsia="hr-HR"/>
        </w:rPr>
        <w:t xml:space="preserve">potrebno je razviti mrežu logističkih </w:t>
      </w:r>
      <w:proofErr w:type="spellStart"/>
      <w:r w:rsidRPr="006414E6">
        <w:rPr>
          <w:rFonts w:cs="Times New Roman"/>
          <w:lang w:eastAsia="hr-HR"/>
        </w:rPr>
        <w:t>intermodalnih</w:t>
      </w:r>
      <w:proofErr w:type="spellEnd"/>
      <w:r w:rsidRPr="006414E6">
        <w:rPr>
          <w:rFonts w:cs="Times New Roman"/>
          <w:lang w:eastAsia="hr-HR"/>
        </w:rPr>
        <w:t xml:space="preserve"> platformi, s time da se te platforme trebaju izgraditi u lukama i u glavnim potrošačkim središtima. Isto je potrebno i zbog uključivanja ishodišta opskrbnih lanaca u hrvatske luke koje konkuriraju drugim lukama na ovom području</w:t>
      </w:r>
    </w:p>
    <w:p w14:paraId="57BFE0B4" w14:textId="77777777" w:rsidR="00313C63" w:rsidRPr="006414E6" w:rsidRDefault="00313C63" w:rsidP="003A2F37">
      <w:pPr>
        <w:pStyle w:val="ListParagraph"/>
        <w:numPr>
          <w:ilvl w:val="1"/>
          <w:numId w:val="58"/>
        </w:numPr>
        <w:rPr>
          <w:rFonts w:cs="Times New Roman"/>
          <w:lang w:eastAsia="hr-HR"/>
        </w:rPr>
      </w:pPr>
      <w:r w:rsidRPr="006414E6">
        <w:rPr>
          <w:rFonts w:cs="Times New Roman"/>
          <w:lang w:eastAsia="hr-HR"/>
        </w:rPr>
        <w:t>potrebno je povezivati javne gradske i međugradske prometne sustave.</w:t>
      </w:r>
    </w:p>
    <w:p w14:paraId="771C46A2" w14:textId="1EAA2619" w:rsidR="00313C63" w:rsidRPr="006414E6" w:rsidRDefault="00313C63" w:rsidP="003A2F37">
      <w:pPr>
        <w:pStyle w:val="ListParagraph"/>
        <w:numPr>
          <w:ilvl w:val="0"/>
          <w:numId w:val="56"/>
        </w:numPr>
        <w:rPr>
          <w:rFonts w:eastAsia="MS Mincho" w:cs="Times New Roman"/>
          <w:lang w:eastAsia="ja-JP"/>
        </w:rPr>
      </w:pPr>
      <w:r w:rsidRPr="006414E6">
        <w:rPr>
          <w:rFonts w:cs="Times New Roman"/>
        </w:rPr>
        <w:t>Potreban je sustavan rad na unaprjeđenju unutarnjih plovnih putova kad je riječ o organizaciji, modernizaciji flote, obrazovanju, izgradnji infrastrukture (vodni putovi i luke), održavanju i sigurnosti plovidbe, kao i poboljšanju suradnje sa susjednim zemljama. Potrebno je ispitati mogućnosti za proširenje unutarnjih plovnih putova, posebno na rijeci Savi do Zagreba</w:t>
      </w:r>
      <w:r w:rsidR="001932C5" w:rsidRPr="006414E6">
        <w:rPr>
          <w:rFonts w:cs="Times New Roman"/>
        </w:rPr>
        <w:t xml:space="preserve"> (Rugvice)</w:t>
      </w:r>
      <w:r w:rsidRPr="006414E6">
        <w:rPr>
          <w:rFonts w:cs="Times New Roman"/>
        </w:rPr>
        <w:t>, što treba biti povezano s cjelovitim i višenamjenski hidrotehničkim rješenjem koje obuhvaća sustav zaštite, uređenja i korištenja rijeke Save i zaobalja u Hrvatskoj</w:t>
      </w:r>
      <w:r w:rsidR="001932C5" w:rsidRPr="006414E6">
        <w:rPr>
          <w:rFonts w:cs="Times New Roman"/>
        </w:rPr>
        <w:t xml:space="preserve"> s ciljem gospodarskog razvoja</w:t>
      </w:r>
      <w:r w:rsidRPr="006414E6">
        <w:rPr>
          <w:rFonts w:cs="Times New Roman"/>
        </w:rPr>
        <w:t>.</w:t>
      </w:r>
    </w:p>
    <w:p w14:paraId="12CEAE9D" w14:textId="77777777" w:rsidR="00313C63" w:rsidRPr="006414E6" w:rsidRDefault="00313C63" w:rsidP="003A2F37">
      <w:pPr>
        <w:pStyle w:val="ListParagraph"/>
        <w:numPr>
          <w:ilvl w:val="0"/>
          <w:numId w:val="56"/>
        </w:numPr>
        <w:rPr>
          <w:rFonts w:cs="Times New Roman"/>
        </w:rPr>
      </w:pPr>
      <w:r w:rsidRPr="006414E6">
        <w:rPr>
          <w:rFonts w:cs="Times New Roman"/>
        </w:rPr>
        <w:t xml:space="preserve">Potrebno je ulagati u razvoj inteligentnih i integriranih urbanih i javnih prometnih sustava koji uključuju razvoj urbane biciklističke infrastrukture, optimiranje gradske logistike u prijevozu tereta, inteligentno upravljanje javnim prometom i parkirnim površinama te poticanje tehničkih inovacija u urbanom prometu s ciljem smanjenja emisija stakleničkih plinova. Posebno je važno osigurati razvoj infrastrukture i mogućnosti za primjenu alternativnih goriva u javnom prometu. </w:t>
      </w:r>
    </w:p>
    <w:p w14:paraId="1E0D76F5" w14:textId="77777777" w:rsidR="00313C63" w:rsidRPr="006414E6" w:rsidRDefault="00313C63" w:rsidP="003A2F37">
      <w:pPr>
        <w:pStyle w:val="ListParagraph"/>
        <w:numPr>
          <w:ilvl w:val="0"/>
          <w:numId w:val="56"/>
        </w:numPr>
        <w:rPr>
          <w:rFonts w:cs="Times New Roman"/>
        </w:rPr>
      </w:pPr>
      <w:r w:rsidRPr="006414E6">
        <w:rPr>
          <w:rFonts w:cs="Times New Roman"/>
        </w:rPr>
        <w:t xml:space="preserve">Ključno je osigurati infrastrukturu za alternativna goriva, s naglaskom na urbana područja kako bi se potaknula primjena alternativnih goriva prvenstveno u javnom gradskom prometu. </w:t>
      </w:r>
    </w:p>
    <w:p w14:paraId="05995825" w14:textId="77777777" w:rsidR="00313C63" w:rsidRPr="006414E6" w:rsidRDefault="00313C63" w:rsidP="003A2F37">
      <w:pPr>
        <w:pStyle w:val="ListParagraph"/>
        <w:numPr>
          <w:ilvl w:val="0"/>
          <w:numId w:val="56"/>
        </w:numPr>
        <w:rPr>
          <w:rFonts w:cs="Times New Roman"/>
        </w:rPr>
      </w:pPr>
      <w:r w:rsidRPr="006414E6">
        <w:rPr>
          <w:rFonts w:cs="Times New Roman"/>
        </w:rPr>
        <w:t>Potrebno je nastaviti sustavno provoditi promocije i kampanje s poticanjem transformacije mišljenja i djelovanja stanovnika u smjeru korištenja prometa kojima se smanjuju emisije stakleničkih plinova.</w:t>
      </w:r>
    </w:p>
    <w:p w14:paraId="67F2B798" w14:textId="77777777" w:rsidR="00313C63" w:rsidRPr="006414E6" w:rsidRDefault="00313C63" w:rsidP="00313C63">
      <w:pPr>
        <w:rPr>
          <w:rFonts w:cs="Times New Roman"/>
          <w:u w:val="single"/>
        </w:rPr>
      </w:pPr>
      <w:r w:rsidRPr="006414E6">
        <w:rPr>
          <w:rFonts w:cs="Times New Roman"/>
          <w:u w:val="single"/>
        </w:rPr>
        <w:t>Do 2050. godine</w:t>
      </w:r>
    </w:p>
    <w:p w14:paraId="1CD1CC3D" w14:textId="4F0722BF" w:rsidR="00313C63" w:rsidRPr="006414E6" w:rsidRDefault="00313C63" w:rsidP="003A2F37">
      <w:pPr>
        <w:pStyle w:val="ListParagraph"/>
        <w:numPr>
          <w:ilvl w:val="0"/>
          <w:numId w:val="55"/>
        </w:numPr>
        <w:rPr>
          <w:rFonts w:cs="Times New Roman"/>
        </w:rPr>
      </w:pPr>
      <w:r w:rsidRPr="006414E6">
        <w:rPr>
          <w:rFonts w:cs="Times New Roman"/>
        </w:rPr>
        <w:t xml:space="preserve">Nastaviti aktivnosti ovisno o uspješnosti razvoja do 2030. godine. Ključno će biti daljnje korištenje alternativnih goriva za osobna vozila. Potrebno će biti nastaviti procese razvoja i unaprjeđenja </w:t>
      </w:r>
      <w:r w:rsidR="00772191" w:rsidRPr="006414E6">
        <w:rPr>
          <w:rFonts w:cs="Times New Roman"/>
        </w:rPr>
        <w:t xml:space="preserve">integriranog </w:t>
      </w:r>
      <w:r w:rsidRPr="006414E6">
        <w:rPr>
          <w:rFonts w:cs="Times New Roman"/>
        </w:rPr>
        <w:t xml:space="preserve">i željezničkog </w:t>
      </w:r>
      <w:r w:rsidR="001932C5" w:rsidRPr="006414E6">
        <w:rPr>
          <w:rFonts w:cs="Times New Roman"/>
        </w:rPr>
        <w:t xml:space="preserve">te riječnog </w:t>
      </w:r>
      <w:r w:rsidRPr="006414E6">
        <w:rPr>
          <w:rFonts w:cs="Times New Roman"/>
        </w:rPr>
        <w:t>prometa kao vrlo važnog čimbenika za smanjenje emisija i povećanje konkurentnosti gospodarstv</w:t>
      </w:r>
      <w:r w:rsidR="00650CF1" w:rsidRPr="006414E6">
        <w:rPr>
          <w:rFonts w:cs="Times New Roman"/>
        </w:rPr>
        <w:t>a</w:t>
      </w:r>
      <w:r w:rsidRPr="006414E6">
        <w:rPr>
          <w:rFonts w:cs="Times New Roman"/>
        </w:rPr>
        <w:t xml:space="preserve">. </w:t>
      </w:r>
    </w:p>
    <w:p w14:paraId="37950253" w14:textId="77777777" w:rsidR="00313C63" w:rsidRPr="006414E6" w:rsidRDefault="00313C63" w:rsidP="003A2F37">
      <w:pPr>
        <w:pStyle w:val="ListParagraph"/>
        <w:numPr>
          <w:ilvl w:val="0"/>
          <w:numId w:val="55"/>
        </w:numPr>
        <w:rPr>
          <w:rFonts w:cs="Times New Roman"/>
        </w:rPr>
      </w:pPr>
      <w:r w:rsidRPr="006414E6">
        <w:rPr>
          <w:rFonts w:cs="Times New Roman"/>
        </w:rPr>
        <w:t>Biti će veliki značaj informacijske tehnologije za optimiranje prometnih sustava te integriranje s elektroenergetskim sustavom.</w:t>
      </w:r>
    </w:p>
    <w:p w14:paraId="6A86EC89" w14:textId="77777777" w:rsidR="00313C63" w:rsidRPr="006414E6" w:rsidRDefault="00313C63" w:rsidP="003A2F37">
      <w:pPr>
        <w:pStyle w:val="ListParagraph"/>
        <w:numPr>
          <w:ilvl w:val="0"/>
          <w:numId w:val="55"/>
        </w:numPr>
        <w:rPr>
          <w:rFonts w:cs="Times New Roman"/>
        </w:rPr>
      </w:pPr>
      <w:r w:rsidRPr="006414E6">
        <w:rPr>
          <w:rFonts w:cs="Times New Roman"/>
        </w:rPr>
        <w:t>Biti će jako važna primjena alternativnih goriva i integriranog gradskog promet</w:t>
      </w:r>
      <w:r w:rsidR="00650CF1" w:rsidRPr="006414E6">
        <w:rPr>
          <w:rFonts w:cs="Times New Roman"/>
        </w:rPr>
        <w:t>a</w:t>
      </w:r>
      <w:r w:rsidRPr="006414E6">
        <w:rPr>
          <w:rFonts w:cs="Times New Roman"/>
        </w:rPr>
        <w:t xml:space="preserve"> koji uključuje javni gradski promet, inteligentne sustave za prijevoz tereta te razvijenu biciklističku </w:t>
      </w:r>
      <w:r w:rsidRPr="006414E6">
        <w:rPr>
          <w:rFonts w:cs="Times New Roman"/>
        </w:rPr>
        <w:lastRenderedPageBreak/>
        <w:t>infrastrukturu kako bi se gotovo potpuno eliminirale emisije stakleničkih plinova iz urbanih sredina.</w:t>
      </w:r>
    </w:p>
    <w:p w14:paraId="552D416C" w14:textId="0DBF9D52" w:rsidR="00FE5718" w:rsidRPr="006414E6" w:rsidRDefault="00313C63">
      <w:pPr>
        <w:pStyle w:val="ListParagraph"/>
        <w:numPr>
          <w:ilvl w:val="0"/>
          <w:numId w:val="55"/>
        </w:numPr>
        <w:rPr>
          <w:rFonts w:cs="Times New Roman"/>
        </w:rPr>
      </w:pPr>
      <w:r w:rsidRPr="006414E6">
        <w:rPr>
          <w:rFonts w:cs="Times New Roman"/>
        </w:rPr>
        <w:t>Za smanjenje emisija u teškom teretnom prometu bit će potrebna alternativna goriva</w:t>
      </w:r>
      <w:r w:rsidR="00FE5718" w:rsidRPr="006414E6">
        <w:rPr>
          <w:rFonts w:cs="Times New Roman"/>
        </w:rPr>
        <w:t>,  posebice korištenje vodika primjenom gorivih ćelija, te korištenje sintetskih plinskih i tekućih goriva. Sustavi transporta trebaju biti visoko optimirani primjenom I</w:t>
      </w:r>
      <w:r w:rsidR="00313063" w:rsidRPr="006414E6">
        <w:rPr>
          <w:rFonts w:cs="Times New Roman"/>
        </w:rPr>
        <w:t>C</w:t>
      </w:r>
      <w:r w:rsidR="00FE5718" w:rsidRPr="006414E6">
        <w:rPr>
          <w:rFonts w:cs="Times New Roman"/>
        </w:rPr>
        <w:t>T rješenja i korištenjem autonomnih vozila gdje je to moguće.</w:t>
      </w:r>
    </w:p>
    <w:p w14:paraId="0FFAB019" w14:textId="77777777" w:rsidR="005536C1" w:rsidRPr="006414E6" w:rsidRDefault="000E5653" w:rsidP="00EE3488">
      <w:pPr>
        <w:pStyle w:val="Heading2"/>
      </w:pPr>
      <w:bookmarkStart w:id="244" w:name="_Toc20841307"/>
      <w:bookmarkStart w:id="245" w:name="_Toc20841413"/>
      <w:bookmarkStart w:id="246" w:name="_Toc39133289"/>
      <w:r w:rsidRPr="006414E6">
        <w:t>6.4.</w:t>
      </w:r>
      <w:r w:rsidR="006359CA" w:rsidRPr="006414E6">
        <w:tab/>
      </w:r>
      <w:r w:rsidR="005536C1" w:rsidRPr="006414E6">
        <w:t>SEKTOR OPĆE POTROŠNJE</w:t>
      </w:r>
      <w:bookmarkEnd w:id="244"/>
      <w:bookmarkEnd w:id="245"/>
      <w:bookmarkEnd w:id="246"/>
    </w:p>
    <w:p w14:paraId="52E56170" w14:textId="77777777" w:rsidR="005536C1" w:rsidRPr="006414E6" w:rsidRDefault="000E5653" w:rsidP="00EE3488">
      <w:pPr>
        <w:pStyle w:val="Heading3"/>
      </w:pPr>
      <w:bookmarkStart w:id="247" w:name="_Toc39133290"/>
      <w:r w:rsidRPr="006414E6">
        <w:t>6.4.1.</w:t>
      </w:r>
      <w:r w:rsidRPr="006414E6">
        <w:tab/>
      </w:r>
      <w:r w:rsidR="005536C1" w:rsidRPr="006414E6">
        <w:t>Emisije</w:t>
      </w:r>
      <w:r w:rsidR="007319A7" w:rsidRPr="006414E6">
        <w:t xml:space="preserve"> stakleničkih plinova</w:t>
      </w:r>
      <w:bookmarkEnd w:id="247"/>
    </w:p>
    <w:p w14:paraId="28147650" w14:textId="534EAF45" w:rsidR="00740D3B" w:rsidRPr="006414E6" w:rsidRDefault="00740D3B" w:rsidP="00CA4A1D">
      <w:pPr>
        <w:spacing w:line="240" w:lineRule="auto"/>
        <w:rPr>
          <w:rFonts w:cs="Times New Roman"/>
        </w:rPr>
      </w:pPr>
      <w:bookmarkStart w:id="248" w:name="_Hlk38269071"/>
      <w:bookmarkStart w:id="249" w:name="_Hlk36802382"/>
      <w:r w:rsidRPr="006414E6">
        <w:rPr>
          <w:rFonts w:cs="Times New Roman"/>
        </w:rPr>
        <w:t xml:space="preserve">Emisije u sektoru opće potrošnje </w:t>
      </w:r>
      <w:r w:rsidR="00FD65E4" w:rsidRPr="006414E6">
        <w:rPr>
          <w:rFonts w:cs="Times New Roman"/>
        </w:rPr>
        <w:t xml:space="preserve">(kućanstva, usluge i potrošnja energije u poljoprivredi, šumarstvu i ribarstvu) </w:t>
      </w:r>
      <w:r w:rsidR="00937CED" w:rsidRPr="006414E6">
        <w:rPr>
          <w:rFonts w:cs="Times New Roman"/>
        </w:rPr>
        <w:t xml:space="preserve">2018. godine </w:t>
      </w:r>
      <w:r w:rsidRPr="006414E6">
        <w:rPr>
          <w:rFonts w:cs="Times New Roman"/>
        </w:rPr>
        <w:t>čin</w:t>
      </w:r>
      <w:r w:rsidR="000F7752" w:rsidRPr="006414E6">
        <w:rPr>
          <w:rFonts w:cs="Times New Roman"/>
        </w:rPr>
        <w:t>ile su</w:t>
      </w:r>
      <w:r w:rsidRPr="006414E6">
        <w:rPr>
          <w:rFonts w:cs="Times New Roman"/>
        </w:rPr>
        <w:t xml:space="preserve"> 13,</w:t>
      </w:r>
      <w:r w:rsidR="00462811" w:rsidRPr="006414E6">
        <w:rPr>
          <w:rFonts w:cs="Times New Roman"/>
        </w:rPr>
        <w:t>5</w:t>
      </w:r>
      <w:r w:rsidRPr="006414E6">
        <w:rPr>
          <w:rFonts w:cs="Times New Roman"/>
        </w:rPr>
        <w:t>% ukupni</w:t>
      </w:r>
      <w:r w:rsidR="004C63A5" w:rsidRPr="006414E6">
        <w:rPr>
          <w:rFonts w:cs="Times New Roman"/>
        </w:rPr>
        <w:t>h</w:t>
      </w:r>
      <w:r w:rsidRPr="006414E6">
        <w:rPr>
          <w:rFonts w:cs="Times New Roman"/>
        </w:rPr>
        <w:t xml:space="preserve"> emisija, od čega se </w:t>
      </w:r>
      <w:r w:rsidR="00FD65E4" w:rsidRPr="006414E6">
        <w:rPr>
          <w:rFonts w:cs="Times New Roman"/>
        </w:rPr>
        <w:t>5</w:t>
      </w:r>
      <w:r w:rsidR="00462811" w:rsidRPr="006414E6">
        <w:rPr>
          <w:rFonts w:cs="Times New Roman"/>
        </w:rPr>
        <w:t>8,1</w:t>
      </w:r>
      <w:r w:rsidR="00FD65E4" w:rsidRPr="006414E6">
        <w:rPr>
          <w:rFonts w:cs="Times New Roman"/>
        </w:rPr>
        <w:t>% odnosi na kućanstva</w:t>
      </w:r>
      <w:r w:rsidR="00703471" w:rsidRPr="006414E6">
        <w:rPr>
          <w:rFonts w:cs="Times New Roman"/>
        </w:rPr>
        <w:t xml:space="preserve">, </w:t>
      </w:r>
      <w:r w:rsidRPr="006414E6">
        <w:rPr>
          <w:rFonts w:cs="Times New Roman"/>
        </w:rPr>
        <w:t>18,7% na uslužni sektor te 22,</w:t>
      </w:r>
      <w:r w:rsidR="002420D1" w:rsidRPr="006414E6">
        <w:rPr>
          <w:rFonts w:cs="Times New Roman"/>
        </w:rPr>
        <w:t>1</w:t>
      </w:r>
      <w:r w:rsidRPr="006414E6">
        <w:rPr>
          <w:rFonts w:cs="Times New Roman"/>
        </w:rPr>
        <w:t>% na emisije od izgaranja goriva u poljoprivredi, šumarstvu i ribarstvu.</w:t>
      </w:r>
      <w:bookmarkEnd w:id="248"/>
      <w:r w:rsidRPr="006414E6">
        <w:rPr>
          <w:rFonts w:cs="Times New Roman"/>
        </w:rPr>
        <w:t xml:space="preserve"> Unatoč relativno niskom doprinosu ovoga sektora sa stajališta emisija, njegov utjecaj na energetski sustav te potencijal za uštede energije je velik. Potrošnja energije u sektoru opće potrošnje je u 201</w:t>
      </w:r>
      <w:r w:rsidR="00462811" w:rsidRPr="006414E6">
        <w:rPr>
          <w:rFonts w:cs="Times New Roman"/>
        </w:rPr>
        <w:t>8</w:t>
      </w:r>
      <w:r w:rsidRPr="006414E6">
        <w:rPr>
          <w:rFonts w:cs="Times New Roman"/>
        </w:rPr>
        <w:t>. godini iznosila 14</w:t>
      </w:r>
      <w:r w:rsidR="00462811" w:rsidRPr="006414E6">
        <w:rPr>
          <w:rFonts w:cs="Times New Roman"/>
        </w:rPr>
        <w:t>4</w:t>
      </w:r>
      <w:r w:rsidRPr="006414E6">
        <w:rPr>
          <w:rFonts w:cs="Times New Roman"/>
        </w:rPr>
        <w:t xml:space="preserve"> PJ, odnosno 5</w:t>
      </w:r>
      <w:r w:rsidR="00462811" w:rsidRPr="006414E6">
        <w:rPr>
          <w:rFonts w:cs="Times New Roman"/>
        </w:rPr>
        <w:t>0,3</w:t>
      </w:r>
      <w:r w:rsidRPr="006414E6">
        <w:rPr>
          <w:rFonts w:cs="Times New Roman"/>
        </w:rPr>
        <w:t>% neposredne energetske potrošnje, odnosno 3</w:t>
      </w:r>
      <w:r w:rsidR="00462811" w:rsidRPr="006414E6">
        <w:rPr>
          <w:rFonts w:cs="Times New Roman"/>
        </w:rPr>
        <w:t>5,3</w:t>
      </w:r>
      <w:r w:rsidR="002019AF" w:rsidRPr="006414E6">
        <w:rPr>
          <w:rFonts w:cs="Times New Roman"/>
        </w:rPr>
        <w:t>% ukupne potrošnje energije u Republici Hrvatskoj</w:t>
      </w:r>
      <w:bookmarkEnd w:id="249"/>
      <w:r w:rsidRPr="006414E6">
        <w:rPr>
          <w:rFonts w:cs="Times New Roman"/>
        </w:rPr>
        <w:t xml:space="preserve">. </w:t>
      </w:r>
    </w:p>
    <w:p w14:paraId="3D1716E5" w14:textId="77777777" w:rsidR="000713F5" w:rsidRPr="006414E6" w:rsidRDefault="000713F5" w:rsidP="007319A7">
      <w:pPr>
        <w:spacing w:line="240" w:lineRule="auto"/>
        <w:rPr>
          <w:rFonts w:cs="Times New Roman"/>
        </w:rPr>
      </w:pPr>
      <w:r w:rsidRPr="006414E6">
        <w:rPr>
          <w:rFonts w:cs="Times New Roman"/>
        </w:rPr>
        <w:t>U ovom sektoru</w:t>
      </w:r>
      <w:r w:rsidR="00D82229" w:rsidRPr="006414E6">
        <w:rPr>
          <w:rFonts w:cs="Times New Roman"/>
        </w:rPr>
        <w:t xml:space="preserve"> se u odnosu na 1990. godinu,</w:t>
      </w:r>
      <w:r w:rsidRPr="006414E6">
        <w:rPr>
          <w:rFonts w:cs="Times New Roman"/>
        </w:rPr>
        <w:t xml:space="preserve"> u </w:t>
      </w:r>
      <w:proofErr w:type="spellStart"/>
      <w:r w:rsidR="00D82229" w:rsidRPr="006414E6">
        <w:rPr>
          <w:rFonts w:cs="Times New Roman"/>
        </w:rPr>
        <w:t>niskougljičnim</w:t>
      </w:r>
      <w:proofErr w:type="spellEnd"/>
      <w:r w:rsidR="00D82229" w:rsidRPr="006414E6">
        <w:rPr>
          <w:rFonts w:cs="Times New Roman"/>
        </w:rPr>
        <w:t xml:space="preserve"> </w:t>
      </w:r>
      <w:r w:rsidRPr="006414E6">
        <w:rPr>
          <w:rFonts w:cs="Times New Roman"/>
        </w:rPr>
        <w:t>scenarijima NU1 i NU2</w:t>
      </w:r>
      <w:r w:rsidR="00D82229" w:rsidRPr="006414E6">
        <w:rPr>
          <w:rFonts w:cs="Times New Roman"/>
        </w:rPr>
        <w:t>,</w:t>
      </w:r>
      <w:r w:rsidRPr="006414E6">
        <w:rPr>
          <w:rFonts w:cs="Times New Roman"/>
        </w:rPr>
        <w:t xml:space="preserve"> postiže smanjenje emisije za </w:t>
      </w:r>
      <w:r w:rsidR="0046634B" w:rsidRPr="006414E6">
        <w:rPr>
          <w:rFonts w:cs="Times New Roman"/>
        </w:rPr>
        <w:t>30,2</w:t>
      </w:r>
      <w:r w:rsidRPr="006414E6">
        <w:rPr>
          <w:rFonts w:cs="Times New Roman"/>
        </w:rPr>
        <w:t xml:space="preserve"> do </w:t>
      </w:r>
      <w:r w:rsidR="0046634B" w:rsidRPr="006414E6">
        <w:rPr>
          <w:rFonts w:cs="Times New Roman"/>
        </w:rPr>
        <w:t>34</w:t>
      </w:r>
      <w:r w:rsidRPr="006414E6">
        <w:rPr>
          <w:rFonts w:cs="Times New Roman"/>
        </w:rPr>
        <w:t>% u 2030. godini</w:t>
      </w:r>
      <w:r w:rsidR="00D82229" w:rsidRPr="006414E6">
        <w:rPr>
          <w:rFonts w:cs="Times New Roman"/>
        </w:rPr>
        <w:t xml:space="preserve"> te</w:t>
      </w:r>
      <w:r w:rsidRPr="006414E6">
        <w:rPr>
          <w:rFonts w:cs="Times New Roman"/>
        </w:rPr>
        <w:t xml:space="preserve"> za </w:t>
      </w:r>
      <w:r w:rsidR="0046634B" w:rsidRPr="006414E6">
        <w:rPr>
          <w:rFonts w:cs="Times New Roman"/>
        </w:rPr>
        <w:t>55,3</w:t>
      </w:r>
      <w:r w:rsidRPr="006414E6">
        <w:rPr>
          <w:rFonts w:cs="Times New Roman"/>
        </w:rPr>
        <w:t xml:space="preserve"> do </w:t>
      </w:r>
      <w:r w:rsidR="0046634B" w:rsidRPr="006414E6">
        <w:rPr>
          <w:rFonts w:cs="Times New Roman"/>
        </w:rPr>
        <w:t>73,8</w:t>
      </w:r>
      <w:r w:rsidRPr="006414E6">
        <w:rPr>
          <w:rFonts w:cs="Times New Roman"/>
        </w:rPr>
        <w:t>%</w:t>
      </w:r>
      <w:r w:rsidR="0046634B" w:rsidRPr="006414E6">
        <w:rPr>
          <w:rFonts w:cs="Times New Roman"/>
        </w:rPr>
        <w:t xml:space="preserve"> u 2050. godini</w:t>
      </w:r>
      <w:r w:rsidR="00D82229" w:rsidRPr="006414E6">
        <w:rPr>
          <w:rFonts w:cs="Times New Roman"/>
        </w:rPr>
        <w:t>.</w:t>
      </w:r>
      <w:r w:rsidR="0046634B" w:rsidRPr="006414E6">
        <w:rPr>
          <w:rFonts w:cs="Times New Roman"/>
        </w:rPr>
        <w:t xml:space="preserve"> </w:t>
      </w:r>
      <w:r w:rsidRPr="006414E6">
        <w:rPr>
          <w:rFonts w:cs="Times New Roman"/>
        </w:rPr>
        <w:t>To je sektor koji je pod najsnažnijom regulacijom u pogledu normi, ali i najsnažnije ovisan od promjena u načinu ponašanja.</w:t>
      </w:r>
    </w:p>
    <w:p w14:paraId="69BFB4C1" w14:textId="65235696" w:rsidR="005536C1" w:rsidRPr="006414E6" w:rsidRDefault="005536C1" w:rsidP="00EE3488">
      <w:pPr>
        <w:pStyle w:val="Heading3"/>
      </w:pPr>
      <w:bookmarkStart w:id="250" w:name="_Toc39133291"/>
      <w:r w:rsidRPr="006414E6">
        <w:t xml:space="preserve">6.4.2. Politike i mjere za </w:t>
      </w:r>
      <w:proofErr w:type="spellStart"/>
      <w:r w:rsidRPr="006414E6">
        <w:t>niskougljični</w:t>
      </w:r>
      <w:proofErr w:type="spellEnd"/>
      <w:r w:rsidRPr="006414E6">
        <w:t xml:space="preserve"> razvoj</w:t>
      </w:r>
      <w:bookmarkEnd w:id="250"/>
    </w:p>
    <w:p w14:paraId="6AFDC659" w14:textId="06F5A483" w:rsidR="0067479F" w:rsidRPr="006414E6" w:rsidRDefault="0067479F" w:rsidP="0067479F">
      <w:pPr>
        <w:rPr>
          <w:rFonts w:cs="Times New Roman"/>
        </w:rPr>
      </w:pPr>
      <w:r w:rsidRPr="006414E6">
        <w:rPr>
          <w:rFonts w:cs="Times New Roman"/>
        </w:rPr>
        <w:t>U sektoru opće potrošnje postoji veliki potencijal za uštedu energije, a time i smanjenje emisija, prvenstveno kroz:</w:t>
      </w:r>
    </w:p>
    <w:p w14:paraId="24AF46EF" w14:textId="2042176C" w:rsidR="0067479F" w:rsidRPr="006414E6" w:rsidRDefault="0067479F" w:rsidP="008C2A8A">
      <w:pPr>
        <w:pStyle w:val="ListParagraph"/>
        <w:numPr>
          <w:ilvl w:val="0"/>
          <w:numId w:val="92"/>
        </w:numPr>
        <w:ind w:left="714" w:hanging="357"/>
        <w:rPr>
          <w:rFonts w:cs="Times New Roman"/>
        </w:rPr>
      </w:pPr>
      <w:proofErr w:type="spellStart"/>
      <w:r w:rsidRPr="006414E6">
        <w:rPr>
          <w:rFonts w:cs="Times New Roman"/>
        </w:rPr>
        <w:t>dekarbonizaciju</w:t>
      </w:r>
      <w:proofErr w:type="spellEnd"/>
      <w:r w:rsidRPr="006414E6">
        <w:rPr>
          <w:rFonts w:cs="Times New Roman"/>
        </w:rPr>
        <w:t xml:space="preserve"> nacionalnog fonda zgrada kroz energetsku obnovu stambenih i nestambenih zgrada s usmjeravanjem obnove prema dubinskim obnovama i </w:t>
      </w:r>
      <w:proofErr w:type="spellStart"/>
      <w:r w:rsidRPr="006414E6">
        <w:rPr>
          <w:rFonts w:cs="Times New Roman"/>
        </w:rPr>
        <w:t>nZEB</w:t>
      </w:r>
      <w:proofErr w:type="spellEnd"/>
      <w:r w:rsidRPr="006414E6">
        <w:rPr>
          <w:rFonts w:cs="Times New Roman"/>
        </w:rPr>
        <w:t xml:space="preserve"> standardu utvrđenom za obnovu</w:t>
      </w:r>
    </w:p>
    <w:p w14:paraId="73410960" w14:textId="00F5611A" w:rsidR="0067479F" w:rsidRPr="006414E6" w:rsidRDefault="0067479F" w:rsidP="008C2A8A">
      <w:pPr>
        <w:pStyle w:val="ListParagraph"/>
        <w:numPr>
          <w:ilvl w:val="0"/>
          <w:numId w:val="92"/>
        </w:numPr>
        <w:ind w:left="714" w:hanging="357"/>
        <w:rPr>
          <w:rFonts w:cs="Times New Roman"/>
        </w:rPr>
      </w:pPr>
      <w:r w:rsidRPr="006414E6">
        <w:rPr>
          <w:rFonts w:cs="Times New Roman"/>
        </w:rPr>
        <w:t>zamjenu demoliranog dijela fonda zgradama gotovo nulte energije</w:t>
      </w:r>
    </w:p>
    <w:p w14:paraId="1D0B5D4D" w14:textId="27777D56" w:rsidR="0067479F" w:rsidRPr="006414E6" w:rsidRDefault="0067479F" w:rsidP="008C2A8A">
      <w:pPr>
        <w:pStyle w:val="ListParagraph"/>
        <w:numPr>
          <w:ilvl w:val="0"/>
          <w:numId w:val="92"/>
        </w:numPr>
        <w:ind w:left="714" w:hanging="357"/>
        <w:rPr>
          <w:rFonts w:cs="Times New Roman"/>
        </w:rPr>
      </w:pPr>
      <w:r w:rsidRPr="006414E6">
        <w:rPr>
          <w:rFonts w:cs="Times New Roman"/>
        </w:rPr>
        <w:t>zamjenu postojećih kućanskih uređaja, uredske opreme i rasvjete visokoučinkovitima.</w:t>
      </w:r>
    </w:p>
    <w:p w14:paraId="47E1EA83" w14:textId="62C4E047" w:rsidR="00BF77F7" w:rsidRPr="006414E6" w:rsidRDefault="00BF77F7" w:rsidP="00BF77F7">
      <w:pPr>
        <w:rPr>
          <w:rFonts w:cs="Times New Roman"/>
        </w:rPr>
      </w:pPr>
      <w:r w:rsidRPr="006414E6">
        <w:rPr>
          <w:rFonts w:cs="Times New Roman"/>
          <w:b/>
        </w:rPr>
        <w:t>Energetska obnova zgrada.</w:t>
      </w:r>
      <w:r w:rsidRPr="006414E6">
        <w:rPr>
          <w:rFonts w:cs="Times New Roman"/>
        </w:rPr>
        <w:t xml:space="preserve"> </w:t>
      </w:r>
      <w:r w:rsidR="0067479F" w:rsidRPr="006414E6">
        <w:rPr>
          <w:rFonts w:cs="Times New Roman"/>
        </w:rPr>
        <w:t xml:space="preserve">Prioritetna mjera u sektoru kućanstva i usluga je energetska obnova zgrada. U zgradarstvu se predviđa nastavak dobre prakse povećanje toplinske zaštite ovojnica postojećih zgrada, unapređenje tehničkih sustava zgrade koji uključuju tehničku opremu za grijanje, hlađenje, ventilaciju, klimatizaciju i pripremu potrošne tople vode, sustav rasvjete, sustav automatizacije i upravljanja zgrade iii njezina dijela te uvođenje sustava obnovljivih izvora energije, zamjenu kućanskih uređaja za učinkovitije i one koje dovode do manjih emisija stakleničkih plinova. Potrebno je poticati energetsku obnovu postojećih zgrada poboljšavanjem energetskih svojstava zgrada i smanjenjem energetskih potreba za grijanjem i hlađenjem. Također je važno nastaviti provedbu mjera za povećanje energetske učinkovitosti u sustavima javne rasvjete kao dijela uslužnog sektora. Za ostvarenje ciljeva u zgradarstvu predviđa se snažno korištenje financijskih mehanizama, koji podrazumijevaju kako bespovratna sredstva tako i financijske instrumente koji će omogućiti mobilizaciju privatnog kapitala. </w:t>
      </w:r>
    </w:p>
    <w:p w14:paraId="16210FBA" w14:textId="77777777" w:rsidR="00FC262B" w:rsidRPr="006414E6" w:rsidRDefault="00FC262B" w:rsidP="00FC262B">
      <w:pPr>
        <w:rPr>
          <w:rFonts w:cs="Times New Roman"/>
        </w:rPr>
      </w:pPr>
      <w:r w:rsidRPr="006414E6">
        <w:rPr>
          <w:rFonts w:cs="Times New Roman"/>
          <w:b/>
        </w:rPr>
        <w:t>Modernizacija termotehničkih sustava.</w:t>
      </w:r>
      <w:r w:rsidRPr="006414E6">
        <w:rPr>
          <w:rFonts w:cs="Times New Roman"/>
        </w:rPr>
        <w:t xml:space="preserve"> Potencijal za smanjenje emisija u zgradarstvu prepoznat je </w:t>
      </w:r>
      <w:r w:rsidR="006B0D5F" w:rsidRPr="006414E6">
        <w:rPr>
          <w:rFonts w:cs="Times New Roman"/>
        </w:rPr>
        <w:t xml:space="preserve">i </w:t>
      </w:r>
      <w:r w:rsidRPr="006414E6">
        <w:rPr>
          <w:rFonts w:cs="Times New Roman"/>
        </w:rPr>
        <w:t>u primjeni s</w:t>
      </w:r>
      <w:r w:rsidR="00F36C27" w:rsidRPr="006414E6">
        <w:rPr>
          <w:rFonts w:cs="Times New Roman"/>
        </w:rPr>
        <w:t xml:space="preserve">unčevih </w:t>
      </w:r>
      <w:r w:rsidRPr="006414E6">
        <w:rPr>
          <w:rFonts w:cs="Times New Roman"/>
        </w:rPr>
        <w:t xml:space="preserve">toplinskih sustava, sustava za korištenje modernih oblika biomase (peleti, briketi, </w:t>
      </w:r>
      <w:proofErr w:type="spellStart"/>
      <w:r w:rsidRPr="006414E6">
        <w:rPr>
          <w:rFonts w:cs="Times New Roman"/>
        </w:rPr>
        <w:t>agropeleti</w:t>
      </w:r>
      <w:proofErr w:type="spellEnd"/>
      <w:r w:rsidRPr="006414E6">
        <w:rPr>
          <w:rFonts w:cs="Times New Roman"/>
        </w:rPr>
        <w:t>, drvna sječka), dizalica topline te u razvoju CTS-a.</w:t>
      </w:r>
    </w:p>
    <w:p w14:paraId="0D64FF75" w14:textId="77777777" w:rsidR="006B0D5F" w:rsidRPr="006414E6" w:rsidRDefault="00FC262B" w:rsidP="00FC262B">
      <w:pPr>
        <w:rPr>
          <w:rFonts w:cs="Times New Roman"/>
        </w:rPr>
      </w:pPr>
      <w:r w:rsidRPr="006414E6">
        <w:rPr>
          <w:rFonts w:cs="Times New Roman"/>
        </w:rPr>
        <w:t>Energetskom obnovom ovojnice zgrada smanjuju se potrebe za korisnom toplinom po m</w:t>
      </w:r>
      <w:r w:rsidRPr="006414E6">
        <w:rPr>
          <w:rFonts w:cs="Times New Roman"/>
          <w:vertAlign w:val="superscript"/>
        </w:rPr>
        <w:t>2</w:t>
      </w:r>
      <w:r w:rsidRPr="006414E6">
        <w:rPr>
          <w:rFonts w:cs="Times New Roman"/>
        </w:rPr>
        <w:t xml:space="preserve"> stambenog prostora</w:t>
      </w:r>
      <w:r w:rsidR="006B0D5F" w:rsidRPr="006414E6">
        <w:rPr>
          <w:rFonts w:cs="Times New Roman"/>
        </w:rPr>
        <w:t xml:space="preserve"> te se</w:t>
      </w:r>
      <w:r w:rsidRPr="006414E6">
        <w:rPr>
          <w:rFonts w:cs="Times New Roman"/>
        </w:rPr>
        <w:t xml:space="preserve"> </w:t>
      </w:r>
      <w:r w:rsidRPr="006414E6">
        <w:rPr>
          <w:rFonts w:cs="Times New Roman"/>
          <w:b/>
        </w:rPr>
        <w:t>povećava prikladnost korištenja dizalica topline za grijanje</w:t>
      </w:r>
      <w:r w:rsidRPr="006414E6">
        <w:rPr>
          <w:rFonts w:cs="Times New Roman"/>
        </w:rPr>
        <w:t xml:space="preserve">. Stoga su dizalice topline </w:t>
      </w:r>
      <w:r w:rsidRPr="006414E6">
        <w:rPr>
          <w:rFonts w:cs="Times New Roman"/>
        </w:rPr>
        <w:lastRenderedPageBreak/>
        <w:t xml:space="preserve">prepoznate kao tehnologije s velikim potencijalom za razvoj i korištenje nakon provedbe energetske obnove ovojnice zgrada. </w:t>
      </w:r>
    </w:p>
    <w:p w14:paraId="465CC1EB" w14:textId="77777777" w:rsidR="00FC262B" w:rsidRPr="006414E6" w:rsidRDefault="00FC262B" w:rsidP="00FC262B">
      <w:pPr>
        <w:rPr>
          <w:rFonts w:cs="Times New Roman"/>
        </w:rPr>
      </w:pPr>
      <w:r w:rsidRPr="006414E6">
        <w:rPr>
          <w:rFonts w:cs="Times New Roman"/>
        </w:rPr>
        <w:t>U primorskoj Hrvatskoj težište će biti na dizalicama topline i sunč</w:t>
      </w:r>
      <w:r w:rsidR="00F36C27" w:rsidRPr="006414E6">
        <w:rPr>
          <w:rFonts w:cs="Times New Roman"/>
        </w:rPr>
        <w:t xml:space="preserve">evim </w:t>
      </w:r>
      <w:r w:rsidRPr="006414E6">
        <w:rPr>
          <w:rFonts w:cs="Times New Roman"/>
        </w:rPr>
        <w:t xml:space="preserve">toplinskim sustavima, a u kontinentalnoj Hrvatskoj na </w:t>
      </w:r>
      <w:r w:rsidR="006B0D5F" w:rsidRPr="006414E6">
        <w:rPr>
          <w:rFonts w:cs="Times New Roman"/>
        </w:rPr>
        <w:t xml:space="preserve">CTS-u </w:t>
      </w:r>
      <w:r w:rsidRPr="006414E6">
        <w:rPr>
          <w:rFonts w:cs="Times New Roman"/>
        </w:rPr>
        <w:t xml:space="preserve">i </w:t>
      </w:r>
      <w:r w:rsidRPr="006414E6">
        <w:rPr>
          <w:rFonts w:cs="Times New Roman"/>
          <w:b/>
        </w:rPr>
        <w:t>korištenju biomase</w:t>
      </w:r>
      <w:r w:rsidRPr="006414E6">
        <w:rPr>
          <w:rFonts w:cs="Times New Roman"/>
        </w:rPr>
        <w:t>, ali u modernim oblicima, a ne kao ogrjevno drvo u formi cjepanica. Korištenje prirodnog plina će se nastaviti, ali sa smanjivanjem potrošnje.</w:t>
      </w:r>
    </w:p>
    <w:p w14:paraId="5575E9E5" w14:textId="77777777" w:rsidR="00FC262B" w:rsidRPr="006414E6" w:rsidRDefault="00FC262B" w:rsidP="00FC262B">
      <w:pPr>
        <w:rPr>
          <w:rFonts w:cs="Times New Roman"/>
        </w:rPr>
      </w:pPr>
      <w:r w:rsidRPr="006414E6">
        <w:rPr>
          <w:rFonts w:cs="Times New Roman"/>
        </w:rPr>
        <w:t xml:space="preserve">Kako bi se postiglo smanjenje emisija u sektorima opće potrošnje prikladna mjera je proširenje zgrada koje koriste toplinu iz </w:t>
      </w:r>
      <w:r w:rsidR="006B0D5F" w:rsidRPr="006414E6">
        <w:rPr>
          <w:rFonts w:cs="Times New Roman"/>
          <w:b/>
        </w:rPr>
        <w:t>CTS-a</w:t>
      </w:r>
      <w:r w:rsidR="00105722" w:rsidRPr="006414E6">
        <w:rPr>
          <w:rFonts w:cs="Times New Roman"/>
        </w:rPr>
        <w:t>.</w:t>
      </w:r>
      <w:r w:rsidRPr="006414E6">
        <w:rPr>
          <w:rFonts w:cs="Times New Roman"/>
        </w:rPr>
        <w:t xml:space="preserve"> Potencijal je prvenstveno u većim, ali i manjim gradovima koji su prikladni za razvoj toplinskih mreža i </w:t>
      </w:r>
      <w:proofErr w:type="spellStart"/>
      <w:r w:rsidRPr="006414E6">
        <w:rPr>
          <w:rFonts w:cs="Times New Roman"/>
        </w:rPr>
        <w:t>kogeneracijskih</w:t>
      </w:r>
      <w:proofErr w:type="spellEnd"/>
      <w:r w:rsidRPr="006414E6">
        <w:rPr>
          <w:rFonts w:cs="Times New Roman"/>
        </w:rPr>
        <w:t xml:space="preserve"> elektrana. </w:t>
      </w:r>
      <w:r w:rsidR="006B0D5F" w:rsidRPr="006414E6">
        <w:rPr>
          <w:rFonts w:cs="Times New Roman"/>
        </w:rPr>
        <w:t xml:space="preserve">CTS </w:t>
      </w:r>
      <w:r w:rsidRPr="006414E6">
        <w:rPr>
          <w:rFonts w:cs="Times New Roman"/>
        </w:rPr>
        <w:t>može uvelike pomoći u poboljšanju kvalitete zraka i rješavanju prekomjernog onečišćenja česticama u nekim gradovima. Stoga u planiranju poticajnih mjera treba uzeti u obzir ove koristi.</w:t>
      </w:r>
    </w:p>
    <w:p w14:paraId="7800A206" w14:textId="77777777" w:rsidR="00FC262B" w:rsidRPr="006414E6" w:rsidRDefault="00FC262B" w:rsidP="00FC262B">
      <w:pPr>
        <w:rPr>
          <w:rFonts w:cs="Times New Roman"/>
        </w:rPr>
      </w:pPr>
      <w:r w:rsidRPr="006414E6">
        <w:rPr>
          <w:rFonts w:cs="Times New Roman"/>
          <w:b/>
        </w:rPr>
        <w:t>Prestanak korištenja loživog ulja</w:t>
      </w:r>
      <w:r w:rsidRPr="006414E6">
        <w:rPr>
          <w:rFonts w:cs="Times New Roman"/>
        </w:rPr>
        <w:t xml:space="preserve"> za grijanje i pripremu potrošne tople vode u kontinentalnoj Hrvatskoj te minimiziranje potrošnje u primorskoj Hrvatskoj, zamjenom za plin, UNP, centralizirane toplinske sustave, dizalice topline, biomasu i sunč</w:t>
      </w:r>
      <w:r w:rsidR="00F36C27" w:rsidRPr="006414E6">
        <w:rPr>
          <w:rFonts w:cs="Times New Roman"/>
        </w:rPr>
        <w:t xml:space="preserve">ane </w:t>
      </w:r>
      <w:r w:rsidRPr="006414E6">
        <w:rPr>
          <w:rFonts w:cs="Times New Roman"/>
        </w:rPr>
        <w:t>toplinske sustave.</w:t>
      </w:r>
    </w:p>
    <w:p w14:paraId="0E50F6BF" w14:textId="77777777" w:rsidR="00FC262B" w:rsidRPr="006414E6" w:rsidRDefault="00FC262B" w:rsidP="00FC262B">
      <w:pPr>
        <w:rPr>
          <w:rFonts w:eastAsia="Times New Roman" w:cs="Times New Roman"/>
          <w:lang w:eastAsia="hr-HR"/>
        </w:rPr>
      </w:pPr>
      <w:r w:rsidRPr="006414E6">
        <w:rPr>
          <w:rFonts w:cs="Times New Roman"/>
          <w:b/>
        </w:rPr>
        <w:t>Obnova i modernizacija kućanskih uređaja</w:t>
      </w:r>
      <w:r w:rsidRPr="006414E6">
        <w:rPr>
          <w:rFonts w:cs="Times New Roman"/>
        </w:rPr>
        <w:t xml:space="preserve"> te povećanje energetske učinkovitosti kućanskih i uslužnih uređaja do A razreda ili višeg do 2050. godine. </w:t>
      </w:r>
      <w:r w:rsidRPr="006414E6">
        <w:rPr>
          <w:rFonts w:eastAsia="Times New Roman" w:cs="Times New Roman"/>
          <w:lang w:eastAsia="hr-HR"/>
        </w:rPr>
        <w:t>Očekuje se kako će unatoč povećanju učinkovitosti kućanskih uređaja njihova potrošnja električne energije rasti uslijed porasta životnog standarda i broja uređaja po kućanstvu.</w:t>
      </w:r>
    </w:p>
    <w:p w14:paraId="2A9FA809" w14:textId="77777777" w:rsidR="00FC262B" w:rsidRPr="006414E6" w:rsidRDefault="00FC262B" w:rsidP="00FC262B">
      <w:pPr>
        <w:rPr>
          <w:rFonts w:cs="Times New Roman"/>
          <w:lang w:eastAsia="hr-HR"/>
        </w:rPr>
      </w:pPr>
      <w:r w:rsidRPr="006414E6">
        <w:rPr>
          <w:rFonts w:cs="Times New Roman"/>
          <w:lang w:eastAsia="hr-HR"/>
        </w:rPr>
        <w:t xml:space="preserve">U uslužnim djelatnostima, veliki potencijal gospodarske koristi i </w:t>
      </w:r>
      <w:r w:rsidRPr="006414E6">
        <w:rPr>
          <w:rFonts w:cs="Times New Roman"/>
        </w:rPr>
        <w:t>rast površine zgrada očekuje se u sektoru turizma. Međutim, kroz energetsku obnovu postojećih objekata i izgradnju novih niskoenergetskih postoji potencijal za održavanje razine neposredne potrošnje energije i smanjenje emisija stakleničkih plinova.</w:t>
      </w:r>
      <w:r w:rsidRPr="006414E6">
        <w:rPr>
          <w:rFonts w:cs="Times New Roman"/>
          <w:lang w:eastAsia="hr-HR"/>
        </w:rPr>
        <w:t xml:space="preserve">  </w:t>
      </w:r>
    </w:p>
    <w:p w14:paraId="34184D6E" w14:textId="17BDA01F" w:rsidR="005536C1" w:rsidRPr="006414E6" w:rsidRDefault="005536C1" w:rsidP="00EE3488">
      <w:pPr>
        <w:pStyle w:val="Heading3"/>
      </w:pPr>
      <w:bookmarkStart w:id="251" w:name="_Toc39133292"/>
      <w:r w:rsidRPr="006414E6">
        <w:t xml:space="preserve">6.4.3. Smjernice za </w:t>
      </w:r>
      <w:proofErr w:type="spellStart"/>
      <w:r w:rsidRPr="006414E6">
        <w:t>niskougljični</w:t>
      </w:r>
      <w:proofErr w:type="spellEnd"/>
      <w:r w:rsidRPr="006414E6">
        <w:t xml:space="preserve"> razvoj</w:t>
      </w:r>
      <w:bookmarkEnd w:id="251"/>
    </w:p>
    <w:p w14:paraId="185C574C" w14:textId="77777777" w:rsidR="00FC262B" w:rsidRPr="00CA4A1D" w:rsidRDefault="00FC262B" w:rsidP="00CA4A1D">
      <w:pPr>
        <w:rPr>
          <w:rFonts w:cs="Times New Roman"/>
          <w:u w:val="single"/>
        </w:rPr>
      </w:pPr>
      <w:r w:rsidRPr="00CA4A1D">
        <w:rPr>
          <w:rFonts w:cs="Times New Roman"/>
          <w:u w:val="single"/>
        </w:rPr>
        <w:t>Do 2030. godine</w:t>
      </w:r>
    </w:p>
    <w:p w14:paraId="3D34D94F" w14:textId="45C73968" w:rsidR="00FC262B" w:rsidRPr="006414E6" w:rsidRDefault="0067479F" w:rsidP="00CA4A1D">
      <w:pPr>
        <w:pStyle w:val="ListParagraph"/>
        <w:numPr>
          <w:ilvl w:val="0"/>
          <w:numId w:val="38"/>
        </w:numPr>
        <w:rPr>
          <w:rFonts w:cs="Times New Roman"/>
          <w:lang w:eastAsia="hr-HR"/>
        </w:rPr>
      </w:pPr>
      <w:r w:rsidRPr="006414E6">
        <w:rPr>
          <w:rFonts w:cs="Times New Roman"/>
          <w:lang w:eastAsia="hr-HR"/>
        </w:rPr>
        <w:t xml:space="preserve">Potrebno je nastaviti provedbu energetske obnove zgrada s konačnim ciljem transformacije postojećeg fonda u energetski visokoučinkovit i dekarboniziran fond zgrada. </w:t>
      </w:r>
      <w:r w:rsidR="00FC262B" w:rsidRPr="006414E6">
        <w:rPr>
          <w:rFonts w:cs="Times New Roman"/>
          <w:lang w:eastAsia="hr-HR"/>
        </w:rPr>
        <w:t xml:space="preserve"> </w:t>
      </w:r>
    </w:p>
    <w:p w14:paraId="2F818803" w14:textId="77777777" w:rsidR="00FC262B" w:rsidRPr="006414E6" w:rsidRDefault="00FC262B" w:rsidP="003A2F37">
      <w:pPr>
        <w:pStyle w:val="ListParagraph"/>
        <w:numPr>
          <w:ilvl w:val="0"/>
          <w:numId w:val="38"/>
        </w:numPr>
        <w:rPr>
          <w:rFonts w:cs="Times New Roman"/>
          <w:lang w:eastAsia="hr-HR"/>
        </w:rPr>
      </w:pPr>
      <w:r w:rsidRPr="006414E6">
        <w:rPr>
          <w:rFonts w:cs="Times New Roman"/>
          <w:lang w:eastAsia="hr-HR"/>
        </w:rPr>
        <w:t xml:space="preserve">Zbog zahtjeva za povećanjem učinkovitosti i smanjenjem emisija onečišćujućih tvari, preporuča se poticanje </w:t>
      </w:r>
      <w:r w:rsidR="00BF6879" w:rsidRPr="006414E6">
        <w:rPr>
          <w:rFonts w:cs="Times New Roman"/>
          <w:lang w:eastAsia="hr-HR"/>
        </w:rPr>
        <w:t xml:space="preserve">CTS-a </w:t>
      </w:r>
      <w:r w:rsidRPr="006414E6">
        <w:rPr>
          <w:rFonts w:cs="Times New Roman"/>
          <w:lang w:eastAsia="hr-HR"/>
        </w:rPr>
        <w:t xml:space="preserve">na biomasu gdje je moguće, a tek potom individualnih sustava koji koriste modernu biomasu, kao što su peleti ili briketi. Potrebno je napraviti dodatnu analizu potreba za poticajima u korištenju OIE za grijanje i hlađenje kako bi se utvrdila nužnost poticaja ovakvih sustava za ostvarenje ciljeva do 2030. godine. </w:t>
      </w:r>
    </w:p>
    <w:p w14:paraId="174BAC8A" w14:textId="77777777" w:rsidR="00BF6879" w:rsidRPr="006414E6" w:rsidRDefault="0040369F" w:rsidP="003A2F37">
      <w:pPr>
        <w:pStyle w:val="ListParagraph"/>
        <w:numPr>
          <w:ilvl w:val="0"/>
          <w:numId w:val="38"/>
        </w:numPr>
        <w:rPr>
          <w:rFonts w:cs="Times New Roman"/>
        </w:rPr>
      </w:pPr>
      <w:r w:rsidRPr="006414E6">
        <w:rPr>
          <w:rFonts w:cs="Times New Roman"/>
        </w:rPr>
        <w:t>Potrebno je izraditi a</w:t>
      </w:r>
      <w:r w:rsidR="00BF6879" w:rsidRPr="006414E6">
        <w:rPr>
          <w:rFonts w:cs="Times New Roman"/>
        </w:rPr>
        <w:t>naliz</w:t>
      </w:r>
      <w:r w:rsidRPr="006414E6">
        <w:rPr>
          <w:rFonts w:cs="Times New Roman"/>
        </w:rPr>
        <w:t>u</w:t>
      </w:r>
      <w:r w:rsidR="00BF6879" w:rsidRPr="006414E6">
        <w:rPr>
          <w:rFonts w:cs="Times New Roman"/>
        </w:rPr>
        <w:t xml:space="preserve"> i prijedlog rješenja za zamjenu korištenja krute biomase u kućanstvima, u gradovima koji imaju prekomjerno onečišćenje sitnim česticama i provode akcijske planove poboljšanja kvalitete zraka. </w:t>
      </w:r>
    </w:p>
    <w:p w14:paraId="4D26EE9E" w14:textId="77777777" w:rsidR="0040369F" w:rsidRPr="006414E6" w:rsidRDefault="00BF6879" w:rsidP="003A2F37">
      <w:pPr>
        <w:pStyle w:val="ListParagraph"/>
        <w:numPr>
          <w:ilvl w:val="0"/>
          <w:numId w:val="38"/>
        </w:numPr>
        <w:rPr>
          <w:rFonts w:cs="Times New Roman"/>
        </w:rPr>
      </w:pPr>
      <w:r w:rsidRPr="006414E6">
        <w:rPr>
          <w:rFonts w:cs="Times New Roman"/>
        </w:rPr>
        <w:t xml:space="preserve">Predlaže se uvođenje planiranja integralne urbane obnove na razini gradskih četvrti kako bi se olakšao razvoj CTS-a i modernizacija sustava grijanja. </w:t>
      </w:r>
    </w:p>
    <w:p w14:paraId="699CFDFC" w14:textId="77777777" w:rsidR="00BF6879" w:rsidRPr="006414E6" w:rsidRDefault="00BF6879" w:rsidP="003A2F37">
      <w:pPr>
        <w:pStyle w:val="ListParagraph"/>
        <w:numPr>
          <w:ilvl w:val="0"/>
          <w:numId w:val="38"/>
        </w:numPr>
        <w:rPr>
          <w:rFonts w:cs="Times New Roman"/>
        </w:rPr>
      </w:pPr>
      <w:r w:rsidRPr="006414E6">
        <w:rPr>
          <w:rFonts w:cs="Times New Roman"/>
        </w:rPr>
        <w:t xml:space="preserve">Potrebno je sektor turizma potaknuti na bržu primjenu politika </w:t>
      </w:r>
      <w:proofErr w:type="spellStart"/>
      <w:r w:rsidRPr="006414E6">
        <w:rPr>
          <w:rFonts w:cs="Times New Roman"/>
        </w:rPr>
        <w:t>niskougljičnog</w:t>
      </w:r>
      <w:proofErr w:type="spellEnd"/>
      <w:r w:rsidRPr="006414E6">
        <w:rPr>
          <w:rFonts w:cs="Times New Roman"/>
        </w:rPr>
        <w:t xml:space="preserve"> razvoja.</w:t>
      </w:r>
    </w:p>
    <w:p w14:paraId="46C89D8A" w14:textId="1048F266" w:rsidR="00FC262B" w:rsidRPr="006414E6" w:rsidRDefault="00CB4109" w:rsidP="003A2F37">
      <w:pPr>
        <w:pStyle w:val="ListParagraph"/>
        <w:numPr>
          <w:ilvl w:val="0"/>
          <w:numId w:val="38"/>
        </w:numPr>
        <w:rPr>
          <w:rFonts w:cs="Times New Roman"/>
          <w:lang w:eastAsia="hr-HR"/>
        </w:rPr>
      </w:pPr>
      <w:r w:rsidRPr="006414E6">
        <w:rPr>
          <w:rFonts w:cs="Times New Roman"/>
          <w:lang w:eastAsia="hr-HR"/>
        </w:rPr>
        <w:t>Postojeći fond zgrada dubinski obnoviti, a nove zgrade graditi u standardu zgrada gotovo nulte energije (</w:t>
      </w:r>
      <w:proofErr w:type="spellStart"/>
      <w:r w:rsidRPr="006414E6">
        <w:rPr>
          <w:rFonts w:cs="Times New Roman"/>
          <w:lang w:eastAsia="hr-HR"/>
        </w:rPr>
        <w:t>nZEB</w:t>
      </w:r>
      <w:proofErr w:type="spellEnd"/>
      <w:r w:rsidRPr="006414E6">
        <w:rPr>
          <w:rFonts w:cs="Times New Roman"/>
          <w:lang w:eastAsia="hr-HR"/>
        </w:rPr>
        <w:t>).</w:t>
      </w:r>
    </w:p>
    <w:p w14:paraId="19508DAD" w14:textId="77777777" w:rsidR="00FC262B" w:rsidRPr="006414E6" w:rsidRDefault="00FC262B" w:rsidP="003A2F37">
      <w:pPr>
        <w:pStyle w:val="ListParagraph"/>
        <w:numPr>
          <w:ilvl w:val="0"/>
          <w:numId w:val="38"/>
        </w:numPr>
        <w:rPr>
          <w:rFonts w:cs="Times New Roman"/>
          <w:lang w:eastAsia="hr-HR"/>
        </w:rPr>
      </w:pPr>
      <w:r w:rsidRPr="006414E6">
        <w:rPr>
          <w:rFonts w:cs="Times New Roman"/>
          <w:lang w:eastAsia="hr-HR"/>
        </w:rPr>
        <w:t xml:space="preserve">Očekuje se da će potrebe za energijom za hlađenje rasti te se preporučuje da se u skladu s Europskim trendovima razmotre mogućnosti za poticanje sustava akumulacije rashladne energije u zgradarstvu, sustava za centralno hlađenje u gradovima koji imaju mogućnosti čime bi se optimizirao rad i iskorištavanje topline u ljetnim mjesecima kod </w:t>
      </w:r>
      <w:proofErr w:type="spellStart"/>
      <w:r w:rsidRPr="006414E6">
        <w:rPr>
          <w:rFonts w:cs="Times New Roman"/>
          <w:lang w:eastAsia="hr-HR"/>
        </w:rPr>
        <w:t>kogeneracijskih</w:t>
      </w:r>
      <w:proofErr w:type="spellEnd"/>
      <w:r w:rsidRPr="006414E6">
        <w:rPr>
          <w:rFonts w:cs="Times New Roman"/>
          <w:lang w:eastAsia="hr-HR"/>
        </w:rPr>
        <w:t xml:space="preserve"> postrojenja, sustava za hlađenje u zgradarstvu te ostalih inovativnih mogućnosti.</w:t>
      </w:r>
    </w:p>
    <w:p w14:paraId="43CB0230" w14:textId="77777777" w:rsidR="00FC262B" w:rsidRPr="00CA4A1D" w:rsidRDefault="00FC262B" w:rsidP="00CA4A1D">
      <w:pPr>
        <w:rPr>
          <w:rFonts w:cs="Times New Roman"/>
          <w:u w:val="single"/>
        </w:rPr>
      </w:pPr>
      <w:r w:rsidRPr="00CA4A1D">
        <w:rPr>
          <w:rFonts w:cs="Times New Roman"/>
          <w:u w:val="single"/>
        </w:rPr>
        <w:t>Do 2050. godine</w:t>
      </w:r>
    </w:p>
    <w:p w14:paraId="0569D4C0" w14:textId="77777777" w:rsidR="00FC262B" w:rsidRPr="006414E6" w:rsidRDefault="00FC262B" w:rsidP="00CA4A1D">
      <w:pPr>
        <w:pStyle w:val="ListParagraph"/>
        <w:numPr>
          <w:ilvl w:val="0"/>
          <w:numId w:val="54"/>
        </w:numPr>
        <w:spacing w:line="240" w:lineRule="auto"/>
        <w:rPr>
          <w:rFonts w:eastAsia="Times New Roman" w:cs="Times New Roman"/>
          <w:lang w:eastAsia="hr-HR"/>
        </w:rPr>
      </w:pPr>
      <w:r w:rsidRPr="006414E6">
        <w:rPr>
          <w:rFonts w:eastAsia="Times New Roman" w:cs="Times New Roman"/>
          <w:lang w:eastAsia="hr-HR"/>
        </w:rPr>
        <w:lastRenderedPageBreak/>
        <w:t xml:space="preserve">Smanjenje emisija u ovim sektorima ovisit će o nastavku provedbe mjera, a dinamika obnove zgrada nakon 2030. godine ovisit će o provedenom napretku do 2030. godine, okruženju te mogućnostima. </w:t>
      </w:r>
      <w:r w:rsidR="008C6A4E" w:rsidRPr="006414E6">
        <w:rPr>
          <w:rFonts w:eastAsia="Times New Roman" w:cs="Times New Roman"/>
          <w:lang w:eastAsia="hr-HR"/>
        </w:rPr>
        <w:t xml:space="preserve">U ovom razdoblju sva bi nova gradnja trebala biti  </w:t>
      </w:r>
      <w:r w:rsidR="008C6A4E" w:rsidRPr="00CA4A1D">
        <w:rPr>
          <w:rFonts w:eastAsia="Times New Roman" w:cs="Times New Roman"/>
          <w:lang w:eastAsia="hr-HR"/>
        </w:rPr>
        <w:t>gotovo nulte potrošnje energije, koja uključuje i primjenu obnovljivih izvora energije.</w:t>
      </w:r>
    </w:p>
    <w:p w14:paraId="481387A4" w14:textId="77777777" w:rsidR="00FC262B" w:rsidRPr="006414E6" w:rsidRDefault="00FC262B" w:rsidP="003A2F37">
      <w:pPr>
        <w:pStyle w:val="ListParagraph"/>
        <w:numPr>
          <w:ilvl w:val="0"/>
          <w:numId w:val="54"/>
        </w:numPr>
        <w:spacing w:line="240" w:lineRule="auto"/>
        <w:rPr>
          <w:rFonts w:eastAsia="Times New Roman" w:cs="Times New Roman"/>
          <w:lang w:eastAsia="hr-HR"/>
        </w:rPr>
      </w:pPr>
      <w:r w:rsidRPr="006414E6">
        <w:rPr>
          <w:rFonts w:eastAsia="Times New Roman" w:cs="Times New Roman"/>
          <w:lang w:eastAsia="hr-HR"/>
        </w:rPr>
        <w:t>Po pitanju korištenja OIE, predviđen je nastavak porasta korištenja s</w:t>
      </w:r>
      <w:r w:rsidR="00F36C27" w:rsidRPr="006414E6">
        <w:rPr>
          <w:rFonts w:eastAsia="Times New Roman" w:cs="Times New Roman"/>
          <w:lang w:eastAsia="hr-HR"/>
        </w:rPr>
        <w:t xml:space="preserve">unčevih </w:t>
      </w:r>
      <w:r w:rsidRPr="006414E6">
        <w:rPr>
          <w:rFonts w:eastAsia="Times New Roman" w:cs="Times New Roman"/>
          <w:lang w:eastAsia="hr-HR"/>
        </w:rPr>
        <w:t xml:space="preserve">toplinskih sustava za </w:t>
      </w:r>
      <w:r w:rsidR="00BF6879" w:rsidRPr="006414E6">
        <w:rPr>
          <w:rFonts w:eastAsia="Times New Roman" w:cs="Times New Roman"/>
          <w:lang w:eastAsia="hr-HR"/>
        </w:rPr>
        <w:t>pripremu tople</w:t>
      </w:r>
      <w:r w:rsidRPr="006414E6">
        <w:rPr>
          <w:rFonts w:eastAsia="Times New Roman" w:cs="Times New Roman"/>
          <w:lang w:eastAsia="hr-HR"/>
        </w:rPr>
        <w:t xml:space="preserve"> vod</w:t>
      </w:r>
      <w:r w:rsidR="00BF6879" w:rsidRPr="006414E6">
        <w:rPr>
          <w:rFonts w:eastAsia="Times New Roman" w:cs="Times New Roman"/>
          <w:lang w:eastAsia="hr-HR"/>
        </w:rPr>
        <w:t xml:space="preserve">e, povećanje zadovoljavanja </w:t>
      </w:r>
      <w:r w:rsidRPr="006414E6">
        <w:rPr>
          <w:rFonts w:eastAsia="Times New Roman" w:cs="Times New Roman"/>
          <w:lang w:eastAsia="hr-HR"/>
        </w:rPr>
        <w:t xml:space="preserve">potreba za grijanjem pomoću dizalica topline te daljnji razvoj </w:t>
      </w:r>
      <w:r w:rsidR="00BF6879" w:rsidRPr="006414E6">
        <w:rPr>
          <w:rFonts w:eastAsia="Times New Roman" w:cs="Times New Roman"/>
          <w:lang w:eastAsia="hr-HR"/>
        </w:rPr>
        <w:t xml:space="preserve">CTS-a </w:t>
      </w:r>
      <w:r w:rsidRPr="006414E6">
        <w:rPr>
          <w:rFonts w:eastAsia="Times New Roman" w:cs="Times New Roman"/>
          <w:lang w:eastAsia="hr-HR"/>
        </w:rPr>
        <w:t xml:space="preserve">koji koriste </w:t>
      </w:r>
      <w:r w:rsidR="00BF6879" w:rsidRPr="006414E6">
        <w:rPr>
          <w:rFonts w:eastAsia="Times New Roman" w:cs="Times New Roman"/>
          <w:lang w:eastAsia="hr-HR"/>
        </w:rPr>
        <w:t>OIE</w:t>
      </w:r>
      <w:r w:rsidRPr="006414E6">
        <w:rPr>
          <w:rFonts w:eastAsia="Times New Roman" w:cs="Times New Roman"/>
          <w:lang w:eastAsia="hr-HR"/>
        </w:rPr>
        <w:t xml:space="preserve"> uz smanjenje korištenja tradicionalnog ogrjevnog drva.</w:t>
      </w:r>
    </w:p>
    <w:p w14:paraId="304779C4" w14:textId="64501331" w:rsidR="00FC262B" w:rsidRPr="006414E6" w:rsidRDefault="00FC262B" w:rsidP="003A2F37">
      <w:pPr>
        <w:pStyle w:val="ListParagraph"/>
        <w:numPr>
          <w:ilvl w:val="0"/>
          <w:numId w:val="54"/>
        </w:numPr>
        <w:spacing w:line="240" w:lineRule="auto"/>
        <w:rPr>
          <w:rFonts w:eastAsia="Times New Roman" w:cs="Times New Roman"/>
          <w:lang w:eastAsia="hr-HR"/>
        </w:rPr>
      </w:pPr>
      <w:r w:rsidRPr="006414E6">
        <w:rPr>
          <w:rFonts w:eastAsia="Times New Roman" w:cs="Times New Roman"/>
          <w:lang w:eastAsia="hr-HR"/>
        </w:rPr>
        <w:t>Konačna isplativost i primjena rješenja ovisiti će o tehnološkom i komercijalnom razvoju tehnologija do 2050. godine.</w:t>
      </w:r>
    </w:p>
    <w:p w14:paraId="141C0CE3" w14:textId="1650A3DD" w:rsidR="00B00F23" w:rsidRPr="006414E6" w:rsidRDefault="00CB4109" w:rsidP="00B00F23">
      <w:pPr>
        <w:pStyle w:val="ListParagraph"/>
        <w:numPr>
          <w:ilvl w:val="0"/>
          <w:numId w:val="54"/>
        </w:numPr>
        <w:spacing w:line="240" w:lineRule="auto"/>
        <w:rPr>
          <w:rFonts w:eastAsia="Times New Roman" w:cs="Times New Roman"/>
          <w:lang w:eastAsia="hr-HR"/>
        </w:rPr>
      </w:pPr>
      <w:r w:rsidRPr="006414E6">
        <w:rPr>
          <w:rFonts w:eastAsia="Times New Roman" w:cs="Times New Roman"/>
          <w:lang w:eastAsia="hr-HR"/>
        </w:rPr>
        <w:t>Osigurati smanjenje emisije stakleničkih plinova u zgradama za 80% te transformirati fond zgrada gotovo nula energetske ili s visokom razinom energetske učinkovitosti.</w:t>
      </w:r>
    </w:p>
    <w:p w14:paraId="31A189EB" w14:textId="77777777" w:rsidR="009A170C" w:rsidRPr="006414E6" w:rsidRDefault="001241B9" w:rsidP="00EE3488">
      <w:pPr>
        <w:pStyle w:val="Heading2"/>
      </w:pPr>
      <w:bookmarkStart w:id="252" w:name="_Toc20841305"/>
      <w:bookmarkStart w:id="253" w:name="_Toc20841411"/>
      <w:bookmarkStart w:id="254" w:name="_Toc39133293"/>
      <w:r w:rsidRPr="006414E6">
        <w:t>6.</w:t>
      </w:r>
      <w:r w:rsidR="005536C1" w:rsidRPr="006414E6">
        <w:t>5</w:t>
      </w:r>
      <w:r w:rsidR="000E5653" w:rsidRPr="006414E6">
        <w:t>.</w:t>
      </w:r>
      <w:r w:rsidR="000013CA" w:rsidRPr="006414E6">
        <w:tab/>
      </w:r>
      <w:r w:rsidR="009A170C" w:rsidRPr="006414E6">
        <w:t>INDUSTRIJA</w:t>
      </w:r>
      <w:bookmarkEnd w:id="252"/>
      <w:bookmarkEnd w:id="253"/>
      <w:bookmarkEnd w:id="254"/>
    </w:p>
    <w:p w14:paraId="0E4FCFB3" w14:textId="77777777" w:rsidR="00132772" w:rsidRPr="006414E6" w:rsidRDefault="001241B9" w:rsidP="00EE3488">
      <w:pPr>
        <w:pStyle w:val="Heading3"/>
      </w:pPr>
      <w:bookmarkStart w:id="255" w:name="_Toc39133294"/>
      <w:r w:rsidRPr="006414E6">
        <w:t>6.</w:t>
      </w:r>
      <w:r w:rsidR="005536C1" w:rsidRPr="006414E6">
        <w:t>5</w:t>
      </w:r>
      <w:r w:rsidR="000E5653" w:rsidRPr="006414E6">
        <w:t>.1.</w:t>
      </w:r>
      <w:r w:rsidR="000E5653" w:rsidRPr="006414E6">
        <w:tab/>
      </w:r>
      <w:r w:rsidR="00132772" w:rsidRPr="006414E6">
        <w:t>Emisije</w:t>
      </w:r>
      <w:r w:rsidR="00943D87" w:rsidRPr="006414E6">
        <w:t xml:space="preserve"> stakleničkih plinova</w:t>
      </w:r>
      <w:bookmarkEnd w:id="255"/>
    </w:p>
    <w:p w14:paraId="6FB13D79" w14:textId="04DDCF4B" w:rsidR="009363A1" w:rsidRPr="006414E6" w:rsidRDefault="009363A1" w:rsidP="00CA4A1D">
      <w:pPr>
        <w:spacing w:line="240" w:lineRule="auto"/>
        <w:rPr>
          <w:rFonts w:cs="Times New Roman"/>
        </w:rPr>
      </w:pPr>
      <w:bookmarkStart w:id="256" w:name="_Hlk36802407"/>
      <w:r w:rsidRPr="006414E6">
        <w:rPr>
          <w:rFonts w:cs="Times New Roman"/>
        </w:rPr>
        <w:t xml:space="preserve">Emisija stakleničkih plinova prerađivačke industrije čini oko </w:t>
      </w:r>
      <w:r w:rsidR="00555BEB" w:rsidRPr="006414E6">
        <w:rPr>
          <w:rFonts w:cs="Times New Roman"/>
        </w:rPr>
        <w:t>21,1</w:t>
      </w:r>
      <w:r w:rsidRPr="006414E6">
        <w:rPr>
          <w:rFonts w:cs="Times New Roman"/>
        </w:rPr>
        <w:t>% ukupnih emisija Republike Hrvatske</w:t>
      </w:r>
      <w:r w:rsidR="00937CED" w:rsidRPr="006414E6">
        <w:rPr>
          <w:rFonts w:cs="Times New Roman"/>
        </w:rPr>
        <w:t xml:space="preserve"> (2018. godina)</w:t>
      </w:r>
      <w:r w:rsidRPr="006414E6">
        <w:rPr>
          <w:rFonts w:cs="Times New Roman"/>
        </w:rPr>
        <w:t>, od čega se 4</w:t>
      </w:r>
      <w:r w:rsidR="00555BEB" w:rsidRPr="006414E6">
        <w:rPr>
          <w:rFonts w:cs="Times New Roman"/>
        </w:rPr>
        <w:t>8,3</w:t>
      </w:r>
      <w:r w:rsidRPr="006414E6">
        <w:rPr>
          <w:rFonts w:cs="Times New Roman"/>
        </w:rPr>
        <w:t>% odnosi na emisije uslijed izgaranja goriva, a 5</w:t>
      </w:r>
      <w:r w:rsidR="00555BEB" w:rsidRPr="006414E6">
        <w:rPr>
          <w:rFonts w:cs="Times New Roman"/>
        </w:rPr>
        <w:t>1,7</w:t>
      </w:r>
      <w:r w:rsidRPr="006414E6">
        <w:rPr>
          <w:rFonts w:cs="Times New Roman"/>
        </w:rPr>
        <w:t>% na procesne emisije. U sklopu ovog sektora nisu uračunate emisije do kojih dolazi uslijed proizvodnje električne energije i topline koja je predana prerađivačkoj industriji, jer se one obračunavaju u drugim sektorima. Najveći izvori emisije stakleničkih plinova, zajedno s velikim energetskim izvorima, uključeni su u ETS sustav. To su: proizvodnja cementa, proizvodnja vapna i ostalih mineralnih proizvoda, proizvodnja amonijaka i dušične kiseline te proizvodnja željeza i čelika.</w:t>
      </w:r>
    </w:p>
    <w:p w14:paraId="2152F03B" w14:textId="686922DD" w:rsidR="00872FEB" w:rsidRPr="006414E6" w:rsidRDefault="00872FEB" w:rsidP="008C2A8A">
      <w:pPr>
        <w:spacing w:line="240" w:lineRule="auto"/>
        <w:rPr>
          <w:rFonts w:cs="Times New Roman"/>
        </w:rPr>
      </w:pPr>
      <w:bookmarkStart w:id="257" w:name="_Hlk36802421"/>
      <w:bookmarkEnd w:id="256"/>
      <w:r w:rsidRPr="006414E6">
        <w:rPr>
          <w:rFonts w:cs="Times New Roman"/>
        </w:rPr>
        <w:t>Emisija iz uporabe zamjenskih tvari za tvari koje oštećuju ozonski sloj (</w:t>
      </w:r>
      <w:proofErr w:type="spellStart"/>
      <w:r w:rsidRPr="006414E6">
        <w:rPr>
          <w:rFonts w:cs="Times New Roman"/>
        </w:rPr>
        <w:t>hidrofluorougljikovodici</w:t>
      </w:r>
      <w:proofErr w:type="spellEnd"/>
      <w:r w:rsidRPr="006414E6">
        <w:rPr>
          <w:rFonts w:cs="Times New Roman"/>
        </w:rPr>
        <w:t xml:space="preserve">, </w:t>
      </w:r>
      <w:proofErr w:type="spellStart"/>
      <w:r w:rsidRPr="006414E6">
        <w:rPr>
          <w:rFonts w:cs="Times New Roman"/>
        </w:rPr>
        <w:t>HFC</w:t>
      </w:r>
      <w:proofErr w:type="spellEnd"/>
      <w:r w:rsidRPr="006414E6">
        <w:rPr>
          <w:rFonts w:cs="Times New Roman"/>
        </w:rPr>
        <w:t xml:space="preserve">) </w:t>
      </w:r>
      <w:r w:rsidR="0018644D" w:rsidRPr="006414E6">
        <w:rPr>
          <w:rFonts w:cs="Times New Roman"/>
        </w:rPr>
        <w:t xml:space="preserve">je </w:t>
      </w:r>
      <w:r w:rsidR="00937CED" w:rsidRPr="006414E6">
        <w:rPr>
          <w:rFonts w:cs="Times New Roman"/>
        </w:rPr>
        <w:t xml:space="preserve">u 2018. godini bila na </w:t>
      </w:r>
      <w:r w:rsidR="0018644D" w:rsidRPr="006414E6">
        <w:rPr>
          <w:rFonts w:cs="Times New Roman"/>
        </w:rPr>
        <w:t xml:space="preserve">razini </w:t>
      </w:r>
      <w:r w:rsidR="00555BEB" w:rsidRPr="006414E6">
        <w:rPr>
          <w:rFonts w:cs="Times New Roman"/>
        </w:rPr>
        <w:t>2,1</w:t>
      </w:r>
      <w:r w:rsidRPr="006414E6">
        <w:rPr>
          <w:rFonts w:cs="Times New Roman"/>
        </w:rPr>
        <w:t xml:space="preserve">% ukupne emisije stakleničkih plinova Republike Hrvatske. Udio emisije iz potrošnje sumporovog </w:t>
      </w:r>
      <w:proofErr w:type="spellStart"/>
      <w:r w:rsidRPr="006414E6">
        <w:rPr>
          <w:rFonts w:cs="Times New Roman"/>
        </w:rPr>
        <w:t>heksafluorida</w:t>
      </w:r>
      <w:proofErr w:type="spellEnd"/>
      <w:r w:rsidRPr="006414E6">
        <w:rPr>
          <w:rFonts w:cs="Times New Roman"/>
        </w:rPr>
        <w:t xml:space="preserve"> (SF</w:t>
      </w:r>
      <w:r w:rsidRPr="006414E6">
        <w:rPr>
          <w:rFonts w:cs="Times New Roman"/>
          <w:vertAlign w:val="subscript"/>
        </w:rPr>
        <w:t>6</w:t>
      </w:r>
      <w:r w:rsidRPr="006414E6">
        <w:rPr>
          <w:rFonts w:cs="Times New Roman"/>
        </w:rPr>
        <w:t xml:space="preserve">) </w:t>
      </w:r>
      <w:r w:rsidR="00270C2A" w:rsidRPr="006414E6">
        <w:rPr>
          <w:rFonts w:cs="Times New Roman"/>
        </w:rPr>
        <w:t>je</w:t>
      </w:r>
      <w:r w:rsidRPr="006414E6">
        <w:rPr>
          <w:rFonts w:cs="Times New Roman"/>
        </w:rPr>
        <w:t xml:space="preserve"> 0,3% ukupne emisije stakleničkih plinova Republike Hrvatske.</w:t>
      </w:r>
    </w:p>
    <w:bookmarkEnd w:id="257"/>
    <w:p w14:paraId="1BF5357D" w14:textId="77777777" w:rsidR="00466E5C" w:rsidRPr="006414E6" w:rsidRDefault="00466E5C" w:rsidP="008C2A8A">
      <w:pPr>
        <w:spacing w:line="240" w:lineRule="auto"/>
        <w:rPr>
          <w:rFonts w:cs="Times New Roman"/>
        </w:rPr>
      </w:pPr>
      <w:r w:rsidRPr="006414E6">
        <w:rPr>
          <w:rFonts w:cs="Times New Roman"/>
        </w:rPr>
        <w:t xml:space="preserve">U </w:t>
      </w:r>
      <w:r w:rsidR="0030677B" w:rsidRPr="006414E6">
        <w:rPr>
          <w:rFonts w:cs="Times New Roman"/>
        </w:rPr>
        <w:t xml:space="preserve">sektoru prerađivačke industrije, </w:t>
      </w:r>
      <w:r w:rsidRPr="006414E6">
        <w:rPr>
          <w:rFonts w:cs="Times New Roman"/>
        </w:rPr>
        <w:t>u scenarijima NU1 i NU2</w:t>
      </w:r>
      <w:r w:rsidR="0030677B" w:rsidRPr="006414E6">
        <w:rPr>
          <w:rFonts w:cs="Times New Roman"/>
        </w:rPr>
        <w:t>, u odnosu na 1990. godinu,</w:t>
      </w:r>
      <w:r w:rsidRPr="006414E6">
        <w:rPr>
          <w:rFonts w:cs="Times New Roman"/>
        </w:rPr>
        <w:t xml:space="preserve"> postiže se smanjenje emisije za 5</w:t>
      </w:r>
      <w:r w:rsidR="00E55FF1" w:rsidRPr="006414E6">
        <w:rPr>
          <w:rFonts w:cs="Times New Roman"/>
        </w:rPr>
        <w:t>4,1</w:t>
      </w:r>
      <w:r w:rsidRPr="006414E6">
        <w:rPr>
          <w:rFonts w:cs="Times New Roman"/>
        </w:rPr>
        <w:t xml:space="preserve"> do 5</w:t>
      </w:r>
      <w:r w:rsidR="00E55FF1" w:rsidRPr="006414E6">
        <w:rPr>
          <w:rFonts w:cs="Times New Roman"/>
        </w:rPr>
        <w:t>7,5</w:t>
      </w:r>
      <w:r w:rsidRPr="006414E6">
        <w:rPr>
          <w:rFonts w:cs="Times New Roman"/>
        </w:rPr>
        <w:t>% u 2030. godini</w:t>
      </w:r>
      <w:r w:rsidR="0030677B" w:rsidRPr="006414E6">
        <w:rPr>
          <w:rFonts w:cs="Times New Roman"/>
        </w:rPr>
        <w:t xml:space="preserve"> te </w:t>
      </w:r>
      <w:r w:rsidRPr="006414E6">
        <w:rPr>
          <w:rFonts w:cs="Times New Roman"/>
        </w:rPr>
        <w:t>za 6</w:t>
      </w:r>
      <w:r w:rsidR="00E55FF1" w:rsidRPr="006414E6">
        <w:rPr>
          <w:rFonts w:cs="Times New Roman"/>
        </w:rPr>
        <w:t>4,4</w:t>
      </w:r>
      <w:r w:rsidRPr="006414E6">
        <w:rPr>
          <w:rFonts w:cs="Times New Roman"/>
        </w:rPr>
        <w:t xml:space="preserve"> do </w:t>
      </w:r>
      <w:r w:rsidR="00E55FF1" w:rsidRPr="006414E6">
        <w:rPr>
          <w:rFonts w:cs="Times New Roman"/>
        </w:rPr>
        <w:t>83,0</w:t>
      </w:r>
      <w:r w:rsidRPr="006414E6">
        <w:rPr>
          <w:rFonts w:cs="Times New Roman"/>
        </w:rPr>
        <w:t>% u 2050. godini</w:t>
      </w:r>
      <w:r w:rsidR="0030677B" w:rsidRPr="006414E6">
        <w:rPr>
          <w:rFonts w:cs="Times New Roman"/>
        </w:rPr>
        <w:t>.</w:t>
      </w:r>
    </w:p>
    <w:p w14:paraId="28AC1115" w14:textId="77777777" w:rsidR="00132772" w:rsidRPr="00CA4A1D" w:rsidRDefault="001241B9" w:rsidP="00EE3488">
      <w:pPr>
        <w:pStyle w:val="Heading3"/>
      </w:pPr>
      <w:bookmarkStart w:id="258" w:name="_Toc39133295"/>
      <w:r w:rsidRPr="00CA4A1D">
        <w:t>6.</w:t>
      </w:r>
      <w:r w:rsidR="005536C1" w:rsidRPr="00CA4A1D">
        <w:t>5</w:t>
      </w:r>
      <w:r w:rsidR="000E5653" w:rsidRPr="00CA4A1D">
        <w:t>.2.</w:t>
      </w:r>
      <w:r w:rsidR="000E5653" w:rsidRPr="00CA4A1D">
        <w:tab/>
      </w:r>
      <w:r w:rsidR="00132772" w:rsidRPr="00CA4A1D">
        <w:t xml:space="preserve">Politike i mjere za </w:t>
      </w:r>
      <w:proofErr w:type="spellStart"/>
      <w:r w:rsidR="00132772" w:rsidRPr="00CA4A1D">
        <w:t>niskougljični</w:t>
      </w:r>
      <w:proofErr w:type="spellEnd"/>
      <w:r w:rsidR="00132772" w:rsidRPr="00CA4A1D">
        <w:t xml:space="preserve"> razvoj</w:t>
      </w:r>
      <w:bookmarkEnd w:id="258"/>
    </w:p>
    <w:p w14:paraId="767A48BF" w14:textId="77777777" w:rsidR="00B07743" w:rsidRPr="006414E6" w:rsidRDefault="00B07743" w:rsidP="00B07743">
      <w:pPr>
        <w:rPr>
          <w:rFonts w:cs="Times New Roman"/>
          <w:u w:val="single"/>
        </w:rPr>
      </w:pPr>
      <w:r w:rsidRPr="006414E6">
        <w:rPr>
          <w:rFonts w:cs="Times New Roman"/>
          <w:u w:val="single"/>
        </w:rPr>
        <w:t xml:space="preserve">Utjecaj ETS-a </w:t>
      </w:r>
    </w:p>
    <w:p w14:paraId="2982DA93" w14:textId="269492F3" w:rsidR="00B07743" w:rsidRPr="006414E6" w:rsidRDefault="00C13D4F" w:rsidP="00B07743">
      <w:pPr>
        <w:rPr>
          <w:rFonts w:cs="Times New Roman"/>
        </w:rPr>
      </w:pPr>
      <w:r w:rsidRPr="006414E6">
        <w:rPr>
          <w:rFonts w:cs="Times New Roman"/>
        </w:rPr>
        <w:t>Budući da j</w:t>
      </w:r>
      <w:r w:rsidR="00B07743" w:rsidRPr="006414E6">
        <w:rPr>
          <w:rFonts w:cs="Times New Roman"/>
        </w:rPr>
        <w:t xml:space="preserve">e </w:t>
      </w:r>
      <w:r w:rsidRPr="006414E6">
        <w:rPr>
          <w:rFonts w:cs="Times New Roman"/>
        </w:rPr>
        <w:t xml:space="preserve">većina </w:t>
      </w:r>
      <w:r w:rsidR="00B07743" w:rsidRPr="006414E6">
        <w:rPr>
          <w:rFonts w:cs="Times New Roman"/>
        </w:rPr>
        <w:t>industrij</w:t>
      </w:r>
      <w:r w:rsidRPr="006414E6">
        <w:rPr>
          <w:rFonts w:cs="Times New Roman"/>
        </w:rPr>
        <w:t xml:space="preserve">skih postrojenja uključena </w:t>
      </w:r>
      <w:r w:rsidR="00B07743" w:rsidRPr="006414E6">
        <w:rPr>
          <w:rFonts w:cs="Times New Roman"/>
        </w:rPr>
        <w:t>u ETS, ne postoji velika mogućnost izravnog utjecaja države na smanjenje emisije</w:t>
      </w:r>
      <w:r w:rsidRPr="006414E6">
        <w:rPr>
          <w:rFonts w:cs="Times New Roman"/>
        </w:rPr>
        <w:t xml:space="preserve"> ETS-a</w:t>
      </w:r>
      <w:r w:rsidR="00B07743" w:rsidRPr="006414E6">
        <w:rPr>
          <w:rFonts w:cs="Times New Roman"/>
        </w:rPr>
        <w:t>. U razdoblju do 2030. godine sudionici ETS-a će i dalje dio jedinica dobivati besplatno</w:t>
      </w:r>
      <w:r w:rsidR="00FD5AAD" w:rsidRPr="006414E6">
        <w:rPr>
          <w:rFonts w:cs="Times New Roman"/>
        </w:rPr>
        <w:t xml:space="preserve">. </w:t>
      </w:r>
      <w:r w:rsidRPr="006414E6">
        <w:rPr>
          <w:rFonts w:cs="Times New Roman"/>
        </w:rPr>
        <w:t xml:space="preserve">Okvir klimatsko-energetske politike do 2030. godine </w:t>
      </w:r>
      <w:r w:rsidR="00B07743" w:rsidRPr="006414E6">
        <w:rPr>
          <w:rFonts w:cs="Times New Roman"/>
        </w:rPr>
        <w:t xml:space="preserve">produžuje besplatnu dodjelu </w:t>
      </w:r>
      <w:r w:rsidRPr="006414E6">
        <w:rPr>
          <w:rFonts w:cs="Times New Roman"/>
        </w:rPr>
        <w:t>i</w:t>
      </w:r>
      <w:r w:rsidR="00B07743" w:rsidRPr="006414E6">
        <w:rPr>
          <w:rFonts w:cs="Times New Roman"/>
        </w:rPr>
        <w:t xml:space="preserve"> dalje na temelju usporedbe s referentnim vrijednostima za </w:t>
      </w:r>
      <w:r w:rsidRPr="006414E6">
        <w:rPr>
          <w:rFonts w:cs="Times New Roman"/>
        </w:rPr>
        <w:t xml:space="preserve">proizvode, </w:t>
      </w:r>
      <w:r w:rsidR="00B07743" w:rsidRPr="006414E6">
        <w:rPr>
          <w:rFonts w:cs="Times New Roman"/>
        </w:rPr>
        <w:t xml:space="preserve">toplinu, </w:t>
      </w:r>
      <w:r w:rsidRPr="006414E6">
        <w:rPr>
          <w:rFonts w:cs="Times New Roman"/>
        </w:rPr>
        <w:t xml:space="preserve">daljinsko grijanje i </w:t>
      </w:r>
      <w:r w:rsidR="00B07743" w:rsidRPr="006414E6">
        <w:rPr>
          <w:rFonts w:cs="Times New Roman"/>
        </w:rPr>
        <w:t xml:space="preserve">gorivo.  </w:t>
      </w:r>
    </w:p>
    <w:p w14:paraId="786D5604" w14:textId="77777777" w:rsidR="00B07743" w:rsidRPr="006414E6" w:rsidRDefault="00B07743" w:rsidP="00B07743">
      <w:pPr>
        <w:rPr>
          <w:rFonts w:cs="Times New Roman"/>
        </w:rPr>
      </w:pPr>
      <w:r w:rsidRPr="006414E6">
        <w:rPr>
          <w:rFonts w:cs="Times New Roman"/>
        </w:rPr>
        <w:t>Za industriju će biti ključna cijena emisijskih jedinica na tržištu ETS-a, odnosno signali vezano za dugoročnu predvidivost cijene. Postavlja se pitanje kada i koliko će industrija reagirati na ETS politiku, o čemu će ovisiti emisija stakleničkih plinova. Moguće djelovanje industrije na povećanje cijena ovisit će o udjelu cijene CO</w:t>
      </w:r>
      <w:r w:rsidRPr="006414E6">
        <w:rPr>
          <w:rFonts w:cs="Times New Roman"/>
          <w:vertAlign w:val="subscript"/>
        </w:rPr>
        <w:t>2</w:t>
      </w:r>
      <w:r w:rsidRPr="006414E6">
        <w:rPr>
          <w:rFonts w:cs="Times New Roman"/>
        </w:rPr>
        <w:t xml:space="preserve"> u varijabilnim troškovima, mogućnostima prilagodbe i u kolikoj mjeri se cijena CO</w:t>
      </w:r>
      <w:r w:rsidRPr="006414E6">
        <w:rPr>
          <w:rFonts w:cs="Times New Roman"/>
          <w:vertAlign w:val="subscript"/>
        </w:rPr>
        <w:t>2</w:t>
      </w:r>
      <w:r w:rsidRPr="006414E6">
        <w:rPr>
          <w:rFonts w:cs="Times New Roman"/>
        </w:rPr>
        <w:t xml:space="preserve"> može prenijeti na kupce. </w:t>
      </w:r>
      <w:r w:rsidR="00032AD3" w:rsidRPr="006414E6">
        <w:rPr>
          <w:rFonts w:cs="Times New Roman"/>
        </w:rPr>
        <w:t xml:space="preserve">Dodatno, </w:t>
      </w:r>
      <w:r w:rsidR="00650A08" w:rsidRPr="006414E6">
        <w:rPr>
          <w:rFonts w:cs="Times New Roman"/>
        </w:rPr>
        <w:t xml:space="preserve">Republika </w:t>
      </w:r>
      <w:r w:rsidR="00032AD3" w:rsidRPr="006414E6">
        <w:rPr>
          <w:rFonts w:cs="Times New Roman"/>
        </w:rPr>
        <w:t xml:space="preserve">Hrvatska ima rizik od </w:t>
      </w:r>
      <w:r w:rsidR="00650A08" w:rsidRPr="006414E6">
        <w:rPr>
          <w:rFonts w:cs="Times New Roman"/>
        </w:rPr>
        <w:t>„</w:t>
      </w:r>
      <w:r w:rsidR="00032AD3" w:rsidRPr="006414E6">
        <w:rPr>
          <w:rFonts w:cs="Times New Roman"/>
        </w:rPr>
        <w:t>istjecanja ugljika</w:t>
      </w:r>
      <w:r w:rsidR="00650A08" w:rsidRPr="006414E6">
        <w:rPr>
          <w:rFonts w:cs="Times New Roman"/>
        </w:rPr>
        <w:t>“</w:t>
      </w:r>
      <w:r w:rsidR="00032AD3" w:rsidRPr="006414E6">
        <w:rPr>
          <w:rFonts w:cs="Times New Roman"/>
        </w:rPr>
        <w:t xml:space="preserve"> i konkurencije industrije iz susjednih država koje nisu u EU i pod snažnim obvezama smanjenja emisija stakleničkih plinova. </w:t>
      </w:r>
      <w:r w:rsidRPr="006414E6">
        <w:rPr>
          <w:rFonts w:cs="Times New Roman"/>
        </w:rPr>
        <w:t>U investiranju, signal cijene CO</w:t>
      </w:r>
      <w:r w:rsidRPr="006414E6">
        <w:rPr>
          <w:rFonts w:cs="Times New Roman"/>
          <w:vertAlign w:val="subscript"/>
        </w:rPr>
        <w:t>2</w:t>
      </w:r>
      <w:r w:rsidRPr="006414E6">
        <w:rPr>
          <w:rFonts w:cs="Times New Roman"/>
        </w:rPr>
        <w:t xml:space="preserve"> imat će značajnu, no ne i presudnu ulogu. Na donošenje odluka također će utjecati opći kontekst promjena u cjelokupnom sektoru (energetska učinkovitost, tržište rada, standardi, itd.).</w:t>
      </w:r>
    </w:p>
    <w:p w14:paraId="6550EC1F" w14:textId="77777777" w:rsidR="00D72825" w:rsidRPr="006414E6" w:rsidRDefault="00D72825" w:rsidP="00D72825">
      <w:pPr>
        <w:rPr>
          <w:rFonts w:cs="Times New Roman"/>
        </w:rPr>
      </w:pPr>
      <w:r w:rsidRPr="006414E6">
        <w:rPr>
          <w:rFonts w:cs="Times New Roman"/>
        </w:rPr>
        <w:t xml:space="preserve">Potpora industriji iz javnih sredstava je moguća u okviru pravila državnih potpora, što po visini može biti uglavnom za planiranje i pripremu dokumentacije za investicije. Potrebno je industriji osigurati </w:t>
      </w:r>
      <w:r w:rsidRPr="006414E6">
        <w:rPr>
          <w:rFonts w:cs="Times New Roman"/>
        </w:rPr>
        <w:lastRenderedPageBreak/>
        <w:t xml:space="preserve">druge linije putem razvojnih banaka, garancijskih modela i međunarodnih razvojnih kredita. Smanjenje emisije samo je dio cjelokupne modernizacije industrijskih procesa i često nedjeljivo od ukupne investicije. </w:t>
      </w:r>
    </w:p>
    <w:p w14:paraId="6C1E972B" w14:textId="77777777" w:rsidR="00B07743" w:rsidRPr="006414E6" w:rsidRDefault="00B07743" w:rsidP="00B07743">
      <w:pPr>
        <w:rPr>
          <w:rFonts w:cs="Times New Roman"/>
          <w:u w:val="single"/>
        </w:rPr>
      </w:pPr>
      <w:r w:rsidRPr="006414E6">
        <w:rPr>
          <w:rFonts w:cs="Times New Roman"/>
          <w:u w:val="single"/>
        </w:rPr>
        <w:t>Mjere</w:t>
      </w:r>
    </w:p>
    <w:p w14:paraId="767C4CA8" w14:textId="77777777" w:rsidR="00B07743" w:rsidRPr="006414E6" w:rsidRDefault="00B07743" w:rsidP="00B07743">
      <w:pPr>
        <w:rPr>
          <w:rFonts w:cs="Times New Roman"/>
        </w:rPr>
      </w:pPr>
      <w:proofErr w:type="spellStart"/>
      <w:r w:rsidRPr="006414E6">
        <w:rPr>
          <w:rFonts w:cs="Times New Roman"/>
        </w:rPr>
        <w:t>Niskougljični</w:t>
      </w:r>
      <w:proofErr w:type="spellEnd"/>
      <w:r w:rsidRPr="006414E6">
        <w:rPr>
          <w:rFonts w:cs="Times New Roman"/>
        </w:rPr>
        <w:t xml:space="preserve"> scenariji uključuju primjenu troškovno-učinkovitih mjera za smanjenje emisija stakleničkih plinova iz potrošnje energije po industrijskim granama i procesnih emisija u proizvodnji cementa te smanjenje emisije </w:t>
      </w:r>
      <w:proofErr w:type="spellStart"/>
      <w:r w:rsidRPr="006414E6">
        <w:rPr>
          <w:rFonts w:cs="Times New Roman"/>
        </w:rPr>
        <w:t>fluoriranih</w:t>
      </w:r>
      <w:proofErr w:type="spellEnd"/>
      <w:r w:rsidRPr="006414E6">
        <w:rPr>
          <w:rFonts w:cs="Times New Roman"/>
        </w:rPr>
        <w:t xml:space="preserve"> stakleničkih plinova</w:t>
      </w:r>
      <w:r w:rsidR="00E53322" w:rsidRPr="006414E6">
        <w:rPr>
          <w:rFonts w:cs="Times New Roman"/>
        </w:rPr>
        <w:t>.</w:t>
      </w:r>
      <w:r w:rsidRPr="006414E6">
        <w:rPr>
          <w:rFonts w:cs="Times New Roman"/>
        </w:rPr>
        <w:t xml:space="preserve"> </w:t>
      </w:r>
    </w:p>
    <w:p w14:paraId="1ECF3D28" w14:textId="77777777" w:rsidR="00872FEB" w:rsidRPr="006414E6" w:rsidRDefault="00B07743" w:rsidP="00B07743">
      <w:pPr>
        <w:rPr>
          <w:rFonts w:eastAsia="MS Mincho" w:cs="Times New Roman"/>
          <w:szCs w:val="24"/>
          <w:lang w:eastAsia="ja-JP"/>
        </w:rPr>
      </w:pPr>
      <w:r w:rsidRPr="006414E6">
        <w:rPr>
          <w:rFonts w:eastAsia="MS Mincho" w:cs="Times New Roman"/>
          <w:szCs w:val="24"/>
          <w:lang w:eastAsia="ja-JP"/>
        </w:rPr>
        <w:t xml:space="preserve">Scenarij NU2 uključuje </w:t>
      </w:r>
      <w:r w:rsidRPr="006414E6">
        <w:rPr>
          <w:rFonts w:eastAsia="MS Mincho" w:cs="Times New Roman"/>
          <w:b/>
          <w:szCs w:val="24"/>
          <w:lang w:eastAsia="ja-JP"/>
        </w:rPr>
        <w:t>primjenu mjere hvatanja i skladištenja CO</w:t>
      </w:r>
      <w:r w:rsidRPr="006414E6">
        <w:rPr>
          <w:rFonts w:eastAsia="MS Mincho" w:cs="Times New Roman"/>
          <w:b/>
          <w:szCs w:val="24"/>
          <w:vertAlign w:val="subscript"/>
          <w:lang w:eastAsia="ja-JP"/>
        </w:rPr>
        <w:t>2</w:t>
      </w:r>
      <w:r w:rsidRPr="006414E6">
        <w:rPr>
          <w:rFonts w:eastAsia="MS Mincho" w:cs="Times New Roman"/>
          <w:szCs w:val="24"/>
          <w:lang w:eastAsia="ja-JP"/>
        </w:rPr>
        <w:t xml:space="preserve"> u postrojenji</w:t>
      </w:r>
      <w:r w:rsidR="0039096A" w:rsidRPr="006414E6">
        <w:rPr>
          <w:rFonts w:eastAsia="MS Mincho" w:cs="Times New Roman"/>
          <w:szCs w:val="24"/>
          <w:lang w:eastAsia="ja-JP"/>
        </w:rPr>
        <w:t xml:space="preserve">ma za proizvodnju cementa </w:t>
      </w:r>
      <w:r w:rsidR="00DB1A1E" w:rsidRPr="006414E6">
        <w:rPr>
          <w:rFonts w:eastAsia="MS Mincho" w:cs="Times New Roman"/>
          <w:szCs w:val="24"/>
          <w:lang w:eastAsia="ja-JP"/>
        </w:rPr>
        <w:t xml:space="preserve">u godinama nakon </w:t>
      </w:r>
      <w:r w:rsidR="0039096A" w:rsidRPr="006414E6">
        <w:rPr>
          <w:rFonts w:eastAsia="MS Mincho" w:cs="Times New Roman"/>
          <w:szCs w:val="24"/>
          <w:lang w:eastAsia="ja-JP"/>
        </w:rPr>
        <w:t>204</w:t>
      </w:r>
      <w:r w:rsidRPr="006414E6">
        <w:rPr>
          <w:rFonts w:eastAsia="MS Mincho" w:cs="Times New Roman"/>
          <w:szCs w:val="24"/>
          <w:lang w:eastAsia="ja-JP"/>
        </w:rPr>
        <w:t>0. godine te intenzivniju primjenu procesnih mjera u proizvodnji cementa</w:t>
      </w:r>
      <w:r w:rsidR="00872FEB" w:rsidRPr="006414E6">
        <w:rPr>
          <w:rFonts w:eastAsia="MS Mincho" w:cs="Times New Roman"/>
          <w:szCs w:val="24"/>
          <w:lang w:eastAsia="ja-JP"/>
        </w:rPr>
        <w:t>.</w:t>
      </w:r>
    </w:p>
    <w:p w14:paraId="6A7113FE" w14:textId="77777777" w:rsidR="00650A08" w:rsidRPr="006414E6" w:rsidRDefault="00650A08" w:rsidP="00650A08">
      <w:pPr>
        <w:rPr>
          <w:rFonts w:eastAsia="MS Mincho" w:cs="Times New Roman"/>
          <w:szCs w:val="24"/>
          <w:lang w:eastAsia="ja-JP"/>
        </w:rPr>
      </w:pPr>
      <w:r w:rsidRPr="006414E6">
        <w:rPr>
          <w:rFonts w:eastAsia="MS Mincho" w:cs="Times New Roman"/>
          <w:szCs w:val="24"/>
          <w:lang w:eastAsia="ja-JP"/>
        </w:rPr>
        <w:t>Industrijska postrojenja imaju na raspolaganju velike površine što je prilika za izgradnju sunčevih toplinskih sustava i spremnika energije. Industrija može primjenom OIE također participirati u proizvodnji električne i toplinske energije za druge potrošače.</w:t>
      </w:r>
    </w:p>
    <w:p w14:paraId="48CA184C" w14:textId="77777777" w:rsidR="00650A08" w:rsidRPr="006414E6" w:rsidRDefault="00650A08" w:rsidP="00650A08">
      <w:pPr>
        <w:rPr>
          <w:rFonts w:eastAsia="MS Mincho" w:cs="Times New Roman"/>
          <w:szCs w:val="24"/>
          <w:lang w:eastAsia="ja-JP"/>
        </w:rPr>
      </w:pPr>
      <w:r w:rsidRPr="006414E6">
        <w:rPr>
          <w:rFonts w:eastAsia="MS Mincho" w:cs="Times New Roman"/>
          <w:szCs w:val="24"/>
          <w:lang w:eastAsia="ja-JP"/>
        </w:rPr>
        <w:t xml:space="preserve">U industriji je potrebno promicati koncept kružnog gospodarstva, recikliranje i oporabu otpadnog materijala u vlastitom procesu i od drugih subjekata. </w:t>
      </w:r>
    </w:p>
    <w:p w14:paraId="502DD9A1" w14:textId="77777777" w:rsidR="001D22A9" w:rsidRPr="006414E6" w:rsidRDefault="00872FEB" w:rsidP="00872FEB">
      <w:pPr>
        <w:rPr>
          <w:rFonts w:eastAsia="MS Mincho" w:cs="Times New Roman"/>
          <w:szCs w:val="24"/>
          <w:lang w:eastAsia="ja-JP"/>
        </w:rPr>
      </w:pPr>
      <w:r w:rsidRPr="006414E6">
        <w:rPr>
          <w:rFonts w:eastAsia="MS Mincho" w:cs="Times New Roman"/>
          <w:szCs w:val="24"/>
          <w:lang w:eastAsia="ja-JP"/>
        </w:rPr>
        <w:t xml:space="preserve">U izradi scenarija za </w:t>
      </w:r>
      <w:proofErr w:type="spellStart"/>
      <w:r w:rsidRPr="006414E6">
        <w:rPr>
          <w:rFonts w:eastAsia="MS Mincho" w:cs="Times New Roman"/>
          <w:szCs w:val="24"/>
          <w:lang w:eastAsia="ja-JP"/>
        </w:rPr>
        <w:t>fluorirane</w:t>
      </w:r>
      <w:proofErr w:type="spellEnd"/>
      <w:r w:rsidRPr="006414E6">
        <w:rPr>
          <w:rFonts w:eastAsia="MS Mincho" w:cs="Times New Roman"/>
          <w:szCs w:val="24"/>
          <w:lang w:eastAsia="ja-JP"/>
        </w:rPr>
        <w:t xml:space="preserve"> stakleničke plinove uključene su pretpostavke o ograničavanju i smanjenju njihove uporabe, sukladno odredbama Uredbe (EU) br. 517/2014 i Direktive 2006/40/EZ</w:t>
      </w:r>
      <w:r w:rsidR="001D22A9" w:rsidRPr="006414E6">
        <w:rPr>
          <w:rFonts w:eastAsia="MS Mincho" w:cs="Times New Roman"/>
          <w:szCs w:val="24"/>
          <w:lang w:eastAsia="ja-JP"/>
        </w:rPr>
        <w:t>.</w:t>
      </w:r>
    </w:p>
    <w:p w14:paraId="27154F7E" w14:textId="77777777" w:rsidR="001D22A9" w:rsidRPr="006414E6" w:rsidRDefault="00DC0898" w:rsidP="00872FEB">
      <w:pPr>
        <w:rPr>
          <w:rFonts w:eastAsia="MS Mincho" w:cs="Times New Roman"/>
          <w:szCs w:val="24"/>
          <w:lang w:eastAsia="ja-JP"/>
        </w:rPr>
      </w:pPr>
      <w:r w:rsidRPr="006414E6">
        <w:rPr>
          <w:rFonts w:eastAsia="MS Mincho" w:cs="Times New Roman"/>
          <w:szCs w:val="24"/>
          <w:lang w:eastAsia="ja-JP"/>
        </w:rPr>
        <w:t xml:space="preserve">Scenariji NU1 i NU2 uključuju intenzivnije smanjenje </w:t>
      </w:r>
      <w:proofErr w:type="spellStart"/>
      <w:r w:rsidRPr="006414E6">
        <w:rPr>
          <w:rFonts w:eastAsia="MS Mincho" w:cs="Times New Roman"/>
          <w:szCs w:val="24"/>
          <w:lang w:eastAsia="ja-JP"/>
        </w:rPr>
        <w:t>fluoriranih</w:t>
      </w:r>
      <w:proofErr w:type="spellEnd"/>
      <w:r w:rsidRPr="006414E6">
        <w:rPr>
          <w:rFonts w:eastAsia="MS Mincho" w:cs="Times New Roman"/>
          <w:szCs w:val="24"/>
          <w:lang w:eastAsia="ja-JP"/>
        </w:rPr>
        <w:t xml:space="preserve"> stakleničkih plinova dostupnih na tržištu nakon 2030. godine, u odnosu na NUR scenarij, sukladno stručnoj procjeni temeljenoj na nastavku trenda smanjenja </w:t>
      </w:r>
      <w:proofErr w:type="spellStart"/>
      <w:r w:rsidRPr="006414E6">
        <w:rPr>
          <w:rFonts w:eastAsia="MS Mincho" w:cs="Times New Roman"/>
          <w:szCs w:val="24"/>
          <w:lang w:eastAsia="ja-JP"/>
        </w:rPr>
        <w:t>fluoriranih</w:t>
      </w:r>
      <w:proofErr w:type="spellEnd"/>
      <w:r w:rsidRPr="006414E6">
        <w:rPr>
          <w:rFonts w:eastAsia="MS Mincho" w:cs="Times New Roman"/>
          <w:szCs w:val="24"/>
          <w:lang w:eastAsia="ja-JP"/>
        </w:rPr>
        <w:t xml:space="preserve"> stakleničkih plinova. U scenarije NU1 i NU2 uključene su pretpostavke o broju vozila, što je povezano sa smanjenjem emisija </w:t>
      </w:r>
      <w:proofErr w:type="spellStart"/>
      <w:r w:rsidRPr="006414E6">
        <w:rPr>
          <w:rFonts w:eastAsia="MS Mincho" w:cs="Times New Roman"/>
          <w:szCs w:val="24"/>
          <w:lang w:eastAsia="ja-JP"/>
        </w:rPr>
        <w:t>fluoriranih</w:t>
      </w:r>
      <w:proofErr w:type="spellEnd"/>
      <w:r w:rsidRPr="006414E6">
        <w:rPr>
          <w:rFonts w:eastAsia="MS Mincho" w:cs="Times New Roman"/>
          <w:szCs w:val="24"/>
          <w:lang w:eastAsia="ja-JP"/>
        </w:rPr>
        <w:t xml:space="preserve"> stakleničkih plinova iz mobilnih sustava za klimatiz</w:t>
      </w:r>
      <w:r w:rsidR="00650A08" w:rsidRPr="006414E6">
        <w:rPr>
          <w:rFonts w:eastAsia="MS Mincho" w:cs="Times New Roman"/>
          <w:szCs w:val="24"/>
          <w:lang w:eastAsia="ja-JP"/>
        </w:rPr>
        <w:t>aciju</w:t>
      </w:r>
      <w:r w:rsidRPr="006414E6">
        <w:rPr>
          <w:rFonts w:eastAsia="MS Mincho" w:cs="Times New Roman"/>
          <w:szCs w:val="24"/>
          <w:lang w:eastAsia="ja-JP"/>
        </w:rPr>
        <w:t>.</w:t>
      </w:r>
    </w:p>
    <w:p w14:paraId="51E6496B" w14:textId="77777777" w:rsidR="00132772" w:rsidRPr="006414E6" w:rsidRDefault="001241B9" w:rsidP="00EE3488">
      <w:pPr>
        <w:pStyle w:val="Heading3"/>
      </w:pPr>
      <w:bookmarkStart w:id="259" w:name="_Toc39133296"/>
      <w:r w:rsidRPr="006414E6">
        <w:t>6.</w:t>
      </w:r>
      <w:r w:rsidR="005536C1" w:rsidRPr="006414E6">
        <w:t>5</w:t>
      </w:r>
      <w:r w:rsidR="000E5653" w:rsidRPr="006414E6">
        <w:t>.3.</w:t>
      </w:r>
      <w:r w:rsidR="000E5653" w:rsidRPr="006414E6">
        <w:tab/>
      </w:r>
      <w:r w:rsidR="00132772" w:rsidRPr="006414E6">
        <w:t xml:space="preserve">Smjernice za </w:t>
      </w:r>
      <w:proofErr w:type="spellStart"/>
      <w:r w:rsidR="00132772" w:rsidRPr="006414E6">
        <w:t>niskougljični</w:t>
      </w:r>
      <w:proofErr w:type="spellEnd"/>
      <w:r w:rsidR="00132772" w:rsidRPr="006414E6">
        <w:t xml:space="preserve"> razvoj</w:t>
      </w:r>
      <w:bookmarkEnd w:id="259"/>
    </w:p>
    <w:p w14:paraId="07BE1918" w14:textId="77777777" w:rsidR="00391235" w:rsidRPr="006414E6" w:rsidRDefault="00391235" w:rsidP="00CA4A1D">
      <w:pPr>
        <w:rPr>
          <w:rFonts w:cs="Times New Roman"/>
          <w:u w:val="single"/>
        </w:rPr>
      </w:pPr>
      <w:r w:rsidRPr="006414E6">
        <w:rPr>
          <w:rFonts w:cs="Times New Roman"/>
          <w:u w:val="single"/>
        </w:rPr>
        <w:t>Do 2030. godine</w:t>
      </w:r>
    </w:p>
    <w:p w14:paraId="22CD4CF6" w14:textId="1FC2788E" w:rsidR="00391235" w:rsidRPr="00350F7A" w:rsidRDefault="00391235" w:rsidP="00350F7A">
      <w:pPr>
        <w:numPr>
          <w:ilvl w:val="0"/>
          <w:numId w:val="52"/>
        </w:numPr>
        <w:spacing w:line="240" w:lineRule="auto"/>
        <w:rPr>
          <w:rFonts w:cs="Times New Roman"/>
        </w:rPr>
      </w:pPr>
      <w:r w:rsidRPr="006414E6">
        <w:rPr>
          <w:rFonts w:cs="Times New Roman"/>
        </w:rPr>
        <w:t xml:space="preserve">ETS ostaje glavni instrument politike smanjenja emisija industrijskog </w:t>
      </w:r>
      <w:proofErr w:type="spellStart"/>
      <w:r w:rsidRPr="006414E6">
        <w:rPr>
          <w:rFonts w:cs="Times New Roman"/>
        </w:rPr>
        <w:t>sektora.</w:t>
      </w:r>
      <w:r w:rsidRPr="00350F7A">
        <w:rPr>
          <w:rFonts w:cs="Times New Roman"/>
        </w:rPr>
        <w:t>U</w:t>
      </w:r>
      <w:proofErr w:type="spellEnd"/>
      <w:r w:rsidRPr="00350F7A">
        <w:rPr>
          <w:rFonts w:cs="Times New Roman"/>
        </w:rPr>
        <w:t xml:space="preserve"> svim investicijskim odlukama potrebno je uvažiti činjenicu da će cijene CO2 u razdoblju od 2020. godine do 2030. godine vjerojatno biti na razini do 35 EUR/tCO2.  </w:t>
      </w:r>
    </w:p>
    <w:p w14:paraId="390E3AA1" w14:textId="77777777" w:rsidR="00391235" w:rsidRPr="006414E6" w:rsidRDefault="00391235" w:rsidP="003A2F37">
      <w:pPr>
        <w:numPr>
          <w:ilvl w:val="0"/>
          <w:numId w:val="52"/>
        </w:numPr>
        <w:spacing w:line="240" w:lineRule="auto"/>
        <w:rPr>
          <w:rFonts w:cs="Times New Roman"/>
        </w:rPr>
      </w:pPr>
      <w:r w:rsidRPr="006414E6">
        <w:rPr>
          <w:rFonts w:cs="Times New Roman"/>
        </w:rPr>
        <w:t>U ovom razdoblju industrija koja je u ETS treba poduzeti konkretne korake u približavanju referentnim vrijednostima najboljih raspoloživih tehnika.</w:t>
      </w:r>
      <w:r w:rsidR="007937CC" w:rsidRPr="006414E6">
        <w:rPr>
          <w:rFonts w:cs="Times New Roman"/>
        </w:rPr>
        <w:t xml:space="preserve"> Navedeno podrazumijeva povećanje energetske učinkovitosti, modernizacija procesa, </w:t>
      </w:r>
      <w:r w:rsidR="00D06B37" w:rsidRPr="006414E6">
        <w:rPr>
          <w:rFonts w:cs="Times New Roman"/>
        </w:rPr>
        <w:t xml:space="preserve">prelazak na goriva sa manje ugljika, </w:t>
      </w:r>
      <w:r w:rsidR="007937CC" w:rsidRPr="006414E6">
        <w:rPr>
          <w:rFonts w:cs="Times New Roman"/>
        </w:rPr>
        <w:t xml:space="preserve">povećanje korištenja </w:t>
      </w:r>
      <w:r w:rsidR="00D06B37" w:rsidRPr="006414E6">
        <w:rPr>
          <w:rFonts w:cs="Times New Roman"/>
        </w:rPr>
        <w:t xml:space="preserve">klimatski neutralne </w:t>
      </w:r>
      <w:r w:rsidR="007937CC" w:rsidRPr="006414E6">
        <w:rPr>
          <w:rFonts w:cs="Times New Roman"/>
        </w:rPr>
        <w:t>električne energije</w:t>
      </w:r>
    </w:p>
    <w:p w14:paraId="71EC1458" w14:textId="77777777" w:rsidR="00391235" w:rsidRPr="006414E6" w:rsidRDefault="00391235" w:rsidP="003A2F37">
      <w:pPr>
        <w:numPr>
          <w:ilvl w:val="0"/>
          <w:numId w:val="52"/>
        </w:numPr>
        <w:spacing w:line="240" w:lineRule="auto"/>
        <w:rPr>
          <w:rFonts w:cs="Times New Roman"/>
        </w:rPr>
      </w:pPr>
      <w:r w:rsidRPr="006414E6">
        <w:rPr>
          <w:rFonts w:cs="Times New Roman"/>
        </w:rPr>
        <w:t>Sustavi praćenja energetske potrošnje trebali bi imati i izračun ugljičnog otiska.</w:t>
      </w:r>
    </w:p>
    <w:p w14:paraId="08D5565A" w14:textId="77777777" w:rsidR="00391235" w:rsidRPr="006414E6" w:rsidRDefault="00C706BE" w:rsidP="003A2F37">
      <w:pPr>
        <w:numPr>
          <w:ilvl w:val="0"/>
          <w:numId w:val="52"/>
        </w:numPr>
        <w:spacing w:line="240" w:lineRule="auto"/>
        <w:rPr>
          <w:rFonts w:cs="Times New Roman"/>
        </w:rPr>
      </w:pPr>
      <w:r w:rsidRPr="006414E6">
        <w:rPr>
          <w:rFonts w:cs="Times New Roman"/>
        </w:rPr>
        <w:t>P</w:t>
      </w:r>
      <w:r w:rsidR="00391235" w:rsidRPr="006414E6">
        <w:rPr>
          <w:rFonts w:cs="Times New Roman"/>
        </w:rPr>
        <w:t>otrebno je napraviti studiju učinka scenarija NU2 na sektor prerađivačke industrije.</w:t>
      </w:r>
    </w:p>
    <w:p w14:paraId="7B5E8133" w14:textId="77777777" w:rsidR="00391235" w:rsidRPr="006414E6" w:rsidRDefault="00391235" w:rsidP="003A2F37">
      <w:pPr>
        <w:numPr>
          <w:ilvl w:val="0"/>
          <w:numId w:val="52"/>
        </w:numPr>
        <w:spacing w:line="240" w:lineRule="auto"/>
        <w:rPr>
          <w:rFonts w:cs="Times New Roman"/>
        </w:rPr>
      </w:pPr>
      <w:r w:rsidRPr="006414E6">
        <w:rPr>
          <w:rFonts w:eastAsia="Times New Roman" w:cs="Times New Roman"/>
          <w:lang w:eastAsia="hr-HR"/>
        </w:rPr>
        <w:t>Potrebno je poticati studije inovativnih rješenja i pilot projekata koja vode smanjenju emisije ključnih industrijskih subjekata.</w:t>
      </w:r>
    </w:p>
    <w:p w14:paraId="738F7ECE" w14:textId="77777777" w:rsidR="00391235" w:rsidRPr="006414E6" w:rsidRDefault="00391235" w:rsidP="003A2F37">
      <w:pPr>
        <w:numPr>
          <w:ilvl w:val="0"/>
          <w:numId w:val="52"/>
        </w:numPr>
        <w:spacing w:line="240" w:lineRule="auto"/>
        <w:rPr>
          <w:rFonts w:cs="Times New Roman"/>
        </w:rPr>
      </w:pPr>
      <w:r w:rsidRPr="006414E6">
        <w:rPr>
          <w:rFonts w:eastAsia="Times New Roman" w:cs="Times New Roman"/>
          <w:lang w:eastAsia="hr-HR"/>
        </w:rPr>
        <w:t>Osobito poticati rješenja koja doprinose poticanju kružnog gospodarstva.</w:t>
      </w:r>
    </w:p>
    <w:p w14:paraId="630099A6" w14:textId="77777777" w:rsidR="00872FEB" w:rsidRPr="006414E6" w:rsidRDefault="00872FEB" w:rsidP="003A2F37">
      <w:pPr>
        <w:numPr>
          <w:ilvl w:val="0"/>
          <w:numId w:val="52"/>
        </w:numPr>
        <w:spacing w:line="240" w:lineRule="auto"/>
        <w:rPr>
          <w:rFonts w:cs="Times New Roman"/>
        </w:rPr>
      </w:pPr>
      <w:r w:rsidRPr="006414E6">
        <w:rPr>
          <w:rFonts w:cs="Times New Roman"/>
        </w:rPr>
        <w:t xml:space="preserve">Potrebno je ograničavati količine </w:t>
      </w:r>
      <w:proofErr w:type="spellStart"/>
      <w:r w:rsidRPr="006414E6">
        <w:rPr>
          <w:rFonts w:cs="Times New Roman"/>
        </w:rPr>
        <w:t>fluorougljikovodika</w:t>
      </w:r>
      <w:proofErr w:type="spellEnd"/>
      <w:r w:rsidRPr="006414E6">
        <w:rPr>
          <w:rFonts w:cs="Times New Roman"/>
        </w:rPr>
        <w:t xml:space="preserve"> dostupnih na tržištu do 2030. godine, sukladno odredbama nacionalnog i EU zakonodavstva.</w:t>
      </w:r>
    </w:p>
    <w:p w14:paraId="2913560A" w14:textId="77777777" w:rsidR="00872FEB" w:rsidRPr="006414E6" w:rsidRDefault="00872FEB" w:rsidP="003A2F37">
      <w:pPr>
        <w:numPr>
          <w:ilvl w:val="0"/>
          <w:numId w:val="52"/>
        </w:numPr>
        <w:spacing w:line="240" w:lineRule="auto"/>
        <w:rPr>
          <w:rFonts w:cs="Times New Roman"/>
        </w:rPr>
      </w:pPr>
      <w:r w:rsidRPr="006414E6">
        <w:rPr>
          <w:rFonts w:cs="Times New Roman"/>
        </w:rPr>
        <w:lastRenderedPageBreak/>
        <w:t xml:space="preserve">Potrebno je ograničavati mogućnosti naknadne ugradnje klimatizacijske opreme oblikovane da sadrži </w:t>
      </w:r>
      <w:proofErr w:type="spellStart"/>
      <w:r w:rsidRPr="006414E6">
        <w:rPr>
          <w:rFonts w:cs="Times New Roman"/>
        </w:rPr>
        <w:t>fluorirane</w:t>
      </w:r>
      <w:proofErr w:type="spellEnd"/>
      <w:r w:rsidRPr="006414E6">
        <w:rPr>
          <w:rFonts w:cs="Times New Roman"/>
        </w:rPr>
        <w:t xml:space="preserve"> stakleničke plinove s potencijalom globalnog zagrijavanja iznad 150 u motorna vozila te zabraniti punjenje klimatizacijske opreme tim plinovima.</w:t>
      </w:r>
    </w:p>
    <w:p w14:paraId="3E550FDE" w14:textId="77777777" w:rsidR="00391235" w:rsidRPr="006414E6" w:rsidRDefault="00391235" w:rsidP="00391235">
      <w:pPr>
        <w:rPr>
          <w:rFonts w:cs="Times New Roman"/>
          <w:u w:val="single"/>
        </w:rPr>
      </w:pPr>
      <w:r w:rsidRPr="006414E6">
        <w:rPr>
          <w:rFonts w:cs="Times New Roman"/>
          <w:u w:val="single"/>
        </w:rPr>
        <w:t>Do 2050. godine</w:t>
      </w:r>
    </w:p>
    <w:p w14:paraId="3EDD34DA" w14:textId="41276F53" w:rsidR="00661345" w:rsidRPr="006414E6" w:rsidRDefault="008C6A4E" w:rsidP="003A2F37">
      <w:pPr>
        <w:pStyle w:val="ListParagraph"/>
        <w:numPr>
          <w:ilvl w:val="0"/>
          <w:numId w:val="51"/>
        </w:numPr>
        <w:rPr>
          <w:rFonts w:cs="Times New Roman"/>
        </w:rPr>
      </w:pPr>
      <w:r w:rsidRPr="006414E6">
        <w:rPr>
          <w:rFonts w:cs="Times New Roman"/>
        </w:rPr>
        <w:t>U svim investicijskim odlukama potrebno je uvažiti činjenicu da će cijene CO</w:t>
      </w:r>
      <w:r w:rsidRPr="006414E6">
        <w:rPr>
          <w:rFonts w:cs="Times New Roman"/>
          <w:vertAlign w:val="subscript"/>
        </w:rPr>
        <w:t>2</w:t>
      </w:r>
      <w:r w:rsidRPr="006414E6">
        <w:rPr>
          <w:rFonts w:cs="Times New Roman"/>
        </w:rPr>
        <w:t xml:space="preserve"> u razdoblju od 2030. godine do 20</w:t>
      </w:r>
      <w:r w:rsidR="00D5045A" w:rsidRPr="006414E6">
        <w:rPr>
          <w:rFonts w:cs="Times New Roman"/>
        </w:rPr>
        <w:t>5</w:t>
      </w:r>
      <w:r w:rsidRPr="006414E6">
        <w:rPr>
          <w:rFonts w:cs="Times New Roman"/>
        </w:rPr>
        <w:t xml:space="preserve">0. godine </w:t>
      </w:r>
      <w:r w:rsidR="00D5045A" w:rsidRPr="006414E6">
        <w:rPr>
          <w:rFonts w:cs="Times New Roman"/>
        </w:rPr>
        <w:t>doći na</w:t>
      </w:r>
      <w:r w:rsidRPr="006414E6">
        <w:rPr>
          <w:rFonts w:cs="Times New Roman"/>
        </w:rPr>
        <w:t xml:space="preserve"> razin</w:t>
      </w:r>
      <w:r w:rsidR="00D5045A" w:rsidRPr="006414E6">
        <w:rPr>
          <w:rFonts w:cs="Times New Roman"/>
        </w:rPr>
        <w:t>u</w:t>
      </w:r>
      <w:r w:rsidRPr="006414E6">
        <w:rPr>
          <w:rFonts w:cs="Times New Roman"/>
        </w:rPr>
        <w:t xml:space="preserve"> do 90 EUR/tCO</w:t>
      </w:r>
      <w:r w:rsidRPr="006414E6">
        <w:rPr>
          <w:rFonts w:cs="Times New Roman"/>
          <w:vertAlign w:val="subscript"/>
        </w:rPr>
        <w:t>2</w:t>
      </w:r>
      <w:r w:rsidRPr="006414E6">
        <w:rPr>
          <w:rFonts w:cs="Times New Roman"/>
        </w:rPr>
        <w:t xml:space="preserve">.  </w:t>
      </w:r>
    </w:p>
    <w:p w14:paraId="474171A7" w14:textId="7ED15681" w:rsidR="007937CC" w:rsidRPr="006414E6" w:rsidRDefault="007937CC" w:rsidP="003A2F37">
      <w:pPr>
        <w:pStyle w:val="ListParagraph"/>
        <w:numPr>
          <w:ilvl w:val="0"/>
          <w:numId w:val="51"/>
        </w:numPr>
        <w:rPr>
          <w:rFonts w:cs="Times New Roman"/>
        </w:rPr>
      </w:pPr>
      <w:r w:rsidRPr="006414E6">
        <w:rPr>
          <w:rFonts w:cs="Times New Roman"/>
        </w:rPr>
        <w:t xml:space="preserve">Povećanje energetske učinkovitosti, </w:t>
      </w:r>
      <w:r w:rsidR="00B00F23" w:rsidRPr="006414E6">
        <w:rPr>
          <w:rFonts w:cs="Times New Roman"/>
        </w:rPr>
        <w:t xml:space="preserve">korištenje OIE, </w:t>
      </w:r>
      <w:r w:rsidRPr="006414E6">
        <w:rPr>
          <w:rFonts w:cs="Times New Roman"/>
        </w:rPr>
        <w:t>modernizacija proizvodnih procesa, primjena recikliranog materijala, uključivanje u lance kružnog</w:t>
      </w:r>
      <w:r w:rsidR="00405998" w:rsidRPr="006414E6">
        <w:rPr>
          <w:rFonts w:cs="Times New Roman"/>
        </w:rPr>
        <w:t xml:space="preserve"> gospodarstva</w:t>
      </w:r>
      <w:r w:rsidRPr="006414E6">
        <w:rPr>
          <w:rFonts w:cs="Times New Roman"/>
        </w:rPr>
        <w:t xml:space="preserve"> i </w:t>
      </w:r>
      <w:proofErr w:type="spellStart"/>
      <w:r w:rsidRPr="006414E6">
        <w:rPr>
          <w:rFonts w:cs="Times New Roman"/>
        </w:rPr>
        <w:t>biogospodarstva</w:t>
      </w:r>
      <w:proofErr w:type="spellEnd"/>
      <w:r w:rsidRPr="006414E6">
        <w:rPr>
          <w:rFonts w:cs="Times New Roman"/>
        </w:rPr>
        <w:t>, korištenje prirodnih materijala i sirovina</w:t>
      </w:r>
      <w:r w:rsidR="00405998" w:rsidRPr="006414E6">
        <w:rPr>
          <w:rFonts w:cs="Times New Roman"/>
        </w:rPr>
        <w:t xml:space="preserve">, korištenje električne energije i energetskih oblika neutralnih za klimu (vodik, sintetska goriva), biogoriva gdje nije moguće koristiti električnu energiju ili energetske oblike neutralne </w:t>
      </w:r>
      <w:r w:rsidR="00D5045A" w:rsidRPr="006414E6">
        <w:rPr>
          <w:rFonts w:cs="Times New Roman"/>
        </w:rPr>
        <w:t>z</w:t>
      </w:r>
      <w:r w:rsidR="00405998" w:rsidRPr="006414E6">
        <w:rPr>
          <w:rFonts w:cs="Times New Roman"/>
        </w:rPr>
        <w:t>a klimu</w:t>
      </w:r>
      <w:r w:rsidR="00F250E3" w:rsidRPr="006414E6">
        <w:rPr>
          <w:rFonts w:cs="Times New Roman"/>
        </w:rPr>
        <w:t>.</w:t>
      </w:r>
    </w:p>
    <w:p w14:paraId="27143B5E" w14:textId="77777777" w:rsidR="00391235" w:rsidRPr="006414E6" w:rsidRDefault="00661345" w:rsidP="003A2F37">
      <w:pPr>
        <w:numPr>
          <w:ilvl w:val="0"/>
          <w:numId w:val="51"/>
        </w:numPr>
        <w:spacing w:line="240" w:lineRule="auto"/>
        <w:rPr>
          <w:rFonts w:cs="Times New Roman"/>
        </w:rPr>
      </w:pPr>
      <w:r w:rsidRPr="006414E6">
        <w:rPr>
          <w:rFonts w:cs="Times New Roman"/>
        </w:rPr>
        <w:t xml:space="preserve">Za </w:t>
      </w:r>
      <w:r w:rsidR="00391235" w:rsidRPr="006414E6">
        <w:rPr>
          <w:rFonts w:cs="Times New Roman"/>
        </w:rPr>
        <w:t>smjer putanjom NU2, cementna industrija treba analizirati izvodljivost CCS sustava</w:t>
      </w:r>
      <w:r w:rsidR="00CF273B" w:rsidRPr="006414E6">
        <w:rPr>
          <w:rFonts w:cs="Times New Roman"/>
        </w:rPr>
        <w:t>.</w:t>
      </w:r>
    </w:p>
    <w:p w14:paraId="4E365818" w14:textId="77777777" w:rsidR="00D5045A" w:rsidRPr="006414E6" w:rsidRDefault="00CF273B" w:rsidP="003A2F37">
      <w:pPr>
        <w:pStyle w:val="ListParagraph"/>
        <w:numPr>
          <w:ilvl w:val="0"/>
          <w:numId w:val="51"/>
        </w:numPr>
        <w:rPr>
          <w:rFonts w:cs="Times New Roman"/>
        </w:rPr>
      </w:pPr>
      <w:r w:rsidRPr="006414E6">
        <w:rPr>
          <w:rFonts w:cs="Times New Roman"/>
        </w:rPr>
        <w:t xml:space="preserve">Poticati ograničavanje i smanjenje uporabe </w:t>
      </w:r>
      <w:proofErr w:type="spellStart"/>
      <w:r w:rsidRPr="006414E6">
        <w:rPr>
          <w:rFonts w:cs="Times New Roman"/>
        </w:rPr>
        <w:t>fluoriranih</w:t>
      </w:r>
      <w:proofErr w:type="spellEnd"/>
      <w:r w:rsidRPr="006414E6">
        <w:rPr>
          <w:rFonts w:cs="Times New Roman"/>
        </w:rPr>
        <w:t xml:space="preserve"> stakleničkih plinova.</w:t>
      </w:r>
    </w:p>
    <w:p w14:paraId="15DE6D7C" w14:textId="77777777" w:rsidR="00CF273B" w:rsidRPr="006414E6" w:rsidRDefault="00D5045A" w:rsidP="003A2F37">
      <w:pPr>
        <w:pStyle w:val="ListParagraph"/>
        <w:numPr>
          <w:ilvl w:val="0"/>
          <w:numId w:val="51"/>
        </w:numPr>
        <w:rPr>
          <w:rFonts w:cs="Times New Roman"/>
        </w:rPr>
      </w:pPr>
      <w:r w:rsidRPr="006414E6">
        <w:rPr>
          <w:rFonts w:cs="Times New Roman"/>
        </w:rPr>
        <w:t>Usluge i proizvodi trebaju imati iskazane ugljične otiske promatrano kroz ukupni životni ciklus</w:t>
      </w:r>
      <w:r w:rsidR="00F250E3" w:rsidRPr="006414E6">
        <w:rPr>
          <w:rFonts w:cs="Times New Roman"/>
        </w:rPr>
        <w:t>.</w:t>
      </w:r>
      <w:r w:rsidR="00DC0898" w:rsidRPr="006414E6">
        <w:rPr>
          <w:rFonts w:cs="Times New Roman"/>
        </w:rPr>
        <w:t xml:space="preserve"> </w:t>
      </w:r>
    </w:p>
    <w:p w14:paraId="4E8CEBE3" w14:textId="77777777" w:rsidR="009A170C" w:rsidRPr="006414E6" w:rsidRDefault="001241B9" w:rsidP="00EE3488">
      <w:pPr>
        <w:pStyle w:val="Heading2"/>
      </w:pPr>
      <w:bookmarkStart w:id="260" w:name="_Toc20841308"/>
      <w:bookmarkStart w:id="261" w:name="_Toc20841414"/>
      <w:bookmarkStart w:id="262" w:name="_Toc39133297"/>
      <w:r w:rsidRPr="006414E6">
        <w:t>6.</w:t>
      </w:r>
      <w:r w:rsidR="009A170C" w:rsidRPr="006414E6">
        <w:t xml:space="preserve">6. </w:t>
      </w:r>
      <w:r w:rsidR="006359CA" w:rsidRPr="006414E6">
        <w:tab/>
      </w:r>
      <w:r w:rsidR="009A170C" w:rsidRPr="006414E6">
        <w:t>POLJOPRIVREDA</w:t>
      </w:r>
      <w:bookmarkEnd w:id="260"/>
      <w:bookmarkEnd w:id="261"/>
      <w:bookmarkEnd w:id="262"/>
    </w:p>
    <w:p w14:paraId="7BA9A5D5" w14:textId="21160750" w:rsidR="002E464F" w:rsidRPr="006414E6" w:rsidRDefault="001241B9" w:rsidP="00EE3488">
      <w:pPr>
        <w:pStyle w:val="Heading3"/>
      </w:pPr>
      <w:bookmarkStart w:id="263" w:name="_Toc39133298"/>
      <w:r w:rsidRPr="006414E6">
        <w:t>6.</w:t>
      </w:r>
      <w:r w:rsidR="00A72D25" w:rsidRPr="006414E6">
        <w:t xml:space="preserve">6.1. </w:t>
      </w:r>
      <w:r w:rsidR="002E464F" w:rsidRPr="006414E6">
        <w:t>Emisije</w:t>
      </w:r>
      <w:r w:rsidR="00943D87" w:rsidRPr="006414E6">
        <w:t xml:space="preserve"> stakleničkih plinova</w:t>
      </w:r>
      <w:bookmarkEnd w:id="263"/>
    </w:p>
    <w:p w14:paraId="1593E650" w14:textId="77777777" w:rsidR="002E464F" w:rsidRPr="00350F7A" w:rsidRDefault="002E464F" w:rsidP="00350F7A">
      <w:pPr>
        <w:rPr>
          <w:rFonts w:cs="Times New Roman"/>
        </w:rPr>
      </w:pPr>
      <w:bookmarkStart w:id="264" w:name="_Hlk36802438"/>
      <w:r w:rsidRPr="00350F7A">
        <w:rPr>
          <w:rFonts w:cs="Times New Roman"/>
        </w:rPr>
        <w:t xml:space="preserve">U ovom poglavlju se govori o emisiji N2O i CH4. Vezivanje ugljika u poljoprivrednu biomasu i tlo obrađuje se u LULUCF sektoru. Emisija CO2 zbog potrošnje goriva u poljoprivredi i ribarstvu </w:t>
      </w:r>
      <w:r w:rsidR="00CF333D" w:rsidRPr="00350F7A">
        <w:rPr>
          <w:rFonts w:cs="Times New Roman"/>
        </w:rPr>
        <w:t xml:space="preserve">obrađuje se u </w:t>
      </w:r>
      <w:r w:rsidRPr="00350F7A">
        <w:rPr>
          <w:rFonts w:cs="Times New Roman"/>
        </w:rPr>
        <w:t xml:space="preserve">sektoru </w:t>
      </w:r>
      <w:r w:rsidR="00CF333D" w:rsidRPr="00350F7A">
        <w:rPr>
          <w:rFonts w:cs="Times New Roman"/>
        </w:rPr>
        <w:t>opće potrošnje</w:t>
      </w:r>
      <w:r w:rsidRPr="00350F7A">
        <w:rPr>
          <w:rFonts w:cs="Times New Roman"/>
        </w:rPr>
        <w:t xml:space="preserve">. </w:t>
      </w:r>
    </w:p>
    <w:p w14:paraId="59F8DC5D" w14:textId="77777777" w:rsidR="002E464F" w:rsidRPr="006414E6" w:rsidRDefault="002E464F" w:rsidP="002E464F">
      <w:pPr>
        <w:rPr>
          <w:rFonts w:cs="Times New Roman"/>
        </w:rPr>
      </w:pPr>
      <w:r w:rsidRPr="006414E6">
        <w:rPr>
          <w:rFonts w:cs="Times New Roman"/>
        </w:rPr>
        <w:t xml:space="preserve">Poljoprivreda </w:t>
      </w:r>
      <w:r w:rsidR="000F7752" w:rsidRPr="006414E6">
        <w:rPr>
          <w:rFonts w:cs="Times New Roman"/>
        </w:rPr>
        <w:t xml:space="preserve">je 2018. godine </w:t>
      </w:r>
      <w:r w:rsidRPr="006414E6">
        <w:rPr>
          <w:rFonts w:cs="Times New Roman"/>
        </w:rPr>
        <w:t>čini</w:t>
      </w:r>
      <w:r w:rsidR="000F7752" w:rsidRPr="006414E6">
        <w:rPr>
          <w:rFonts w:cs="Times New Roman"/>
        </w:rPr>
        <w:t>la</w:t>
      </w:r>
      <w:r w:rsidRPr="006414E6">
        <w:rPr>
          <w:rFonts w:cs="Times New Roman"/>
        </w:rPr>
        <w:t xml:space="preserve"> približno 11</w:t>
      </w:r>
      <w:r w:rsidR="00555BEB" w:rsidRPr="006414E6">
        <w:rPr>
          <w:rFonts w:cs="Times New Roman"/>
        </w:rPr>
        <w:t>,4</w:t>
      </w:r>
      <w:r w:rsidRPr="006414E6">
        <w:rPr>
          <w:rFonts w:cs="Times New Roman"/>
        </w:rPr>
        <w:t xml:space="preserve">% ukupne </w:t>
      </w:r>
      <w:r w:rsidR="00CF333D" w:rsidRPr="006414E6">
        <w:rPr>
          <w:rFonts w:cs="Times New Roman"/>
        </w:rPr>
        <w:t xml:space="preserve">nacionalne </w:t>
      </w:r>
      <w:r w:rsidRPr="006414E6">
        <w:rPr>
          <w:rFonts w:cs="Times New Roman"/>
        </w:rPr>
        <w:t xml:space="preserve">emisije stakleničkih plinova. Primjena mineralnih gnojiva predstavlja glavne izvore emisije </w:t>
      </w:r>
      <w:proofErr w:type="spellStart"/>
      <w:r w:rsidRPr="006414E6">
        <w:rPr>
          <w:rFonts w:cs="Times New Roman"/>
        </w:rPr>
        <w:t>didušikovog</w:t>
      </w:r>
      <w:proofErr w:type="spellEnd"/>
      <w:r w:rsidRPr="006414E6">
        <w:rPr>
          <w:rFonts w:cs="Times New Roman"/>
        </w:rPr>
        <w:t xml:space="preserve"> oksida (</w:t>
      </w:r>
      <w:r w:rsidR="00555BEB" w:rsidRPr="006414E6">
        <w:rPr>
          <w:rFonts w:cs="Times New Roman"/>
        </w:rPr>
        <w:t>29</w:t>
      </w:r>
      <w:r w:rsidRPr="006414E6">
        <w:rPr>
          <w:rFonts w:cs="Times New Roman"/>
        </w:rPr>
        <w:t>% sektorske emisije N</w:t>
      </w:r>
      <w:r w:rsidRPr="006414E6">
        <w:rPr>
          <w:rFonts w:cs="Times New Roman"/>
          <w:vertAlign w:val="subscript"/>
        </w:rPr>
        <w:t>2</w:t>
      </w:r>
      <w:r w:rsidRPr="006414E6">
        <w:rPr>
          <w:rFonts w:cs="Times New Roman"/>
        </w:rPr>
        <w:t>O i 1</w:t>
      </w:r>
      <w:r w:rsidR="00555BEB" w:rsidRPr="006414E6">
        <w:rPr>
          <w:rFonts w:cs="Times New Roman"/>
        </w:rPr>
        <w:t>5</w:t>
      </w:r>
      <w:r w:rsidRPr="006414E6">
        <w:rPr>
          <w:rFonts w:cs="Times New Roman"/>
        </w:rPr>
        <w:t>% ukupne sektorske emisije), uz emisije metana koje nastaju zbog uzgoja stoke (</w:t>
      </w:r>
      <w:r w:rsidR="00555BEB" w:rsidRPr="006414E6">
        <w:rPr>
          <w:rFonts w:cs="Times New Roman"/>
        </w:rPr>
        <w:t>46</w:t>
      </w:r>
      <w:r w:rsidRPr="006414E6">
        <w:rPr>
          <w:rFonts w:cs="Times New Roman"/>
        </w:rPr>
        <w:t>% ukupne sektorske emisije).</w:t>
      </w:r>
    </w:p>
    <w:bookmarkEnd w:id="264"/>
    <w:p w14:paraId="715E2318" w14:textId="77777777" w:rsidR="00620CDC" w:rsidRPr="006414E6" w:rsidRDefault="002252A7" w:rsidP="00313063">
      <w:pPr>
        <w:rPr>
          <w:rFonts w:cs="Times New Roman"/>
        </w:rPr>
      </w:pPr>
      <w:r w:rsidRPr="006414E6">
        <w:rPr>
          <w:rFonts w:cs="Times New Roman"/>
        </w:rPr>
        <w:t xml:space="preserve">U ovom </w:t>
      </w:r>
      <w:r w:rsidR="00620CDC" w:rsidRPr="006414E6">
        <w:rPr>
          <w:rFonts w:cs="Times New Roman"/>
        </w:rPr>
        <w:t xml:space="preserve">se </w:t>
      </w:r>
      <w:r w:rsidRPr="006414E6">
        <w:rPr>
          <w:rFonts w:cs="Times New Roman"/>
        </w:rPr>
        <w:t>sektoru</w:t>
      </w:r>
      <w:r w:rsidR="00620CDC" w:rsidRPr="006414E6">
        <w:rPr>
          <w:rFonts w:cs="Times New Roman"/>
        </w:rPr>
        <w:t xml:space="preserve">, u odnosu na 1990. godinu, u </w:t>
      </w:r>
      <w:proofErr w:type="spellStart"/>
      <w:r w:rsidR="00620CDC" w:rsidRPr="006414E6">
        <w:rPr>
          <w:rFonts w:cs="Times New Roman"/>
        </w:rPr>
        <w:t>niskougljičnim</w:t>
      </w:r>
      <w:proofErr w:type="spellEnd"/>
      <w:r w:rsidR="00620CDC" w:rsidRPr="006414E6">
        <w:rPr>
          <w:rFonts w:cs="Times New Roman"/>
        </w:rPr>
        <w:t xml:space="preserve"> NU1 i NU2 scenarijima postiže smanjenje emisije za 44,5 do 46,3% u 2030. godini, odnosno za 50,9</w:t>
      </w:r>
      <w:r w:rsidRPr="006414E6">
        <w:rPr>
          <w:rFonts w:cs="Times New Roman"/>
        </w:rPr>
        <w:t xml:space="preserve"> </w:t>
      </w:r>
      <w:r w:rsidR="00620CDC" w:rsidRPr="006414E6">
        <w:rPr>
          <w:rFonts w:cs="Times New Roman"/>
        </w:rPr>
        <w:t>do 55</w:t>
      </w:r>
      <w:r w:rsidR="00272945" w:rsidRPr="006414E6">
        <w:rPr>
          <w:rFonts w:cs="Times New Roman"/>
        </w:rPr>
        <w:t>,8</w:t>
      </w:r>
      <w:r w:rsidR="00620CDC" w:rsidRPr="006414E6">
        <w:rPr>
          <w:rFonts w:cs="Times New Roman"/>
        </w:rPr>
        <w:t>% u 2050. godini.</w:t>
      </w:r>
    </w:p>
    <w:p w14:paraId="062346F0" w14:textId="77777777" w:rsidR="002E464F" w:rsidRPr="006414E6" w:rsidRDefault="001241B9" w:rsidP="00EE3488">
      <w:pPr>
        <w:pStyle w:val="Heading3"/>
      </w:pPr>
      <w:bookmarkStart w:id="265" w:name="_Toc39133299"/>
      <w:r w:rsidRPr="006414E6">
        <w:t>6</w:t>
      </w:r>
      <w:r w:rsidR="00A72D25" w:rsidRPr="006414E6">
        <w:t xml:space="preserve">.6.2. </w:t>
      </w:r>
      <w:r w:rsidR="002E464F" w:rsidRPr="006414E6">
        <w:t xml:space="preserve">Politike i mjere za </w:t>
      </w:r>
      <w:proofErr w:type="spellStart"/>
      <w:r w:rsidR="002E464F" w:rsidRPr="006414E6">
        <w:t>niskougljični</w:t>
      </w:r>
      <w:proofErr w:type="spellEnd"/>
      <w:r w:rsidR="002E464F" w:rsidRPr="006414E6">
        <w:t xml:space="preserve"> razvoj</w:t>
      </w:r>
      <w:bookmarkEnd w:id="265"/>
    </w:p>
    <w:p w14:paraId="49FD341D" w14:textId="77777777" w:rsidR="002E464F" w:rsidRPr="00350F7A" w:rsidRDefault="002E464F" w:rsidP="00350F7A">
      <w:pPr>
        <w:rPr>
          <w:rFonts w:cs="Times New Roman"/>
        </w:rPr>
      </w:pPr>
      <w:r w:rsidRPr="00350F7A">
        <w:rPr>
          <w:rFonts w:cs="Times New Roman"/>
        </w:rPr>
        <w:t xml:space="preserve">Pokušaj drastičnog smanjenja emisije u poljoprivredi imao bi izravni utjecaj na proizvodnju hrane, promjene u prinosima usjeva, načinu korištenja poljoprivrednih površina, </w:t>
      </w:r>
      <w:r w:rsidR="003A44FC" w:rsidRPr="00350F7A">
        <w:rPr>
          <w:rFonts w:cs="Times New Roman"/>
        </w:rPr>
        <w:t xml:space="preserve">promjene u </w:t>
      </w:r>
      <w:r w:rsidRPr="00350F7A">
        <w:rPr>
          <w:rFonts w:cs="Times New Roman"/>
        </w:rPr>
        <w:t>produktivnosti i sastavu stočnog fonda. Primjena mjera u sektoru poljoprivrede stoga ima snažnu gospodarsku i sociološku dimenziju.</w:t>
      </w:r>
    </w:p>
    <w:p w14:paraId="50151CC3" w14:textId="77777777" w:rsidR="002E464F" w:rsidRPr="006414E6" w:rsidRDefault="00917A9E" w:rsidP="00917A9E">
      <w:pPr>
        <w:rPr>
          <w:rFonts w:cs="Times New Roman"/>
        </w:rPr>
      </w:pPr>
      <w:r w:rsidRPr="006414E6">
        <w:rPr>
          <w:rFonts w:cs="Times New Roman"/>
        </w:rPr>
        <w:t>P</w:t>
      </w:r>
      <w:r w:rsidR="002E464F" w:rsidRPr="006414E6">
        <w:rPr>
          <w:rFonts w:cs="Times New Roman"/>
        </w:rPr>
        <w:t xml:space="preserve">oljoprivreda je sektor koji je osobito ranjiv na klimatske promjene. Temeljni izazov je kako smanjiti emisije stakleničkih plinova i održati proizvodnju hrane. Klimatske promjene su samo jedan od pritisaka na poljoprivredu. U globalnom kontekstu povećanja konkurencije, proizvodnja hrane mora se promatrati kroz zajednički kontekst, poljoprivredu, energiju i sigurnost hrane. </w:t>
      </w:r>
    </w:p>
    <w:p w14:paraId="1514EB76" w14:textId="77777777" w:rsidR="002E464F" w:rsidRPr="006414E6" w:rsidRDefault="003A44FC" w:rsidP="00917A9E">
      <w:pPr>
        <w:rPr>
          <w:rFonts w:cs="Times New Roman"/>
        </w:rPr>
      </w:pPr>
      <w:r w:rsidRPr="006414E6">
        <w:rPr>
          <w:rFonts w:cs="Times New Roman"/>
        </w:rPr>
        <w:t xml:space="preserve">Vizija budućnosti poljoprivrede podrazumijeva punu primjenu dobre poljoprivredne prakse koju bi trebali primjenjivati obrazovani poljoprivrednici, </w:t>
      </w:r>
      <w:r w:rsidR="002E464F" w:rsidRPr="006414E6">
        <w:rPr>
          <w:rFonts w:cs="Times New Roman"/>
        </w:rPr>
        <w:t xml:space="preserve">u obnovljenim selima, na okrupnjenim gospodarstvima, s visokim prinosima raznolikih kultura otpornih na klimatske promjene i rizike meteoroloških nepogoda. Gospodarstva će biti ekonomski održiva i konkurentna, s uzgojem koji je orijentiran prema eko-proizvodnji i zelenom tržištu, uz korištenje </w:t>
      </w:r>
      <w:proofErr w:type="spellStart"/>
      <w:r w:rsidR="002E464F" w:rsidRPr="006414E6">
        <w:rPr>
          <w:rFonts w:cs="Times New Roman"/>
        </w:rPr>
        <w:t>agro</w:t>
      </w:r>
      <w:proofErr w:type="spellEnd"/>
      <w:r w:rsidR="002E464F" w:rsidRPr="006414E6">
        <w:rPr>
          <w:rFonts w:cs="Times New Roman"/>
        </w:rPr>
        <w:t xml:space="preserve">-okolišnih i </w:t>
      </w:r>
      <w:proofErr w:type="spellStart"/>
      <w:r w:rsidR="002E464F" w:rsidRPr="006414E6">
        <w:rPr>
          <w:rFonts w:cs="Times New Roman"/>
        </w:rPr>
        <w:t>agro</w:t>
      </w:r>
      <w:proofErr w:type="spellEnd"/>
      <w:r w:rsidR="002E464F" w:rsidRPr="006414E6">
        <w:rPr>
          <w:rFonts w:cs="Times New Roman"/>
        </w:rPr>
        <w:t xml:space="preserve">-šumarskih sustava. Ruralna područja i gospodarstva će biti energetski gotovo neutralna i resursno učinkovita. Proizvodit će se biomasa za goriva bez ugrožavanja proizvodnje hrane, pri čemu će proaktivno doprinositi smanjenu emisije stakleničkih plinova s neznatnim utjecajima na okoliš. Sve mjere koje će </w:t>
      </w:r>
      <w:r w:rsidR="002E464F" w:rsidRPr="006414E6">
        <w:rPr>
          <w:rFonts w:cs="Times New Roman"/>
        </w:rPr>
        <w:lastRenderedPageBreak/>
        <w:t xml:space="preserve">se poduzimati biti će temeljene na troškovnoj učinkovitosti, uvažavanjem </w:t>
      </w:r>
      <w:proofErr w:type="spellStart"/>
      <w:r w:rsidR="002E464F" w:rsidRPr="006414E6">
        <w:rPr>
          <w:rFonts w:cs="Times New Roman"/>
        </w:rPr>
        <w:t>socio</w:t>
      </w:r>
      <w:proofErr w:type="spellEnd"/>
      <w:r w:rsidR="002E464F" w:rsidRPr="006414E6">
        <w:rPr>
          <w:rFonts w:cs="Times New Roman"/>
        </w:rPr>
        <w:t xml:space="preserve">-gospodarskih i prirodnih osobitosti.  </w:t>
      </w:r>
    </w:p>
    <w:p w14:paraId="4AF18645" w14:textId="77777777" w:rsidR="002E464F" w:rsidRPr="006414E6" w:rsidRDefault="002E464F" w:rsidP="00917A9E">
      <w:pPr>
        <w:rPr>
          <w:rFonts w:cs="Times New Roman"/>
        </w:rPr>
      </w:pPr>
      <w:r w:rsidRPr="006414E6">
        <w:rPr>
          <w:rFonts w:cs="Times New Roman"/>
        </w:rPr>
        <w:t xml:space="preserve">Pozitivan utjecaj primjene mjera na ukupnu emisiju stakleničkih plinova u sektoru poljoprivrede očituje se kroz izravno smanjenje emisija metana i </w:t>
      </w:r>
      <w:proofErr w:type="spellStart"/>
      <w:r w:rsidR="005F43E1" w:rsidRPr="006414E6">
        <w:rPr>
          <w:rFonts w:cs="Times New Roman"/>
        </w:rPr>
        <w:t>di</w:t>
      </w:r>
      <w:r w:rsidRPr="006414E6">
        <w:rPr>
          <w:rFonts w:cs="Times New Roman"/>
        </w:rPr>
        <w:t>dušikovih</w:t>
      </w:r>
      <w:proofErr w:type="spellEnd"/>
      <w:r w:rsidRPr="006414E6">
        <w:rPr>
          <w:rFonts w:cs="Times New Roman"/>
        </w:rPr>
        <w:t xml:space="preserve"> spojeva. Mjere uključene pri formiranju NU1 scenarija poljoprivrede u odnosu na NUR scenarij su:</w:t>
      </w:r>
    </w:p>
    <w:p w14:paraId="072C465C" w14:textId="77777777" w:rsidR="002E464F" w:rsidRPr="006414E6" w:rsidRDefault="002E464F" w:rsidP="00350F7A">
      <w:pPr>
        <w:pStyle w:val="ListParagraph"/>
        <w:numPr>
          <w:ilvl w:val="0"/>
          <w:numId w:val="15"/>
        </w:numPr>
        <w:spacing w:line="240" w:lineRule="auto"/>
        <w:rPr>
          <w:rFonts w:cs="Times New Roman"/>
        </w:rPr>
      </w:pPr>
      <w:r w:rsidRPr="006414E6">
        <w:rPr>
          <w:rFonts w:cs="Times New Roman"/>
        </w:rPr>
        <w:t>promjena režima ishrane goveda i svinja te kvalitete stočne hrane</w:t>
      </w:r>
    </w:p>
    <w:p w14:paraId="4893ECC5" w14:textId="77777777" w:rsidR="002E464F" w:rsidRPr="006414E6" w:rsidRDefault="002E464F" w:rsidP="00350F7A">
      <w:pPr>
        <w:pStyle w:val="ListParagraph"/>
        <w:numPr>
          <w:ilvl w:val="0"/>
          <w:numId w:val="15"/>
        </w:numPr>
        <w:spacing w:line="240" w:lineRule="auto"/>
        <w:rPr>
          <w:rFonts w:cs="Times New Roman"/>
        </w:rPr>
      </w:pPr>
      <w:r w:rsidRPr="006414E6">
        <w:rPr>
          <w:rFonts w:cs="Times New Roman"/>
        </w:rPr>
        <w:t>anaerobna razgradnja stajskog gnoja i proizvodnja bioplina</w:t>
      </w:r>
    </w:p>
    <w:p w14:paraId="6DEF27FE" w14:textId="77777777" w:rsidR="002E464F" w:rsidRPr="006414E6" w:rsidRDefault="002E464F" w:rsidP="003A2F37">
      <w:pPr>
        <w:pStyle w:val="ListParagraph"/>
        <w:numPr>
          <w:ilvl w:val="0"/>
          <w:numId w:val="15"/>
        </w:numPr>
        <w:spacing w:line="240" w:lineRule="auto"/>
        <w:rPr>
          <w:rFonts w:cs="Times New Roman"/>
        </w:rPr>
      </w:pPr>
      <w:r w:rsidRPr="006414E6">
        <w:rPr>
          <w:rFonts w:cs="Times New Roman"/>
        </w:rPr>
        <w:t>poboljšanje objekata ili nastambi kao i sustava gospodarenja stajskim gnojem</w:t>
      </w:r>
    </w:p>
    <w:p w14:paraId="0ADE20BB" w14:textId="77777777" w:rsidR="002E464F" w:rsidRPr="006414E6" w:rsidRDefault="002E464F" w:rsidP="003A2F37">
      <w:pPr>
        <w:pStyle w:val="ListParagraph"/>
        <w:numPr>
          <w:ilvl w:val="0"/>
          <w:numId w:val="15"/>
        </w:numPr>
        <w:spacing w:line="240" w:lineRule="auto"/>
        <w:rPr>
          <w:rFonts w:cs="Times New Roman"/>
        </w:rPr>
      </w:pPr>
      <w:r w:rsidRPr="006414E6">
        <w:rPr>
          <w:rFonts w:cs="Times New Roman"/>
        </w:rPr>
        <w:t>poboljšanje načina primjene mineralnih gnojiva</w:t>
      </w:r>
    </w:p>
    <w:p w14:paraId="069A5751" w14:textId="77777777" w:rsidR="002E464F" w:rsidRPr="006414E6" w:rsidRDefault="002E464F" w:rsidP="003A2F37">
      <w:pPr>
        <w:pStyle w:val="ListParagraph"/>
        <w:numPr>
          <w:ilvl w:val="0"/>
          <w:numId w:val="15"/>
        </w:numPr>
        <w:spacing w:line="240" w:lineRule="auto"/>
        <w:rPr>
          <w:rFonts w:cs="Times New Roman"/>
        </w:rPr>
      </w:pPr>
      <w:proofErr w:type="spellStart"/>
      <w:r w:rsidRPr="006414E6">
        <w:rPr>
          <w:rFonts w:cs="Times New Roman"/>
        </w:rPr>
        <w:t>hidromelioracijski</w:t>
      </w:r>
      <w:proofErr w:type="spellEnd"/>
      <w:r w:rsidRPr="006414E6">
        <w:rPr>
          <w:rFonts w:cs="Times New Roman"/>
        </w:rPr>
        <w:t xml:space="preserve"> zahvati i sustavi zaštite od nepogoda</w:t>
      </w:r>
    </w:p>
    <w:p w14:paraId="6A14666F" w14:textId="77777777" w:rsidR="002E464F" w:rsidRPr="006414E6" w:rsidRDefault="002E464F" w:rsidP="003A2F37">
      <w:pPr>
        <w:pStyle w:val="ListParagraph"/>
        <w:numPr>
          <w:ilvl w:val="0"/>
          <w:numId w:val="15"/>
        </w:numPr>
        <w:spacing w:line="240" w:lineRule="auto"/>
        <w:rPr>
          <w:rFonts w:cs="Times New Roman"/>
        </w:rPr>
      </w:pPr>
      <w:r w:rsidRPr="006414E6">
        <w:rPr>
          <w:rFonts w:cs="Times New Roman"/>
        </w:rPr>
        <w:t xml:space="preserve">uvođenje novih kultivara, sorti i </w:t>
      </w:r>
      <w:r w:rsidR="00894847" w:rsidRPr="006414E6">
        <w:rPr>
          <w:rFonts w:cs="Times New Roman"/>
        </w:rPr>
        <w:t>vrsti</w:t>
      </w:r>
      <w:r w:rsidRPr="006414E6">
        <w:rPr>
          <w:rFonts w:cs="Times New Roman"/>
        </w:rPr>
        <w:t>.</w:t>
      </w:r>
    </w:p>
    <w:p w14:paraId="4E3D3CF9" w14:textId="77777777" w:rsidR="002E464F" w:rsidRPr="006414E6" w:rsidRDefault="002E464F" w:rsidP="002E464F">
      <w:pPr>
        <w:rPr>
          <w:rFonts w:cs="Times New Roman"/>
        </w:rPr>
      </w:pPr>
      <w:r w:rsidRPr="006414E6">
        <w:rPr>
          <w:rFonts w:cs="Times New Roman"/>
        </w:rPr>
        <w:t xml:space="preserve">Na razini EU provodi se Zajednička poljoprivredna politika, koja uvažava osobitosti država članica. Osjetljivost primjene mjera raspoznata je na razini EU kao ključni izazov. Stoga je i u </w:t>
      </w:r>
      <w:r w:rsidR="00917A9E" w:rsidRPr="006414E6">
        <w:rPr>
          <w:rFonts w:cs="Times New Roman"/>
        </w:rPr>
        <w:t>Okviru k</w:t>
      </w:r>
      <w:r w:rsidRPr="006414E6">
        <w:rPr>
          <w:rFonts w:cs="Times New Roman"/>
        </w:rPr>
        <w:t>limatsko</w:t>
      </w:r>
      <w:r w:rsidR="00917A9E" w:rsidRPr="006414E6">
        <w:rPr>
          <w:rFonts w:cs="Times New Roman"/>
        </w:rPr>
        <w:t>-</w:t>
      </w:r>
      <w:r w:rsidRPr="006414E6">
        <w:rPr>
          <w:rFonts w:cs="Times New Roman"/>
        </w:rPr>
        <w:t>energetsk</w:t>
      </w:r>
      <w:r w:rsidR="00917A9E" w:rsidRPr="006414E6">
        <w:rPr>
          <w:rFonts w:cs="Times New Roman"/>
        </w:rPr>
        <w:t>e politike</w:t>
      </w:r>
      <w:r w:rsidRPr="006414E6">
        <w:rPr>
          <w:rFonts w:cs="Times New Roman"/>
        </w:rPr>
        <w:t xml:space="preserve"> do 2030. godine predložen mehanizam kojim se državama članicama u slučaju potrebe omogućuje korištenje obračuna za sektore izvan ETS-a, odnosno korištenje odliva nastalih zbog promjena zaliha ugljika sadnjom novih šuma, promjena zaliha ugljika na poljoprivrednom zemljištu kojim se gospodari i odlive zbog promjene zaliha ugljika na pašnjacima kojima se gospodari. Ova fleksibilnost je određena temeljem udjela poljoprivrede u ukupnoj emisiji stakleničkih plinova sektora izvan ETS-a. Kako bi joj bilo omogućeno korištenje ove fleksibilnosti, potrebno je da Republika Hrvatska uspostavi cjelovit sustav praćenja promjena zaliha ugljika u poljoprivrednom tlu i pašnjacima, odnosno u svim kategorijama korištenja zemljišta, kako ih definira LULUCF. </w:t>
      </w:r>
    </w:p>
    <w:p w14:paraId="571885D5" w14:textId="77777777" w:rsidR="002E464F" w:rsidRPr="006414E6" w:rsidRDefault="002E464F" w:rsidP="00003B25">
      <w:pPr>
        <w:rPr>
          <w:rFonts w:cs="Times New Roman"/>
        </w:rPr>
      </w:pPr>
      <w:r w:rsidRPr="006414E6">
        <w:rPr>
          <w:rFonts w:cs="Times New Roman"/>
        </w:rPr>
        <w:t xml:space="preserve">Za procjenu potencijalnog umanjenja ukupnih emisija iskazanih kroz povećanje organskog ugljika u tlu (LULUCF sektor) primjenom dodatnog seta mjera potrebno je provesti nacionalna istraživanja s ciljem definiranja stvarnih potencijala za povećavanje ugljika u poljoprivrednim tlima u Republici Hrvatskoj, posebice odnos sustava reducirane obrade tla s obzirom na </w:t>
      </w:r>
      <w:proofErr w:type="spellStart"/>
      <w:r w:rsidRPr="006414E6">
        <w:rPr>
          <w:rFonts w:cs="Times New Roman"/>
        </w:rPr>
        <w:t>gnojidbene</w:t>
      </w:r>
      <w:proofErr w:type="spellEnd"/>
      <w:r w:rsidRPr="006414E6">
        <w:rPr>
          <w:rFonts w:cs="Times New Roman"/>
        </w:rPr>
        <w:t xml:space="preserve"> preporuke, te nastaviti istraživanje potencijala za primjenu ovisno o uzgojnoj kulturi. Mjere koje imaju potencijal za povećavanje sekvestracije ugljika:</w:t>
      </w:r>
    </w:p>
    <w:p w14:paraId="55FA002C" w14:textId="77777777" w:rsidR="002E464F" w:rsidRPr="006414E6" w:rsidRDefault="002E464F" w:rsidP="003A2F37">
      <w:pPr>
        <w:pStyle w:val="ListParagraph"/>
        <w:numPr>
          <w:ilvl w:val="0"/>
          <w:numId w:val="16"/>
        </w:numPr>
        <w:spacing w:line="240" w:lineRule="auto"/>
        <w:ind w:left="714" w:hanging="357"/>
        <w:rPr>
          <w:rFonts w:cs="Times New Roman"/>
        </w:rPr>
      </w:pPr>
      <w:r w:rsidRPr="006414E6">
        <w:rPr>
          <w:rFonts w:cs="Times New Roman"/>
        </w:rPr>
        <w:t>unaprjeđivanje i promjena sustava obrade tla (reducirana obrada)</w:t>
      </w:r>
    </w:p>
    <w:p w14:paraId="72E5751E" w14:textId="77777777" w:rsidR="002E464F" w:rsidRPr="006414E6" w:rsidRDefault="002E464F" w:rsidP="003A2F37">
      <w:pPr>
        <w:pStyle w:val="ListParagraph"/>
        <w:numPr>
          <w:ilvl w:val="0"/>
          <w:numId w:val="16"/>
        </w:numPr>
        <w:spacing w:line="240" w:lineRule="auto"/>
        <w:ind w:left="714" w:hanging="357"/>
        <w:rPr>
          <w:rFonts w:cs="Times New Roman"/>
        </w:rPr>
      </w:pPr>
      <w:r w:rsidRPr="006414E6">
        <w:rPr>
          <w:rFonts w:cs="Times New Roman"/>
        </w:rPr>
        <w:t>proširenje plodoreda s većim učešćem leguminoza</w:t>
      </w:r>
    </w:p>
    <w:p w14:paraId="67CAF7A2" w14:textId="77777777" w:rsidR="002E464F" w:rsidRPr="006414E6" w:rsidRDefault="002E464F" w:rsidP="003A2F37">
      <w:pPr>
        <w:pStyle w:val="ListParagraph"/>
        <w:numPr>
          <w:ilvl w:val="0"/>
          <w:numId w:val="16"/>
        </w:numPr>
        <w:spacing w:line="240" w:lineRule="auto"/>
        <w:ind w:left="714" w:hanging="357"/>
        <w:rPr>
          <w:rFonts w:cs="Times New Roman"/>
        </w:rPr>
      </w:pPr>
      <w:r w:rsidRPr="006414E6">
        <w:rPr>
          <w:rFonts w:cs="Times New Roman"/>
        </w:rPr>
        <w:t xml:space="preserve">intenziviranje plodoreda korištenjem </w:t>
      </w:r>
      <w:proofErr w:type="spellStart"/>
      <w:r w:rsidRPr="006414E6">
        <w:rPr>
          <w:rFonts w:cs="Times New Roman"/>
        </w:rPr>
        <w:t>međuusjeva</w:t>
      </w:r>
      <w:proofErr w:type="spellEnd"/>
    </w:p>
    <w:p w14:paraId="708AE5E1" w14:textId="77777777" w:rsidR="002E464F" w:rsidRPr="006414E6" w:rsidRDefault="002E464F" w:rsidP="003A2F37">
      <w:pPr>
        <w:pStyle w:val="ListParagraph"/>
        <w:numPr>
          <w:ilvl w:val="0"/>
          <w:numId w:val="16"/>
        </w:numPr>
        <w:spacing w:line="240" w:lineRule="auto"/>
        <w:ind w:left="714" w:hanging="357"/>
        <w:rPr>
          <w:rFonts w:cs="Times New Roman"/>
        </w:rPr>
      </w:pPr>
      <w:r w:rsidRPr="006414E6">
        <w:rPr>
          <w:rFonts w:cs="Times New Roman"/>
        </w:rPr>
        <w:t>poboljšanje načina primjene organskih gnojiva</w:t>
      </w:r>
    </w:p>
    <w:p w14:paraId="1BA1D563" w14:textId="77777777" w:rsidR="002E464F" w:rsidRPr="006414E6" w:rsidRDefault="002E464F" w:rsidP="003A2F37">
      <w:pPr>
        <w:pStyle w:val="ListParagraph"/>
        <w:numPr>
          <w:ilvl w:val="0"/>
          <w:numId w:val="16"/>
        </w:numPr>
        <w:spacing w:line="240" w:lineRule="auto"/>
        <w:ind w:left="714" w:hanging="357"/>
        <w:rPr>
          <w:rFonts w:cs="Times New Roman"/>
        </w:rPr>
      </w:pPr>
      <w:proofErr w:type="spellStart"/>
      <w:r w:rsidRPr="006414E6">
        <w:rPr>
          <w:rFonts w:cs="Times New Roman"/>
        </w:rPr>
        <w:t>agrošumarstvo</w:t>
      </w:r>
      <w:proofErr w:type="spellEnd"/>
      <w:r w:rsidRPr="006414E6">
        <w:rPr>
          <w:rFonts w:cs="Times New Roman"/>
        </w:rPr>
        <w:t>.</w:t>
      </w:r>
    </w:p>
    <w:p w14:paraId="23F92960" w14:textId="77777777" w:rsidR="002E464F" w:rsidRPr="006414E6" w:rsidRDefault="002D69B8" w:rsidP="002E464F">
      <w:pPr>
        <w:rPr>
          <w:rFonts w:cs="Times New Roman"/>
        </w:rPr>
      </w:pPr>
      <w:bookmarkStart w:id="266" w:name="_Toc475714748"/>
      <w:bookmarkStart w:id="267" w:name="_Toc475716161"/>
      <w:r w:rsidRPr="006414E6">
        <w:rPr>
          <w:rFonts w:cs="Times New Roman"/>
        </w:rPr>
        <w:t xml:space="preserve">Potrebno je spomenuti da bi se dodatno značajno (izravno i neizravno) smanjenje emisije stakleničkih plinova moglo ostvariti uz promjene prehrambenih navika društva, odnosno mjerama kojima bi se poticala manja potrošnja mesnih proizvoda, posebice crvenog mesa. U scenariju NU2 pretpostavljeno je da će 35% stanovništva imati potpuno bezmesnu prehranu. </w:t>
      </w:r>
      <w:r w:rsidR="002E464F" w:rsidRPr="006414E6">
        <w:rPr>
          <w:rFonts w:cs="Times New Roman"/>
        </w:rPr>
        <w:t>Takve mjere podrazumijevaju i značajne promjene u strukturi poljoprivredne proizvodnje, posebice stočarstva. Smanjenje ostataka hrane treba biti jedna od prioritetnih mjera.</w:t>
      </w:r>
    </w:p>
    <w:p w14:paraId="47797F8D" w14:textId="45B50AC8" w:rsidR="002E464F" w:rsidRPr="006414E6" w:rsidRDefault="002E464F" w:rsidP="002E464F">
      <w:pPr>
        <w:rPr>
          <w:rFonts w:cs="Times New Roman"/>
        </w:rPr>
      </w:pPr>
      <w:r w:rsidRPr="006414E6">
        <w:rPr>
          <w:rFonts w:cs="Times New Roman"/>
        </w:rPr>
        <w:t xml:space="preserve">Poljoprivredni ostaci  imaju velik energetski potencijal. Potrebno je potaknuti razvoj projekata za proizvodnju bioplina i projekata za prikupljanje orezane biomase trajnih nasada i ratarske biomase te proizvodnju </w:t>
      </w:r>
      <w:proofErr w:type="spellStart"/>
      <w:r w:rsidRPr="006414E6">
        <w:rPr>
          <w:rFonts w:cs="Times New Roman"/>
        </w:rPr>
        <w:t>agropeleta</w:t>
      </w:r>
      <w:proofErr w:type="spellEnd"/>
      <w:r w:rsidRPr="006414E6">
        <w:rPr>
          <w:rFonts w:cs="Times New Roman"/>
        </w:rPr>
        <w:t>. Izbjegnute emisije uslijed korištenja biomase obračunavaju se u sektoru energetike. Isto vrijedi i za sadnju brzorastućih kultura za proizvodnju biomase. Ista se ne predviđa kao masovna mjera, no moguća je potencijalna primjena na poljoprivrednim zemljištima niskog boniteta, o čemu treba napraviti dodatn</w:t>
      </w:r>
      <w:r w:rsidR="00987929" w:rsidRPr="006414E6">
        <w:rPr>
          <w:rFonts w:cs="Times New Roman"/>
        </w:rPr>
        <w:t xml:space="preserve">a </w:t>
      </w:r>
      <w:r w:rsidRPr="006414E6">
        <w:rPr>
          <w:rFonts w:cs="Times New Roman"/>
        </w:rPr>
        <w:t>studijsk</w:t>
      </w:r>
      <w:r w:rsidR="00987929" w:rsidRPr="006414E6">
        <w:rPr>
          <w:rFonts w:cs="Times New Roman"/>
        </w:rPr>
        <w:t>a istraživanja.</w:t>
      </w:r>
      <w:r w:rsidRPr="006414E6">
        <w:rPr>
          <w:rFonts w:cs="Times New Roman"/>
        </w:rPr>
        <w:t xml:space="preserve"> Na zemljištima nižeg boniteta moguće je za gnojenje koristiti i otpadne tvari iz raznih područja i procesa, pa tako treba ispitati i mogućnost </w:t>
      </w:r>
      <w:r w:rsidRPr="006414E6">
        <w:rPr>
          <w:rFonts w:cs="Times New Roman"/>
        </w:rPr>
        <w:lastRenderedPageBreak/>
        <w:t>upotrebe muljeva iz postrojenja za obradu otpadnih voda</w:t>
      </w:r>
      <w:r w:rsidR="00112253" w:rsidRPr="006414E6">
        <w:rPr>
          <w:rFonts w:cs="Times New Roman"/>
        </w:rPr>
        <w:t xml:space="preserve"> uz mogućnost korištenja na poljoprivrednim površinama nepogodnim za uzgoj hrane i napasivanje domaćih životinja, uz primjenu načela dobre poljoprivredne prakse i korištenje u skladu s potrebama biljaka za hranjivima i/ili radi poboljšanja fizikalnih i kemijskih svojstava tla.</w:t>
      </w:r>
      <w:r w:rsidRPr="006414E6">
        <w:rPr>
          <w:rFonts w:cs="Times New Roman"/>
        </w:rPr>
        <w:t xml:space="preserve"> </w:t>
      </w:r>
    </w:p>
    <w:p w14:paraId="11C03549" w14:textId="77777777" w:rsidR="002E464F" w:rsidRPr="006414E6" w:rsidRDefault="002E464F" w:rsidP="002E464F">
      <w:pPr>
        <w:rPr>
          <w:rFonts w:cs="Times New Roman"/>
        </w:rPr>
      </w:pPr>
      <w:r w:rsidRPr="006414E6">
        <w:rPr>
          <w:rFonts w:cs="Times New Roman"/>
        </w:rPr>
        <w:t xml:space="preserve">Proizvodnja biogoriva ne smije biti nauštrb proizvodnje hrane, stoga će prihvatljiva biti ona biogoriva koja su certificirana s obzirom na kriterij održivosti. </w:t>
      </w:r>
    </w:p>
    <w:p w14:paraId="559BAC9A" w14:textId="77777777" w:rsidR="00003B25" w:rsidRPr="006414E6" w:rsidRDefault="00003B25" w:rsidP="00003B25">
      <w:pPr>
        <w:jc w:val="left"/>
        <w:rPr>
          <w:rFonts w:cs="Times New Roman"/>
          <w:u w:val="single"/>
        </w:rPr>
      </w:pPr>
      <w:r w:rsidRPr="006414E6">
        <w:rPr>
          <w:rFonts w:cs="Times New Roman"/>
          <w:u w:val="single"/>
        </w:rPr>
        <w:t xml:space="preserve">Istraživanje, razvoj i poticanje lokalne i regionalne povezanosti proizvođača poljoprivrednih proizvoda i turističkog sektora </w:t>
      </w:r>
    </w:p>
    <w:p w14:paraId="489E7308" w14:textId="77777777" w:rsidR="00A72D25" w:rsidRPr="006414E6" w:rsidRDefault="00003B25" w:rsidP="00313063">
      <w:pPr>
        <w:rPr>
          <w:rFonts w:cs="Times New Roman"/>
        </w:rPr>
      </w:pPr>
      <w:r w:rsidRPr="006414E6">
        <w:rPr>
          <w:rFonts w:cs="Times New Roman"/>
        </w:rPr>
        <w:t>Osim tehničkih mjera za smanjenje emisija stakleničkih plinova ili uvođenje alternativnih načina obrade tla i procesa uzgoja i držanja stoke, svakako je potrebno razmotriti mogućnost iskorištavanja velikog sinergijskog potencijala poljoprivredne proizvodnje. Mnoge su prerađivačke proizvodne grane kao i tercijarni uslužni sektor komplementarne ili direktno ovisne o poljoprivrednoj proizvodnji. Budući da Hrvatska ima veliku razvojnu snagu u očuvanim prirodnim (voda, tlo) resursima, očuvanim krajobraznim vrijednostima i činjenici da je snažan turistički recipijent (s velikim potencijalom za ruralni i ekološki turizam), obrazovanjem i poticanjem lokalnog povezivanja cijelog prehrambenog lanca „od polja do stola“ – odnosno povezivanja lokalne turističke ponude, prerađivača i lokalnih proizvođača svakako se može očekivati smanjenje emisije stakleničkih plinova – kako izravno korištenjem ekološke poljoprivrede ili tehnologije uzgoja s manjim gubicima dušika, tako i neizravno smanjenjem emisija uslijed transporta, skladištenja i obrade daleko od mjesta proizvodnje poljoprivrednog proizvoda.</w:t>
      </w:r>
      <w:bookmarkStart w:id="268" w:name="_Toc476226537"/>
      <w:bookmarkStart w:id="269" w:name="_Toc477868503"/>
      <w:bookmarkStart w:id="270" w:name="_Toc478995901"/>
      <w:bookmarkStart w:id="271" w:name="_Toc484159005"/>
    </w:p>
    <w:p w14:paraId="1EC501B1" w14:textId="0291CB09" w:rsidR="002E464F" w:rsidRPr="006414E6" w:rsidRDefault="001241B9" w:rsidP="00EE3488">
      <w:pPr>
        <w:pStyle w:val="Heading3"/>
      </w:pPr>
      <w:bookmarkStart w:id="272" w:name="_Toc39133300"/>
      <w:r w:rsidRPr="006414E6">
        <w:t>6</w:t>
      </w:r>
      <w:r w:rsidR="00A72D25" w:rsidRPr="006414E6">
        <w:t xml:space="preserve">.6.3. </w:t>
      </w:r>
      <w:r w:rsidR="002E464F" w:rsidRPr="006414E6">
        <w:t xml:space="preserve">Smjernice za </w:t>
      </w:r>
      <w:proofErr w:type="spellStart"/>
      <w:r w:rsidR="002E464F" w:rsidRPr="006414E6">
        <w:t>niskougljični</w:t>
      </w:r>
      <w:proofErr w:type="spellEnd"/>
      <w:r w:rsidR="002E464F" w:rsidRPr="006414E6">
        <w:t xml:space="preserve"> razvoj</w:t>
      </w:r>
      <w:bookmarkEnd w:id="266"/>
      <w:bookmarkEnd w:id="267"/>
      <w:bookmarkEnd w:id="268"/>
      <w:bookmarkEnd w:id="269"/>
      <w:bookmarkEnd w:id="270"/>
      <w:bookmarkEnd w:id="271"/>
      <w:bookmarkEnd w:id="272"/>
    </w:p>
    <w:p w14:paraId="25FA4E91" w14:textId="77777777" w:rsidR="002E464F" w:rsidRPr="006414E6" w:rsidRDefault="002E464F" w:rsidP="00943D87">
      <w:pPr>
        <w:spacing w:line="240" w:lineRule="auto"/>
        <w:rPr>
          <w:rFonts w:cs="Times New Roman"/>
          <w:u w:val="single"/>
          <w:lang w:eastAsia="hr-HR"/>
        </w:rPr>
      </w:pPr>
      <w:r w:rsidRPr="006414E6">
        <w:rPr>
          <w:rFonts w:cs="Times New Roman"/>
          <w:u w:val="single"/>
          <w:lang w:eastAsia="hr-HR"/>
        </w:rPr>
        <w:t>Do 2030. godine</w:t>
      </w:r>
    </w:p>
    <w:p w14:paraId="670DA3E6" w14:textId="77777777" w:rsidR="002E464F" w:rsidRPr="006414E6" w:rsidRDefault="002E464F" w:rsidP="003A2F37">
      <w:pPr>
        <w:pStyle w:val="ListParagraph"/>
        <w:numPr>
          <w:ilvl w:val="0"/>
          <w:numId w:val="50"/>
        </w:numPr>
        <w:spacing w:line="240" w:lineRule="auto"/>
        <w:ind w:left="714" w:hanging="357"/>
        <w:rPr>
          <w:rFonts w:cs="Times New Roman"/>
          <w:lang w:eastAsia="hr-HR"/>
        </w:rPr>
      </w:pPr>
      <w:r w:rsidRPr="006414E6">
        <w:rPr>
          <w:rFonts w:cs="Times New Roman"/>
          <w:lang w:eastAsia="hr-HR"/>
        </w:rPr>
        <w:t>Očekuju se unaprjeđenja u sustavu uzgoja stoke i režimu ishrane (obrada krmiva s ciljem povećanja probavljivosti, poboljšanje kvalitete voluminoznih krmiva i unapređenje sustava napasivanja, upotreba aditiva u hrani za životinje) uz izgradnju bioplinskih postrojenja (penetracija bioplinskih postrojenja na velikim poljoprivrednim farmama te njihovo uvođenje na srednjim gospodarstvima – očekivano 25% ukupnog broja grla svinja, goveda i peradi.). U ovome razdoblju će biti jasniji i daljnji trend kretanja broja uvjetnih grla stoke iz kojih će biti jasnije definirani prioritetni izvori emisije.</w:t>
      </w:r>
    </w:p>
    <w:p w14:paraId="1155A984" w14:textId="77777777" w:rsidR="002E464F" w:rsidRPr="006414E6" w:rsidRDefault="002E464F" w:rsidP="003A2F37">
      <w:pPr>
        <w:pStyle w:val="ListParagraph"/>
        <w:numPr>
          <w:ilvl w:val="0"/>
          <w:numId w:val="50"/>
        </w:numPr>
        <w:spacing w:line="240" w:lineRule="auto"/>
        <w:ind w:left="714" w:hanging="357"/>
        <w:rPr>
          <w:rFonts w:cs="Times New Roman"/>
          <w:lang w:eastAsia="hr-HR"/>
        </w:rPr>
      </w:pPr>
      <w:r w:rsidRPr="006414E6">
        <w:rPr>
          <w:rFonts w:cs="Times New Roman"/>
          <w:lang w:eastAsia="hr-HR"/>
        </w:rPr>
        <w:t>Potrebno je provesti radove na uspostavi sustava realnog praćenja potrošnje mineralnih gnojiva na gospodarstvima i stvarnih udjela poljoprivrednih površina pod pojedinim usjevom na regionalnoj i državnoj razini.</w:t>
      </w:r>
    </w:p>
    <w:p w14:paraId="1E54E334" w14:textId="77777777" w:rsidR="002E464F" w:rsidRPr="006414E6" w:rsidRDefault="002E464F" w:rsidP="003A2F37">
      <w:pPr>
        <w:pStyle w:val="ListParagraph"/>
        <w:numPr>
          <w:ilvl w:val="0"/>
          <w:numId w:val="50"/>
        </w:numPr>
        <w:spacing w:line="240" w:lineRule="auto"/>
        <w:ind w:left="714" w:hanging="357"/>
        <w:rPr>
          <w:rFonts w:cs="Times New Roman"/>
          <w:lang w:eastAsia="hr-HR"/>
        </w:rPr>
      </w:pPr>
      <w:r w:rsidRPr="006414E6">
        <w:rPr>
          <w:rFonts w:cs="Times New Roman"/>
          <w:lang w:eastAsia="hr-HR"/>
        </w:rPr>
        <w:t xml:space="preserve">Treba poticati projekte prikupljanja orezane biomase trajnih nasada i ratarske biomase. </w:t>
      </w:r>
    </w:p>
    <w:p w14:paraId="399D08D9" w14:textId="77777777" w:rsidR="002E464F" w:rsidRPr="006414E6" w:rsidRDefault="002E464F" w:rsidP="003A2F37">
      <w:pPr>
        <w:pStyle w:val="ListParagraph"/>
        <w:numPr>
          <w:ilvl w:val="0"/>
          <w:numId w:val="50"/>
        </w:numPr>
        <w:spacing w:line="240" w:lineRule="auto"/>
        <w:ind w:left="714" w:hanging="357"/>
        <w:rPr>
          <w:rFonts w:cs="Times New Roman"/>
          <w:lang w:eastAsia="hr-HR"/>
        </w:rPr>
      </w:pPr>
      <w:r w:rsidRPr="006414E6">
        <w:rPr>
          <w:rFonts w:cs="Times New Roman"/>
          <w:lang w:eastAsia="hr-HR"/>
        </w:rPr>
        <w:t>Izraditi studiju mogućnosti sadnje brzorastućih kultura i potaknuti nekoliko pilot projekata.</w:t>
      </w:r>
    </w:p>
    <w:p w14:paraId="58694732" w14:textId="0FD35DCD" w:rsidR="002E464F" w:rsidRPr="006414E6" w:rsidRDefault="002E464F" w:rsidP="003A2F37">
      <w:pPr>
        <w:pStyle w:val="ListParagraph"/>
        <w:numPr>
          <w:ilvl w:val="0"/>
          <w:numId w:val="50"/>
        </w:numPr>
        <w:spacing w:line="240" w:lineRule="auto"/>
        <w:ind w:left="714" w:hanging="357"/>
        <w:rPr>
          <w:rFonts w:cs="Times New Roman"/>
          <w:lang w:eastAsia="hr-HR"/>
        </w:rPr>
      </w:pPr>
      <w:r w:rsidRPr="006414E6">
        <w:rPr>
          <w:rFonts w:cs="Times New Roman"/>
          <w:lang w:eastAsia="hr-HR"/>
        </w:rPr>
        <w:t>Izraditi studiju korištenja otpadnih muljeva uređaja za pročišćavanje u poljoprivredi</w:t>
      </w:r>
      <w:r w:rsidR="00112253" w:rsidRPr="006414E6">
        <w:rPr>
          <w:rFonts w:cs="Times New Roman"/>
          <w:lang w:eastAsia="hr-HR"/>
        </w:rPr>
        <w:t xml:space="preserve">  koja će riješiti pitanja otpadnog mulja uz mogućnost korištenja na poljoprivrednim površinama nepogodnim za uzgoj hrane i napasivanje domaćih životinja (uz primjenu načela dobre poljoprivredne prakse i korištenje u skladu s potrebama biljaka za hranjivima i/ili radi poboljšanja fizikalnih i kemijskih svojstava tla).</w:t>
      </w:r>
    </w:p>
    <w:p w14:paraId="59DD2540" w14:textId="77777777" w:rsidR="002E464F" w:rsidRPr="006414E6" w:rsidRDefault="002E464F" w:rsidP="003A2F37">
      <w:pPr>
        <w:pStyle w:val="ListParagraph"/>
        <w:numPr>
          <w:ilvl w:val="0"/>
          <w:numId w:val="50"/>
        </w:numPr>
        <w:spacing w:line="240" w:lineRule="auto"/>
        <w:ind w:left="714" w:hanging="357"/>
        <w:rPr>
          <w:rFonts w:cs="Times New Roman"/>
          <w:lang w:eastAsia="hr-HR"/>
        </w:rPr>
      </w:pPr>
      <w:r w:rsidRPr="006414E6">
        <w:rPr>
          <w:rFonts w:cs="Times New Roman"/>
          <w:lang w:eastAsia="hr-HR"/>
        </w:rPr>
        <w:t xml:space="preserve">Raditi na uspostavi sustava praćenja promjena zaliha ugljika na poljoprivrednom tlu i pašnjacima kojima se gospodari. </w:t>
      </w:r>
    </w:p>
    <w:p w14:paraId="13EAEB29" w14:textId="77777777" w:rsidR="002E464F" w:rsidRPr="006414E6" w:rsidRDefault="002E464F" w:rsidP="003A2F37">
      <w:pPr>
        <w:pStyle w:val="ListParagraph"/>
        <w:numPr>
          <w:ilvl w:val="0"/>
          <w:numId w:val="50"/>
        </w:numPr>
        <w:spacing w:line="240" w:lineRule="auto"/>
        <w:ind w:left="714" w:hanging="357"/>
        <w:rPr>
          <w:rFonts w:cs="Times New Roman"/>
          <w:lang w:eastAsia="hr-HR"/>
        </w:rPr>
      </w:pPr>
      <w:r w:rsidRPr="006414E6">
        <w:rPr>
          <w:rFonts w:cs="Times New Roman"/>
          <w:lang w:eastAsia="hr-HR"/>
        </w:rPr>
        <w:t>Treba prioritetno poticati mjere za smanjenje količina otpadaka od hrane.</w:t>
      </w:r>
    </w:p>
    <w:p w14:paraId="364C2E61" w14:textId="77777777" w:rsidR="002E464F" w:rsidRPr="006414E6" w:rsidRDefault="002E464F" w:rsidP="003A2F37">
      <w:pPr>
        <w:pStyle w:val="ListParagraph"/>
        <w:numPr>
          <w:ilvl w:val="0"/>
          <w:numId w:val="50"/>
        </w:numPr>
        <w:spacing w:line="240" w:lineRule="auto"/>
        <w:ind w:left="714" w:hanging="357"/>
        <w:rPr>
          <w:rFonts w:cs="Times New Roman"/>
          <w:lang w:eastAsia="hr-HR"/>
        </w:rPr>
      </w:pPr>
      <w:r w:rsidRPr="006414E6">
        <w:rPr>
          <w:rFonts w:cs="Times New Roman"/>
          <w:lang w:eastAsia="hr-HR"/>
        </w:rPr>
        <w:t xml:space="preserve">Potrebno je razraditi i predložiti modele za poticanje inovativnih integriranih projekata, poljoprivrede, energetike i proizvodnje hrane. </w:t>
      </w:r>
    </w:p>
    <w:p w14:paraId="239C18B4" w14:textId="77777777" w:rsidR="002E464F" w:rsidRPr="006414E6" w:rsidRDefault="00AC0BF3" w:rsidP="00350F7A">
      <w:pPr>
        <w:pStyle w:val="ListParagraph"/>
        <w:numPr>
          <w:ilvl w:val="0"/>
          <w:numId w:val="50"/>
        </w:numPr>
        <w:spacing w:line="240" w:lineRule="auto"/>
        <w:ind w:left="714" w:hanging="357"/>
        <w:rPr>
          <w:rFonts w:cs="Times New Roman"/>
          <w:lang w:eastAsia="hr-HR"/>
        </w:rPr>
      </w:pPr>
      <w:r w:rsidRPr="00350F7A">
        <w:rPr>
          <w:rFonts w:cs="Times New Roman"/>
          <w:lang w:eastAsia="hr-HR"/>
        </w:rPr>
        <w:t>Potrebno je analizirati mogućnosti za korištenje pročišćenih otpadnih voda za navodnjavanje poljoprivrednih površina</w:t>
      </w:r>
      <w:r w:rsidR="00943D87" w:rsidRPr="006414E6">
        <w:rPr>
          <w:rFonts w:cs="Times New Roman"/>
          <w:lang w:eastAsia="hr-HR"/>
        </w:rPr>
        <w:t>.</w:t>
      </w:r>
    </w:p>
    <w:p w14:paraId="366C8696" w14:textId="46E0A6AD" w:rsidR="002E464F" w:rsidRPr="006414E6" w:rsidRDefault="002E464F" w:rsidP="00350F7A">
      <w:pPr>
        <w:pStyle w:val="ListParagraph"/>
        <w:numPr>
          <w:ilvl w:val="0"/>
          <w:numId w:val="50"/>
        </w:numPr>
        <w:spacing w:line="240" w:lineRule="auto"/>
        <w:ind w:left="714" w:hanging="357"/>
        <w:rPr>
          <w:rFonts w:cs="Times New Roman"/>
          <w:lang w:eastAsia="hr-HR"/>
        </w:rPr>
      </w:pPr>
      <w:r w:rsidRPr="006414E6">
        <w:rPr>
          <w:rFonts w:cs="Times New Roman"/>
          <w:lang w:eastAsia="hr-HR"/>
        </w:rPr>
        <w:t xml:space="preserve">Provedba mjera iz </w:t>
      </w:r>
      <w:r w:rsidR="0021090A" w:rsidRPr="006414E6">
        <w:rPr>
          <w:rFonts w:cs="Times New Roman"/>
          <w:lang w:eastAsia="hr-HR"/>
        </w:rPr>
        <w:t>P</w:t>
      </w:r>
      <w:r w:rsidRPr="006414E6">
        <w:rPr>
          <w:rFonts w:cs="Times New Roman"/>
          <w:lang w:eastAsia="hr-HR"/>
        </w:rPr>
        <w:t xml:space="preserve">rograma ruralnog razvoja </w:t>
      </w:r>
      <w:r w:rsidR="0021090A" w:rsidRPr="006414E6">
        <w:rPr>
          <w:rFonts w:cs="Times New Roman"/>
          <w:lang w:eastAsia="hr-HR"/>
        </w:rPr>
        <w:t xml:space="preserve">Republike Hrvatske za razdoblje 2014. – 2020. </w:t>
      </w:r>
      <w:r w:rsidRPr="006414E6">
        <w:rPr>
          <w:rFonts w:cs="Times New Roman"/>
          <w:lang w:eastAsia="hr-HR"/>
        </w:rPr>
        <w:t xml:space="preserve"> godine, novo programsko razdoblje i donošenje „Nacionalne strategije poljoprivrede i ruralnog </w:t>
      </w:r>
      <w:r w:rsidRPr="006414E6">
        <w:rPr>
          <w:rFonts w:cs="Times New Roman"/>
          <w:lang w:eastAsia="hr-HR"/>
        </w:rPr>
        <w:lastRenderedPageBreak/>
        <w:t>razvoja“ i „Višegodišnjeg plana razvoja ribarstva nakon 2020. godine“ definirati će ciljeve i smjernice dje</w:t>
      </w:r>
      <w:r w:rsidR="00AC0BF3" w:rsidRPr="006414E6">
        <w:rPr>
          <w:rFonts w:cs="Times New Roman"/>
          <w:lang w:eastAsia="hr-HR"/>
        </w:rPr>
        <w:t>lovanja poljoprivredne politike</w:t>
      </w:r>
      <w:r w:rsidRPr="006414E6">
        <w:rPr>
          <w:rFonts w:cs="Times New Roman"/>
          <w:lang w:eastAsia="hr-HR"/>
        </w:rPr>
        <w:t>.</w:t>
      </w:r>
    </w:p>
    <w:p w14:paraId="7C73F01F" w14:textId="77777777" w:rsidR="002E464F" w:rsidRPr="006414E6" w:rsidRDefault="002E464F" w:rsidP="003A2F37">
      <w:pPr>
        <w:numPr>
          <w:ilvl w:val="0"/>
          <w:numId w:val="50"/>
        </w:numPr>
        <w:spacing w:line="240" w:lineRule="auto"/>
        <w:ind w:left="714" w:hanging="357"/>
        <w:rPr>
          <w:rFonts w:cs="Times New Roman"/>
          <w:lang w:eastAsia="hr-HR"/>
        </w:rPr>
      </w:pPr>
      <w:r w:rsidRPr="006414E6">
        <w:rPr>
          <w:rFonts w:cs="Times New Roman"/>
          <w:lang w:eastAsia="hr-HR"/>
        </w:rPr>
        <w:t xml:space="preserve">Izgradnja sustava odvodnje, navodnjavanja te zaštite od nepogoda na bar 40% poljoprivrednih površina pogodnih za </w:t>
      </w:r>
      <w:proofErr w:type="spellStart"/>
      <w:r w:rsidRPr="006414E6">
        <w:rPr>
          <w:rFonts w:cs="Times New Roman"/>
          <w:lang w:eastAsia="hr-HR"/>
        </w:rPr>
        <w:t>hidromelioracijske</w:t>
      </w:r>
      <w:proofErr w:type="spellEnd"/>
      <w:r w:rsidRPr="006414E6">
        <w:rPr>
          <w:rFonts w:cs="Times New Roman"/>
          <w:lang w:eastAsia="hr-HR"/>
        </w:rPr>
        <w:t xml:space="preserve"> zahvate što utječe na emisije N</w:t>
      </w:r>
      <w:r w:rsidRPr="006414E6">
        <w:rPr>
          <w:rFonts w:cs="Times New Roman"/>
          <w:vertAlign w:val="subscript"/>
          <w:lang w:eastAsia="hr-HR"/>
        </w:rPr>
        <w:t>2</w:t>
      </w:r>
      <w:r w:rsidRPr="006414E6">
        <w:rPr>
          <w:rFonts w:cs="Times New Roman"/>
          <w:lang w:eastAsia="hr-HR"/>
        </w:rPr>
        <w:t xml:space="preserve">O. </w:t>
      </w:r>
    </w:p>
    <w:p w14:paraId="06CFC7FB" w14:textId="77777777" w:rsidR="002E464F" w:rsidRPr="006414E6" w:rsidRDefault="002E464F" w:rsidP="003A2F37">
      <w:pPr>
        <w:numPr>
          <w:ilvl w:val="0"/>
          <w:numId w:val="50"/>
        </w:numPr>
        <w:spacing w:line="240" w:lineRule="auto"/>
        <w:ind w:left="714" w:hanging="357"/>
        <w:rPr>
          <w:rFonts w:cs="Times New Roman"/>
          <w:lang w:eastAsia="hr-HR"/>
        </w:rPr>
      </w:pPr>
      <w:r w:rsidRPr="006414E6">
        <w:rPr>
          <w:rFonts w:cs="Times New Roman"/>
          <w:lang w:eastAsia="hr-HR"/>
        </w:rPr>
        <w:t xml:space="preserve">Povećanje udjela </w:t>
      </w:r>
      <w:proofErr w:type="spellStart"/>
      <w:r w:rsidRPr="006414E6">
        <w:rPr>
          <w:rFonts w:cs="Times New Roman"/>
          <w:lang w:eastAsia="hr-HR"/>
        </w:rPr>
        <w:t>sporodjelujućih</w:t>
      </w:r>
      <w:proofErr w:type="spellEnd"/>
      <w:r w:rsidRPr="006414E6">
        <w:rPr>
          <w:rFonts w:cs="Times New Roman"/>
          <w:lang w:eastAsia="hr-HR"/>
        </w:rPr>
        <w:t xml:space="preserve"> gnojiva na 10% u ukupnom utrošku mineralnih gnojiva. </w:t>
      </w:r>
    </w:p>
    <w:p w14:paraId="6C379F41" w14:textId="77777777" w:rsidR="002E464F" w:rsidRPr="006414E6" w:rsidRDefault="002E464F" w:rsidP="003A2F37">
      <w:pPr>
        <w:numPr>
          <w:ilvl w:val="0"/>
          <w:numId w:val="50"/>
        </w:numPr>
        <w:spacing w:line="240" w:lineRule="auto"/>
        <w:ind w:left="714" w:hanging="357"/>
        <w:rPr>
          <w:rFonts w:cs="Times New Roman"/>
          <w:lang w:eastAsia="hr-HR"/>
        </w:rPr>
      </w:pPr>
      <w:r w:rsidRPr="006414E6">
        <w:rPr>
          <w:rFonts w:cs="Times New Roman"/>
          <w:lang w:eastAsia="hr-HR"/>
        </w:rPr>
        <w:t xml:space="preserve">Provedba nacionalnih istraživanja s ciljem definiranja stvarnih potencijala za povećavanje odliva ugljika u poljoprivrednim tlima, kroz sekvestraciju organskog ugljika u tlu, posebno kod kombinacija sustava minimalne obrade i pokrovnih </w:t>
      </w:r>
      <w:proofErr w:type="spellStart"/>
      <w:r w:rsidRPr="006414E6">
        <w:rPr>
          <w:rFonts w:cs="Times New Roman"/>
          <w:lang w:eastAsia="hr-HR"/>
        </w:rPr>
        <w:t>međuusjeva</w:t>
      </w:r>
      <w:proofErr w:type="spellEnd"/>
      <w:r w:rsidRPr="006414E6">
        <w:rPr>
          <w:rFonts w:cs="Times New Roman"/>
          <w:lang w:eastAsia="hr-HR"/>
        </w:rPr>
        <w:t xml:space="preserve"> kod uzgoja žitarica, unaprjeđenja primjere organskih gnojiva i </w:t>
      </w:r>
      <w:proofErr w:type="spellStart"/>
      <w:r w:rsidRPr="006414E6">
        <w:rPr>
          <w:rFonts w:cs="Times New Roman"/>
          <w:lang w:eastAsia="hr-HR"/>
        </w:rPr>
        <w:t>agrošumarstva</w:t>
      </w:r>
      <w:proofErr w:type="spellEnd"/>
      <w:r w:rsidRPr="006414E6">
        <w:rPr>
          <w:rFonts w:cs="Times New Roman"/>
          <w:lang w:eastAsia="hr-HR"/>
        </w:rPr>
        <w:t>.</w:t>
      </w:r>
    </w:p>
    <w:p w14:paraId="2CE56DDC" w14:textId="77777777" w:rsidR="002E464F" w:rsidRPr="006414E6" w:rsidRDefault="002E464F" w:rsidP="003A2F37">
      <w:pPr>
        <w:numPr>
          <w:ilvl w:val="0"/>
          <w:numId w:val="50"/>
        </w:numPr>
        <w:spacing w:line="240" w:lineRule="auto"/>
        <w:ind w:left="714" w:hanging="357"/>
        <w:rPr>
          <w:rFonts w:cs="Times New Roman"/>
          <w:lang w:eastAsia="hr-HR"/>
        </w:rPr>
      </w:pPr>
      <w:r w:rsidRPr="006414E6">
        <w:rPr>
          <w:rFonts w:cs="Times New Roman"/>
          <w:lang w:eastAsia="hr-HR"/>
        </w:rPr>
        <w:t>Nacionalna istraživanja novih kultivara i sorti koji su otporniji na sušu ili bolesti odnosno imaju manji ukupni ugljični otisak te poticaji za prelazak i prilagodbe cijelog proizvodnog lanca na proizvodnju novih poljoprivrednih kultura. Ovo uključuje i ciljane kulture za proizvodnju biomase za energetska postrojenja.</w:t>
      </w:r>
    </w:p>
    <w:p w14:paraId="735EABCB" w14:textId="77777777" w:rsidR="002E464F" w:rsidRPr="006414E6" w:rsidRDefault="002E464F" w:rsidP="002E464F">
      <w:pPr>
        <w:rPr>
          <w:rFonts w:cs="Times New Roman"/>
          <w:u w:val="single"/>
          <w:lang w:eastAsia="hr-HR"/>
        </w:rPr>
      </w:pPr>
      <w:r w:rsidRPr="006414E6">
        <w:rPr>
          <w:rFonts w:cs="Times New Roman"/>
          <w:u w:val="single"/>
          <w:lang w:eastAsia="hr-HR"/>
        </w:rPr>
        <w:t>Do 2050. godine</w:t>
      </w:r>
    </w:p>
    <w:p w14:paraId="79D6E4BF" w14:textId="5D6DD6D5" w:rsidR="002E464F" w:rsidRPr="006414E6" w:rsidRDefault="007937CC" w:rsidP="003A2F37">
      <w:pPr>
        <w:numPr>
          <w:ilvl w:val="0"/>
          <w:numId w:val="49"/>
        </w:numPr>
        <w:spacing w:line="240" w:lineRule="auto"/>
        <w:ind w:left="714" w:hanging="357"/>
        <w:rPr>
          <w:rFonts w:cs="Times New Roman"/>
          <w:lang w:eastAsia="hr-HR"/>
        </w:rPr>
      </w:pPr>
      <w:r w:rsidRPr="006414E6">
        <w:rPr>
          <w:rFonts w:cs="Times New Roman"/>
          <w:lang w:eastAsia="hr-HR"/>
        </w:rPr>
        <w:t>O</w:t>
      </w:r>
      <w:r w:rsidR="002E464F" w:rsidRPr="006414E6">
        <w:rPr>
          <w:rFonts w:cs="Times New Roman"/>
          <w:lang w:eastAsia="hr-HR"/>
        </w:rPr>
        <w:t>ptimiranja primjene organskih i mineralnih gnojiva.</w:t>
      </w:r>
    </w:p>
    <w:p w14:paraId="44126A39" w14:textId="77777777" w:rsidR="002E464F" w:rsidRPr="006414E6" w:rsidRDefault="00987929" w:rsidP="003A2F37">
      <w:pPr>
        <w:pStyle w:val="ListParagraph"/>
        <w:numPr>
          <w:ilvl w:val="0"/>
          <w:numId w:val="49"/>
        </w:numPr>
        <w:spacing w:line="240" w:lineRule="auto"/>
        <w:ind w:left="714" w:hanging="357"/>
        <w:rPr>
          <w:rFonts w:cs="Times New Roman"/>
          <w:lang w:eastAsia="hr-HR"/>
        </w:rPr>
      </w:pPr>
      <w:r w:rsidRPr="006414E6">
        <w:rPr>
          <w:rFonts w:cs="Times New Roman"/>
          <w:lang w:eastAsia="hr-HR"/>
        </w:rPr>
        <w:t>N</w:t>
      </w:r>
      <w:r w:rsidR="002E464F" w:rsidRPr="006414E6">
        <w:rPr>
          <w:rFonts w:cs="Times New Roman"/>
          <w:lang w:eastAsia="hr-HR"/>
        </w:rPr>
        <w:t>astavak uvođenja bioplinskih postrojenja na gospodarstvima čime bi 30% ostataka primarne biomase svinja, goveda i peradi trebalo biti obrađeno na digestorima.</w:t>
      </w:r>
    </w:p>
    <w:p w14:paraId="1181E9D9" w14:textId="77777777" w:rsidR="002E464F" w:rsidRPr="006414E6" w:rsidRDefault="002E464F" w:rsidP="003A2F37">
      <w:pPr>
        <w:pStyle w:val="ListParagraph"/>
        <w:numPr>
          <w:ilvl w:val="0"/>
          <w:numId w:val="49"/>
        </w:numPr>
        <w:spacing w:line="240" w:lineRule="auto"/>
        <w:ind w:left="714" w:hanging="357"/>
        <w:rPr>
          <w:rFonts w:cs="Times New Roman"/>
          <w:lang w:eastAsia="hr-HR"/>
        </w:rPr>
      </w:pPr>
      <w:r w:rsidRPr="006414E6">
        <w:rPr>
          <w:rFonts w:cs="Times New Roman"/>
          <w:lang w:eastAsia="hr-HR"/>
        </w:rPr>
        <w:t>Planira se da će doći do 15%-</w:t>
      </w:r>
      <w:proofErr w:type="spellStart"/>
      <w:r w:rsidRPr="006414E6">
        <w:rPr>
          <w:rFonts w:cs="Times New Roman"/>
          <w:lang w:eastAsia="hr-HR"/>
        </w:rPr>
        <w:t>tne</w:t>
      </w:r>
      <w:proofErr w:type="spellEnd"/>
      <w:r w:rsidRPr="006414E6">
        <w:rPr>
          <w:rFonts w:cs="Times New Roman"/>
          <w:lang w:eastAsia="hr-HR"/>
        </w:rPr>
        <w:t xml:space="preserve"> penetracije </w:t>
      </w:r>
      <w:proofErr w:type="spellStart"/>
      <w:r w:rsidRPr="006414E6">
        <w:rPr>
          <w:rFonts w:cs="Times New Roman"/>
          <w:lang w:eastAsia="hr-HR"/>
        </w:rPr>
        <w:t>sporodjelujućih</w:t>
      </w:r>
      <w:proofErr w:type="spellEnd"/>
      <w:r w:rsidRPr="006414E6">
        <w:rPr>
          <w:rFonts w:cs="Times New Roman"/>
          <w:lang w:eastAsia="hr-HR"/>
        </w:rPr>
        <w:t xml:space="preserve"> gnojiva u ukupnom udjelu mineralnih gnojiva kao i daljnjeg povećanja udjela novih kultivara i sorti.</w:t>
      </w:r>
    </w:p>
    <w:p w14:paraId="3FF4D4D7" w14:textId="77777777" w:rsidR="002E464F" w:rsidRPr="006414E6" w:rsidRDefault="002E464F" w:rsidP="003A2F37">
      <w:pPr>
        <w:pStyle w:val="ListParagraph"/>
        <w:numPr>
          <w:ilvl w:val="0"/>
          <w:numId w:val="49"/>
        </w:numPr>
        <w:spacing w:line="240" w:lineRule="auto"/>
        <w:ind w:left="714" w:hanging="357"/>
        <w:rPr>
          <w:rFonts w:cs="Times New Roman"/>
          <w:lang w:eastAsia="hr-HR"/>
        </w:rPr>
      </w:pPr>
      <w:r w:rsidRPr="006414E6">
        <w:rPr>
          <w:rFonts w:cs="Times New Roman"/>
          <w:lang w:eastAsia="hr-HR"/>
        </w:rPr>
        <w:t xml:space="preserve">Planira se izgradnja </w:t>
      </w:r>
      <w:proofErr w:type="spellStart"/>
      <w:r w:rsidRPr="006414E6">
        <w:rPr>
          <w:rFonts w:cs="Times New Roman"/>
          <w:lang w:eastAsia="hr-HR"/>
        </w:rPr>
        <w:t>hidromelioracijskih</w:t>
      </w:r>
      <w:proofErr w:type="spellEnd"/>
      <w:r w:rsidRPr="006414E6">
        <w:rPr>
          <w:rFonts w:cs="Times New Roman"/>
          <w:lang w:eastAsia="hr-HR"/>
        </w:rPr>
        <w:t xml:space="preserve"> zahvata i sustava zaštite od nepogode na 90-100% pogodnih poljoprivrednih površina.</w:t>
      </w:r>
    </w:p>
    <w:p w14:paraId="2E961FFC" w14:textId="77777777" w:rsidR="002E464F" w:rsidRPr="006414E6" w:rsidRDefault="002E464F" w:rsidP="003A2F37">
      <w:pPr>
        <w:pStyle w:val="ListParagraph"/>
        <w:numPr>
          <w:ilvl w:val="0"/>
          <w:numId w:val="49"/>
        </w:numPr>
        <w:spacing w:line="240" w:lineRule="auto"/>
        <w:ind w:left="714" w:hanging="357"/>
        <w:rPr>
          <w:rFonts w:cs="Times New Roman"/>
          <w:szCs w:val="24"/>
          <w:lang w:eastAsia="hr-HR"/>
        </w:rPr>
      </w:pPr>
      <w:r w:rsidRPr="006414E6">
        <w:rPr>
          <w:rFonts w:cs="Times New Roman"/>
          <w:szCs w:val="24"/>
          <w:lang w:eastAsia="hr-HR"/>
        </w:rPr>
        <w:t>Očekuje se da će povećanje produktivnosti i strukturalne promjene u poljoprivredi omogućiti primjenu novih mjera koje danas još nisu u primjeni.</w:t>
      </w:r>
    </w:p>
    <w:p w14:paraId="5055E541" w14:textId="77777777" w:rsidR="00216223" w:rsidRPr="006414E6" w:rsidRDefault="00216223" w:rsidP="003A2F37">
      <w:pPr>
        <w:pStyle w:val="ListParagraph"/>
        <w:numPr>
          <w:ilvl w:val="0"/>
          <w:numId w:val="49"/>
        </w:numPr>
        <w:spacing w:line="240" w:lineRule="auto"/>
        <w:ind w:left="714" w:hanging="357"/>
        <w:rPr>
          <w:rFonts w:cs="Times New Roman"/>
          <w:szCs w:val="24"/>
          <w:lang w:eastAsia="hr-HR"/>
        </w:rPr>
      </w:pPr>
      <w:r w:rsidRPr="006414E6">
        <w:rPr>
          <w:rFonts w:cs="Times New Roman"/>
          <w:szCs w:val="24"/>
          <w:lang w:eastAsia="hr-HR"/>
        </w:rPr>
        <w:t>Povezivanje mjera ublažavanja emisije stakleničkih plinova s mjerama prilagodbe klimatskim promjenama</w:t>
      </w:r>
    </w:p>
    <w:p w14:paraId="0A48DF3C" w14:textId="77777777" w:rsidR="00216223" w:rsidRPr="006414E6" w:rsidRDefault="00216223" w:rsidP="003A2F37">
      <w:pPr>
        <w:pStyle w:val="ListParagraph"/>
        <w:numPr>
          <w:ilvl w:val="0"/>
          <w:numId w:val="49"/>
        </w:numPr>
        <w:spacing w:line="240" w:lineRule="auto"/>
        <w:ind w:left="714" w:hanging="357"/>
        <w:rPr>
          <w:rFonts w:cs="Times New Roman"/>
          <w:szCs w:val="24"/>
          <w:lang w:eastAsia="hr-HR"/>
        </w:rPr>
      </w:pPr>
      <w:r w:rsidRPr="006414E6">
        <w:rPr>
          <w:rFonts w:cs="Times New Roman"/>
          <w:szCs w:val="24"/>
          <w:lang w:eastAsia="hr-HR"/>
        </w:rPr>
        <w:t>Mjere zajedničke poljoprivredne prakse trebaju biti valorizirane kroz doprinos smanjenju emisije i  povećanju odliva emisija u okviru LULUCF sektora</w:t>
      </w:r>
    </w:p>
    <w:p w14:paraId="6B2152B6" w14:textId="77777777" w:rsidR="005536C1" w:rsidRPr="006414E6" w:rsidRDefault="005536C1" w:rsidP="00EE3488">
      <w:pPr>
        <w:pStyle w:val="Heading2"/>
      </w:pPr>
      <w:bookmarkStart w:id="273" w:name="_Toc20841310"/>
      <w:bookmarkStart w:id="274" w:name="_Toc20841416"/>
      <w:bookmarkStart w:id="275" w:name="_Toc39133301"/>
      <w:r w:rsidRPr="006414E6">
        <w:t xml:space="preserve">6.7. </w:t>
      </w:r>
      <w:r w:rsidR="006359CA" w:rsidRPr="006414E6">
        <w:tab/>
      </w:r>
      <w:r w:rsidRPr="006414E6">
        <w:t>GOSPODARENJE OTPADOM</w:t>
      </w:r>
      <w:bookmarkEnd w:id="273"/>
      <w:bookmarkEnd w:id="274"/>
      <w:bookmarkEnd w:id="275"/>
    </w:p>
    <w:p w14:paraId="55E66193" w14:textId="77777777" w:rsidR="005536C1" w:rsidRPr="006414E6" w:rsidRDefault="005536C1" w:rsidP="00EE3488">
      <w:pPr>
        <w:pStyle w:val="Heading3"/>
      </w:pPr>
      <w:bookmarkStart w:id="276" w:name="_Toc39133302"/>
      <w:r w:rsidRPr="006414E6">
        <w:t>6.7.1. Emisije</w:t>
      </w:r>
      <w:r w:rsidR="00943D87" w:rsidRPr="006414E6">
        <w:t xml:space="preserve"> stakleničkih plinova</w:t>
      </w:r>
      <w:bookmarkEnd w:id="276"/>
    </w:p>
    <w:p w14:paraId="0CB7EA67" w14:textId="77777777" w:rsidR="00E35FB3" w:rsidRPr="006414E6" w:rsidRDefault="00E35FB3" w:rsidP="00350F7A">
      <w:pPr>
        <w:spacing w:line="240" w:lineRule="auto"/>
        <w:rPr>
          <w:rFonts w:cs="Times New Roman"/>
        </w:rPr>
      </w:pPr>
      <w:bookmarkStart w:id="277" w:name="_Hlk36802462"/>
      <w:r w:rsidRPr="006414E6">
        <w:rPr>
          <w:rFonts w:cs="Times New Roman"/>
        </w:rPr>
        <w:t xml:space="preserve">Sektor </w:t>
      </w:r>
      <w:r w:rsidR="00AC0BF3" w:rsidRPr="006414E6">
        <w:rPr>
          <w:rFonts w:cs="Times New Roman"/>
        </w:rPr>
        <w:t>g</w:t>
      </w:r>
      <w:r w:rsidR="00676BD2" w:rsidRPr="006414E6">
        <w:rPr>
          <w:rFonts w:cs="Times New Roman"/>
        </w:rPr>
        <w:t>ospodarenje o</w:t>
      </w:r>
      <w:r w:rsidRPr="006414E6">
        <w:rPr>
          <w:rFonts w:cs="Times New Roman"/>
        </w:rPr>
        <w:t>tpad</w:t>
      </w:r>
      <w:r w:rsidR="00676BD2" w:rsidRPr="006414E6">
        <w:rPr>
          <w:rFonts w:cs="Times New Roman"/>
        </w:rPr>
        <w:t>om</w:t>
      </w:r>
      <w:r w:rsidRPr="006414E6">
        <w:rPr>
          <w:rFonts w:cs="Times New Roman"/>
        </w:rPr>
        <w:t xml:space="preserve"> sudjeluje u ukupno</w:t>
      </w:r>
      <w:r w:rsidR="002019AF" w:rsidRPr="006414E6">
        <w:rPr>
          <w:rFonts w:cs="Times New Roman"/>
        </w:rPr>
        <w:t>j emisiji stakleničkih plinova Republike Hrvatske</w:t>
      </w:r>
      <w:r w:rsidRPr="006414E6">
        <w:rPr>
          <w:rFonts w:cs="Times New Roman"/>
        </w:rPr>
        <w:t xml:space="preserve"> s 8,6% u 201</w:t>
      </w:r>
      <w:r w:rsidR="007C5671" w:rsidRPr="006414E6">
        <w:rPr>
          <w:rFonts w:cs="Times New Roman"/>
        </w:rPr>
        <w:t>8</w:t>
      </w:r>
      <w:r w:rsidRPr="006414E6">
        <w:rPr>
          <w:rFonts w:cs="Times New Roman"/>
        </w:rPr>
        <w:t>. godini, od čega 99,6% potječe iz ključnih izvora emisije: odlaganja krutog otpada i upravljanja otpadnim vodama. Od toga se 8</w:t>
      </w:r>
      <w:r w:rsidR="007C5671" w:rsidRPr="006414E6">
        <w:rPr>
          <w:rFonts w:cs="Times New Roman"/>
        </w:rPr>
        <w:t>6,9</w:t>
      </w:r>
      <w:r w:rsidRPr="006414E6">
        <w:rPr>
          <w:rFonts w:cs="Times New Roman"/>
        </w:rPr>
        <w:t>% emisije odnosi se na odlaganje krutog otpada.</w:t>
      </w:r>
    </w:p>
    <w:bookmarkEnd w:id="277"/>
    <w:p w14:paraId="7CE3FF1C" w14:textId="77777777" w:rsidR="00620CDC" w:rsidRPr="006414E6" w:rsidRDefault="00620CDC" w:rsidP="00943D87">
      <w:pPr>
        <w:spacing w:line="240" w:lineRule="auto"/>
        <w:rPr>
          <w:rFonts w:cs="Times New Roman"/>
        </w:rPr>
      </w:pPr>
      <w:r w:rsidRPr="006414E6">
        <w:rPr>
          <w:rFonts w:cs="Times New Roman"/>
        </w:rPr>
        <w:t>U ovom sektoru se u odnosu na 1990. godinu postiže povećanje emisije za 35% u 2030. godini. Smanjenje emisije očekuje</w:t>
      </w:r>
      <w:r w:rsidR="00AC0BF3" w:rsidRPr="006414E6">
        <w:rPr>
          <w:rFonts w:cs="Times New Roman"/>
        </w:rPr>
        <w:t xml:space="preserve"> se</w:t>
      </w:r>
      <w:r w:rsidRPr="006414E6">
        <w:rPr>
          <w:rFonts w:cs="Times New Roman"/>
        </w:rPr>
        <w:t xml:space="preserve"> tek u 2040. godini (za 7,6%). U 2050. godini smanjenje će iznositi 29,4%</w:t>
      </w:r>
      <w:r w:rsidR="002C7AC8" w:rsidRPr="006414E6">
        <w:rPr>
          <w:rFonts w:cs="Times New Roman"/>
        </w:rPr>
        <w:t xml:space="preserve"> u odnosu na razinu emisije u 1990. godini</w:t>
      </w:r>
      <w:r w:rsidRPr="006414E6">
        <w:rPr>
          <w:rFonts w:cs="Times New Roman"/>
        </w:rPr>
        <w:t>.</w:t>
      </w:r>
    </w:p>
    <w:p w14:paraId="21ABC279" w14:textId="77777777" w:rsidR="005536C1" w:rsidRPr="006414E6" w:rsidRDefault="005536C1" w:rsidP="00EE3488">
      <w:pPr>
        <w:pStyle w:val="Heading3"/>
      </w:pPr>
      <w:bookmarkStart w:id="278" w:name="_Toc39133303"/>
      <w:r w:rsidRPr="006414E6">
        <w:t xml:space="preserve">6.7.2. Politike i mjere za </w:t>
      </w:r>
      <w:proofErr w:type="spellStart"/>
      <w:r w:rsidRPr="006414E6">
        <w:t>niskougljični</w:t>
      </w:r>
      <w:proofErr w:type="spellEnd"/>
      <w:r w:rsidRPr="006414E6">
        <w:t xml:space="preserve"> razvoj</w:t>
      </w:r>
      <w:bookmarkEnd w:id="278"/>
    </w:p>
    <w:p w14:paraId="066B76D6" w14:textId="77777777" w:rsidR="00E35FB3" w:rsidRPr="006414E6" w:rsidRDefault="00E35FB3" w:rsidP="00E35FB3">
      <w:pPr>
        <w:rPr>
          <w:rFonts w:eastAsia="Calibri" w:cs="Times New Roman"/>
          <w:u w:val="single"/>
        </w:rPr>
      </w:pPr>
      <w:r w:rsidRPr="006414E6">
        <w:rPr>
          <w:rFonts w:eastAsia="Calibri" w:cs="Times New Roman"/>
          <w:u w:val="single"/>
        </w:rPr>
        <w:t>Utjecaj održivog gospodarenja otpadom</w:t>
      </w:r>
    </w:p>
    <w:p w14:paraId="078DAA1E" w14:textId="77777777" w:rsidR="00E35FB3" w:rsidRPr="006414E6" w:rsidRDefault="00E35FB3" w:rsidP="00E35FB3">
      <w:pPr>
        <w:rPr>
          <w:rFonts w:eastAsia="Calibri" w:cs="Times New Roman"/>
        </w:rPr>
      </w:pPr>
      <w:r w:rsidRPr="006414E6">
        <w:rPr>
          <w:rFonts w:eastAsia="Calibri" w:cs="Times New Roman"/>
        </w:rPr>
        <w:t>Sprječavanjem nastajanja, odvojenim prikupljanjem, recikliranjem i oporabom otpada, količina krutog otpada za odlaganje svesti će se na minimum. Sva odlagališta biti će sanirana, centri za gospodarenje otpadom i nova odlagališta biti će uređena na način da je njihov utjecaj na okoliš zanemariv. Potpuna uspostava sustava gospodarenja otpadom doprinijeti će resursnoj učinkovitosti s manjim negativnim utjecajem na ljude i okoliš.</w:t>
      </w:r>
    </w:p>
    <w:p w14:paraId="596BAE12" w14:textId="77777777" w:rsidR="00E35FB3" w:rsidRPr="006414E6" w:rsidRDefault="00E35FB3" w:rsidP="00E35FB3">
      <w:pPr>
        <w:rPr>
          <w:rFonts w:cs="Times New Roman"/>
        </w:rPr>
      </w:pPr>
      <w:r w:rsidRPr="006414E6">
        <w:rPr>
          <w:rFonts w:cs="Times New Roman"/>
        </w:rPr>
        <w:lastRenderedPageBreak/>
        <w:t xml:space="preserve">Cilj Akcijskog plana EU-a za kružno </w:t>
      </w:r>
      <w:r w:rsidRPr="006414E6">
        <w:rPr>
          <w:rFonts w:eastAsia="Calibri" w:cs="Times New Roman"/>
        </w:rPr>
        <w:t>gospodarstvo</w:t>
      </w:r>
      <w:r w:rsidRPr="006414E6">
        <w:rPr>
          <w:rFonts w:cs="Times New Roman"/>
        </w:rPr>
        <w:t xml:space="preserve"> je poboljšanje uvjeta za održiviji rast uz učinkovitije korištenje resursa te uspostavljanje dosljednosti s drugim područjima politike. Akcijski plan obuhvaća brojne teme i mjere, od dizajniranja proizvoda preko potrošnje do gospodarenja otpadom i priznavanja veće vrijednosti resursa. Plan je promijeniti zakonodavni okvir za razvoj kružnog gospodarstva, zacrtati dugoročne ciljeve u pogledu gospodarenja otpadom te provesti daljnje specifične mjere. Osim toga, Akcijskim bi planom tijekom provedbe trebalo podržati poduzeća, društvo i države članice, kako na regionalnoj tako i na lokalnoj razini. U Akcijskom se planu izričito naglašava globalna dimenzija ovoga pitanja i upućuje na zacrtane ciljeve Programa UN-a za 2030. godinu za održivi razvoj.</w:t>
      </w:r>
    </w:p>
    <w:p w14:paraId="473161E6" w14:textId="77777777" w:rsidR="00E35FB3" w:rsidRPr="00350F7A" w:rsidRDefault="00E35FB3" w:rsidP="00350F7A">
      <w:pPr>
        <w:rPr>
          <w:rFonts w:cs="Times New Roman"/>
        </w:rPr>
      </w:pPr>
      <w:r w:rsidRPr="00350F7A">
        <w:rPr>
          <w:rFonts w:cs="Times New Roman"/>
        </w:rPr>
        <w:t>Održivo gospodarenje otpadom podrazumijeva:</w:t>
      </w:r>
    </w:p>
    <w:p w14:paraId="3BD6DD4D" w14:textId="77777777" w:rsidR="00E35FB3" w:rsidRPr="00350F7A" w:rsidRDefault="00E35FB3" w:rsidP="00350F7A">
      <w:pPr>
        <w:numPr>
          <w:ilvl w:val="0"/>
          <w:numId w:val="48"/>
        </w:numPr>
        <w:autoSpaceDE w:val="0"/>
        <w:autoSpaceDN w:val="0"/>
        <w:adjustRightInd w:val="0"/>
        <w:spacing w:line="240" w:lineRule="auto"/>
        <w:rPr>
          <w:rFonts w:cs="Times New Roman"/>
          <w:bCs/>
          <w:lang w:eastAsia="hr-HR"/>
        </w:rPr>
      </w:pPr>
      <w:r w:rsidRPr="006414E6">
        <w:rPr>
          <w:rFonts w:cs="Times New Roman"/>
          <w:bCs/>
          <w:lang w:eastAsia="hr-HR"/>
        </w:rPr>
        <w:t xml:space="preserve">smanjenje (izbjegavanje) nastajanja otpada </w:t>
      </w:r>
      <w:r w:rsidRPr="00350F7A">
        <w:rPr>
          <w:rFonts w:cs="Times New Roman"/>
          <w:bCs/>
          <w:lang w:eastAsia="hr-HR"/>
        </w:rPr>
        <w:t>i emisija stakleničkih plinova</w:t>
      </w:r>
    </w:p>
    <w:p w14:paraId="3CF4B222" w14:textId="77777777" w:rsidR="00E35FB3" w:rsidRPr="006414E6" w:rsidRDefault="00E35FB3" w:rsidP="003A2F37">
      <w:pPr>
        <w:numPr>
          <w:ilvl w:val="0"/>
          <w:numId w:val="48"/>
        </w:numPr>
        <w:autoSpaceDE w:val="0"/>
        <w:autoSpaceDN w:val="0"/>
        <w:adjustRightInd w:val="0"/>
        <w:spacing w:line="240" w:lineRule="auto"/>
        <w:rPr>
          <w:rFonts w:cs="Times New Roman"/>
          <w:lang w:eastAsia="hr-HR"/>
        </w:rPr>
      </w:pPr>
      <w:r w:rsidRPr="006414E6">
        <w:rPr>
          <w:rFonts w:cs="Times New Roman"/>
          <w:bCs/>
          <w:lang w:eastAsia="hr-HR"/>
        </w:rPr>
        <w:t>uspostavljen sustav gospodarenja otpadom</w:t>
      </w:r>
    </w:p>
    <w:p w14:paraId="1262900E" w14:textId="77777777" w:rsidR="00E35FB3" w:rsidRPr="006414E6" w:rsidRDefault="00E35FB3" w:rsidP="003A2F37">
      <w:pPr>
        <w:numPr>
          <w:ilvl w:val="0"/>
          <w:numId w:val="48"/>
        </w:numPr>
        <w:autoSpaceDE w:val="0"/>
        <w:autoSpaceDN w:val="0"/>
        <w:adjustRightInd w:val="0"/>
        <w:spacing w:line="240" w:lineRule="auto"/>
        <w:rPr>
          <w:rFonts w:cs="Times New Roman"/>
          <w:lang w:eastAsia="hr-HR"/>
        </w:rPr>
      </w:pPr>
      <w:r w:rsidRPr="006414E6">
        <w:rPr>
          <w:rFonts w:cs="Times New Roman"/>
          <w:bCs/>
          <w:lang w:eastAsia="hr-HR"/>
        </w:rPr>
        <w:t xml:space="preserve">sanirana odlagališta </w:t>
      </w:r>
      <w:r w:rsidRPr="006414E6">
        <w:rPr>
          <w:rFonts w:cs="Times New Roman"/>
          <w:lang w:eastAsia="hr-HR"/>
        </w:rPr>
        <w:t>otpada</w:t>
      </w:r>
    </w:p>
    <w:p w14:paraId="6A3D2A6C" w14:textId="77777777" w:rsidR="00E35FB3" w:rsidRPr="006414E6" w:rsidRDefault="00E35FB3" w:rsidP="003A2F37">
      <w:pPr>
        <w:numPr>
          <w:ilvl w:val="0"/>
          <w:numId w:val="48"/>
        </w:numPr>
        <w:autoSpaceDE w:val="0"/>
        <w:autoSpaceDN w:val="0"/>
        <w:adjustRightInd w:val="0"/>
        <w:spacing w:line="240" w:lineRule="auto"/>
        <w:rPr>
          <w:rFonts w:cs="Times New Roman"/>
          <w:lang w:eastAsia="hr-HR"/>
        </w:rPr>
      </w:pPr>
      <w:r w:rsidRPr="006414E6">
        <w:rPr>
          <w:rFonts w:cs="Times New Roman"/>
          <w:bCs/>
          <w:lang w:eastAsia="hr-HR"/>
        </w:rPr>
        <w:t>potpunu oporabu otpada.</w:t>
      </w:r>
    </w:p>
    <w:p w14:paraId="2E38CFB6" w14:textId="77777777" w:rsidR="00E35FB3" w:rsidRPr="006414E6" w:rsidRDefault="00E35FB3" w:rsidP="00E35FB3">
      <w:pPr>
        <w:rPr>
          <w:rFonts w:cs="Times New Roman"/>
        </w:rPr>
      </w:pPr>
      <w:r w:rsidRPr="006414E6">
        <w:rPr>
          <w:rFonts w:cs="Times New Roman"/>
        </w:rPr>
        <w:t xml:space="preserve">Projekcije emisija stakleničkih plinova iz sektora Otpad temelje se na provedbi mjera propisanih sektorskim zakonodavstvom, usklađenim s EU zakonodavstvom. </w:t>
      </w:r>
    </w:p>
    <w:p w14:paraId="16F23387" w14:textId="77777777" w:rsidR="00E35FB3" w:rsidRPr="006414E6" w:rsidRDefault="00E35FB3" w:rsidP="00E35FB3">
      <w:pPr>
        <w:rPr>
          <w:rFonts w:cs="Times New Roman"/>
          <w:szCs w:val="24"/>
        </w:rPr>
      </w:pPr>
      <w:r w:rsidRPr="006414E6">
        <w:rPr>
          <w:rFonts w:cs="Times New Roman"/>
        </w:rPr>
        <w:t>U izradi projekcija iz odlaganja i biološke obrade krutog otpada (kompostiranja) uključene su pretpostavke temeljene</w:t>
      </w:r>
      <w:r w:rsidR="002019AF" w:rsidRPr="006414E6">
        <w:rPr>
          <w:rFonts w:cs="Times New Roman"/>
        </w:rPr>
        <w:t xml:space="preserve"> na postojećem pravnom okviru Republike Hrvatske</w:t>
      </w:r>
      <w:r w:rsidRPr="006414E6">
        <w:rPr>
          <w:rFonts w:cs="Times New Roman"/>
        </w:rPr>
        <w:t xml:space="preserve"> i usvojenom pravnom okviru EU iz područja gospodarenja otpadom za razdoblje do 2035. godine. Odgoda od 5 godina</w:t>
      </w:r>
      <w:r w:rsidR="002019AF" w:rsidRPr="006414E6">
        <w:rPr>
          <w:rFonts w:cs="Times New Roman"/>
        </w:rPr>
        <w:t xml:space="preserve"> za Republiku Hrvatsku</w:t>
      </w:r>
      <w:r w:rsidRPr="006414E6">
        <w:rPr>
          <w:rFonts w:cs="Times New Roman"/>
        </w:rPr>
        <w:t xml:space="preserve"> uključena je u projekcije. Za razdoblje nakon 2040. godine korištene su pretpostavke za primjenu mjera temeljene na stručnoj procjeni, sukladno pretpostavkama definiranima usvojenim planskim dokumentima. </w:t>
      </w:r>
    </w:p>
    <w:p w14:paraId="3BCEAEE2" w14:textId="77777777" w:rsidR="00E35FB3" w:rsidRPr="006414E6" w:rsidRDefault="00E35FB3" w:rsidP="00E35FB3">
      <w:pPr>
        <w:rPr>
          <w:rFonts w:cs="Times New Roman"/>
        </w:rPr>
      </w:pPr>
      <w:r w:rsidRPr="006414E6">
        <w:rPr>
          <w:rFonts w:cs="Times New Roman"/>
        </w:rPr>
        <w:t xml:space="preserve">U projekcije emisija iz spaljivanja otpada uključena je pretpostavka da se više ne provodi spaljivanje bolničkog otpada bez oporabe energije. </w:t>
      </w:r>
    </w:p>
    <w:p w14:paraId="47C54B96" w14:textId="77777777" w:rsidR="00E35FB3" w:rsidRPr="006414E6" w:rsidRDefault="00E35FB3" w:rsidP="00E35FB3">
      <w:pPr>
        <w:rPr>
          <w:rFonts w:cs="Times New Roman"/>
        </w:rPr>
      </w:pPr>
      <w:r w:rsidRPr="006414E6">
        <w:rPr>
          <w:rFonts w:cs="Times New Roman"/>
        </w:rPr>
        <w:t>Projekcije emisija iz upravljanja otpadnim vodama za razdoblje do 2050. godine izračunavaju se na temelju emisije iz zadnje povijesne godine (201</w:t>
      </w:r>
      <w:r w:rsidR="00AC0BF3" w:rsidRPr="006414E6">
        <w:rPr>
          <w:rFonts w:cs="Times New Roman"/>
        </w:rPr>
        <w:t>8</w:t>
      </w:r>
      <w:r w:rsidRPr="006414E6">
        <w:rPr>
          <w:rFonts w:cs="Times New Roman"/>
        </w:rPr>
        <w:t>.), korištenjem projekcija godišnje stope porasta BDP-a i broja stanovnika.</w:t>
      </w:r>
    </w:p>
    <w:p w14:paraId="2B6C1B0A" w14:textId="77777777" w:rsidR="00E35FB3" w:rsidRPr="006414E6" w:rsidRDefault="00E35FB3" w:rsidP="00E35FB3">
      <w:pPr>
        <w:rPr>
          <w:rFonts w:cs="Times New Roman"/>
          <w:u w:val="single"/>
        </w:rPr>
      </w:pPr>
      <w:r w:rsidRPr="006414E6">
        <w:rPr>
          <w:rFonts w:cs="Times New Roman"/>
          <w:u w:val="single"/>
        </w:rPr>
        <w:t>Mjere</w:t>
      </w:r>
    </w:p>
    <w:p w14:paraId="1C1F49DB" w14:textId="77777777" w:rsidR="00E35FB3" w:rsidRPr="006414E6" w:rsidRDefault="00E35FB3" w:rsidP="00E35FB3">
      <w:pPr>
        <w:rPr>
          <w:rFonts w:cs="Times New Roman"/>
        </w:rPr>
      </w:pPr>
      <w:proofErr w:type="spellStart"/>
      <w:r w:rsidRPr="006414E6">
        <w:rPr>
          <w:rFonts w:cs="Times New Roman"/>
        </w:rPr>
        <w:t>Niskougljični</w:t>
      </w:r>
      <w:proofErr w:type="spellEnd"/>
      <w:r w:rsidRPr="006414E6">
        <w:rPr>
          <w:rFonts w:cs="Times New Roman"/>
        </w:rPr>
        <w:t xml:space="preserve"> scenariji uključuju primjenu mjera za smanjenje emisija stakleničkih plinova iz odlaganja krutog otpada.</w:t>
      </w:r>
    </w:p>
    <w:p w14:paraId="656B17A8" w14:textId="77777777" w:rsidR="00E35FB3" w:rsidRPr="006414E6" w:rsidRDefault="00E35FB3" w:rsidP="00E35FB3">
      <w:pPr>
        <w:rPr>
          <w:rFonts w:cs="Times New Roman"/>
        </w:rPr>
      </w:pPr>
      <w:r w:rsidRPr="006414E6">
        <w:rPr>
          <w:rFonts w:cs="Times New Roman"/>
        </w:rPr>
        <w:t>U NUR scenarij uključene su sljedeće mjere:</w:t>
      </w:r>
    </w:p>
    <w:p w14:paraId="7B2B490E" w14:textId="77777777" w:rsidR="00E35FB3" w:rsidRPr="006414E6" w:rsidRDefault="005F43E1" w:rsidP="003A2F37">
      <w:pPr>
        <w:pStyle w:val="ListParagraph"/>
        <w:numPr>
          <w:ilvl w:val="0"/>
          <w:numId w:val="30"/>
        </w:numPr>
        <w:rPr>
          <w:rFonts w:cs="Times New Roman"/>
        </w:rPr>
      </w:pPr>
      <w:r w:rsidRPr="006414E6">
        <w:rPr>
          <w:rFonts w:cs="Times New Roman"/>
        </w:rPr>
        <w:t>s</w:t>
      </w:r>
      <w:r w:rsidR="00E35FB3" w:rsidRPr="006414E6">
        <w:rPr>
          <w:rFonts w:cs="Times New Roman"/>
        </w:rPr>
        <w:t>prječavanje nastajanja i smanjivanje količine krutog otpada</w:t>
      </w:r>
    </w:p>
    <w:p w14:paraId="469E8EDA" w14:textId="77777777" w:rsidR="00E35FB3" w:rsidRPr="006414E6" w:rsidRDefault="005F43E1" w:rsidP="003A2F37">
      <w:pPr>
        <w:pStyle w:val="ListParagraph"/>
        <w:numPr>
          <w:ilvl w:val="0"/>
          <w:numId w:val="30"/>
        </w:numPr>
        <w:rPr>
          <w:rFonts w:cs="Times New Roman"/>
        </w:rPr>
      </w:pPr>
      <w:r w:rsidRPr="006414E6">
        <w:rPr>
          <w:rFonts w:cs="Times New Roman"/>
        </w:rPr>
        <w:t>p</w:t>
      </w:r>
      <w:r w:rsidR="00E35FB3" w:rsidRPr="006414E6">
        <w:rPr>
          <w:rFonts w:cs="Times New Roman"/>
        </w:rPr>
        <w:t>ovećanje količine odvojeno skupljenog i recikliranog krutog otpada</w:t>
      </w:r>
    </w:p>
    <w:p w14:paraId="4BDB2945" w14:textId="77777777" w:rsidR="00E35FB3" w:rsidRPr="006414E6" w:rsidRDefault="005F43E1" w:rsidP="003A2F37">
      <w:pPr>
        <w:pStyle w:val="ListParagraph"/>
        <w:numPr>
          <w:ilvl w:val="0"/>
          <w:numId w:val="30"/>
        </w:numPr>
        <w:rPr>
          <w:rFonts w:cs="Times New Roman"/>
        </w:rPr>
      </w:pPr>
      <w:r w:rsidRPr="006414E6">
        <w:rPr>
          <w:rFonts w:cs="Times New Roman"/>
        </w:rPr>
        <w:t>o</w:t>
      </w:r>
      <w:r w:rsidR="005469F8" w:rsidRPr="006414E6">
        <w:rPr>
          <w:rFonts w:cs="Times New Roman"/>
        </w:rPr>
        <w:t>siguravanje sustava obrade i korištenja odlagališnog plina</w:t>
      </w:r>
    </w:p>
    <w:p w14:paraId="31CB215F" w14:textId="77777777" w:rsidR="00E35FB3" w:rsidRPr="006414E6" w:rsidRDefault="005F43E1" w:rsidP="003A2F37">
      <w:pPr>
        <w:pStyle w:val="ListParagraph"/>
        <w:numPr>
          <w:ilvl w:val="0"/>
          <w:numId w:val="30"/>
        </w:numPr>
        <w:rPr>
          <w:rFonts w:cs="Times New Roman"/>
        </w:rPr>
      </w:pPr>
      <w:r w:rsidRPr="006414E6">
        <w:rPr>
          <w:rFonts w:cs="Times New Roman"/>
        </w:rPr>
        <w:t>s</w:t>
      </w:r>
      <w:r w:rsidR="00E35FB3" w:rsidRPr="006414E6">
        <w:rPr>
          <w:rFonts w:cs="Times New Roman"/>
        </w:rPr>
        <w:t>manjenje količine odloženog biorazgradivog otpada</w:t>
      </w:r>
    </w:p>
    <w:p w14:paraId="58CC032A" w14:textId="77777777" w:rsidR="00E35FB3" w:rsidRPr="006414E6" w:rsidRDefault="005F43E1" w:rsidP="003A2F37">
      <w:pPr>
        <w:pStyle w:val="ListParagraph"/>
        <w:numPr>
          <w:ilvl w:val="0"/>
          <w:numId w:val="30"/>
        </w:numPr>
        <w:rPr>
          <w:rFonts w:cs="Times New Roman"/>
        </w:rPr>
      </w:pPr>
      <w:r w:rsidRPr="006414E6">
        <w:rPr>
          <w:rFonts w:cs="Times New Roman"/>
        </w:rPr>
        <w:t>k</w:t>
      </w:r>
      <w:r w:rsidR="00E35FB3" w:rsidRPr="006414E6">
        <w:rPr>
          <w:rFonts w:cs="Times New Roman"/>
        </w:rPr>
        <w:t xml:space="preserve">orištenje bioplina za proizvodnju </w:t>
      </w:r>
      <w:proofErr w:type="spellStart"/>
      <w:r w:rsidR="00E35FB3" w:rsidRPr="006414E6">
        <w:rPr>
          <w:rFonts w:cs="Times New Roman"/>
        </w:rPr>
        <w:t>biometana</w:t>
      </w:r>
      <w:proofErr w:type="spellEnd"/>
      <w:r w:rsidR="00E35FB3" w:rsidRPr="006414E6">
        <w:rPr>
          <w:rFonts w:cs="Times New Roman"/>
        </w:rPr>
        <w:t>, električne energije i topline</w:t>
      </w:r>
      <w:r w:rsidR="00272945" w:rsidRPr="006414E6">
        <w:rPr>
          <w:rFonts w:cs="Times New Roman"/>
        </w:rPr>
        <w:t>.</w:t>
      </w:r>
    </w:p>
    <w:p w14:paraId="5F15D827" w14:textId="77777777" w:rsidR="00E35FB3" w:rsidRPr="006414E6" w:rsidRDefault="00E35FB3" w:rsidP="00E35FB3">
      <w:pPr>
        <w:rPr>
          <w:rFonts w:cs="Times New Roman"/>
        </w:rPr>
      </w:pPr>
      <w:r w:rsidRPr="006414E6">
        <w:rPr>
          <w:rFonts w:cs="Times New Roman"/>
        </w:rPr>
        <w:t>Smanjenje količine odloženog biorazgradivog otpada rezultira povećanjem količine biorazgradivog otpada koji se upućuje na postupke biološke obrade, kao što je kompostiranje i anaerobna digestija u bioplinskim postrojenjima, što uvjetuje povećanje emisije CH</w:t>
      </w:r>
      <w:r w:rsidRPr="006414E6">
        <w:rPr>
          <w:rFonts w:cs="Times New Roman"/>
          <w:vertAlign w:val="subscript"/>
        </w:rPr>
        <w:t>4</w:t>
      </w:r>
      <w:r w:rsidRPr="006414E6">
        <w:rPr>
          <w:rFonts w:cs="Times New Roman"/>
        </w:rPr>
        <w:t xml:space="preserve"> tijekom promatranog razdoblja iz aktivnosti kompostiranja koja se bilancira u sektoru Otpad. Ukupni efekt smanjenja količine odloženog </w:t>
      </w:r>
      <w:r w:rsidRPr="006414E6">
        <w:rPr>
          <w:rFonts w:cs="Times New Roman"/>
        </w:rPr>
        <w:lastRenderedPageBreak/>
        <w:t>biorazgradivog otpada je pozitivan, odnosno dolazi do smanjenja emisije CH</w:t>
      </w:r>
      <w:r w:rsidRPr="006414E6">
        <w:rPr>
          <w:rFonts w:cs="Times New Roman"/>
          <w:vertAlign w:val="subscript"/>
        </w:rPr>
        <w:t>4</w:t>
      </w:r>
      <w:r w:rsidRPr="006414E6">
        <w:rPr>
          <w:rFonts w:cs="Times New Roman"/>
        </w:rPr>
        <w:t xml:space="preserve"> zbog smanjenja količine odloženog biorazgradivog otpada na odlagališta, što je i propisano sektorskim zakonodavstvom. </w:t>
      </w:r>
    </w:p>
    <w:p w14:paraId="2B439979" w14:textId="77777777" w:rsidR="00E35FB3" w:rsidRPr="006414E6" w:rsidRDefault="00E35FB3" w:rsidP="00E35FB3">
      <w:pPr>
        <w:rPr>
          <w:rFonts w:cs="Times New Roman"/>
        </w:rPr>
      </w:pPr>
      <w:r w:rsidRPr="006414E6">
        <w:rPr>
          <w:rFonts w:cs="Times New Roman"/>
        </w:rPr>
        <w:t>Potencijali smanjenja emisije CO</w:t>
      </w:r>
      <w:r w:rsidRPr="006414E6">
        <w:rPr>
          <w:rFonts w:cs="Times New Roman"/>
          <w:vertAlign w:val="subscript"/>
        </w:rPr>
        <w:t>2</w:t>
      </w:r>
      <w:r w:rsidRPr="006414E6">
        <w:rPr>
          <w:rFonts w:cs="Times New Roman"/>
        </w:rPr>
        <w:t xml:space="preserve"> koji se mogu ostvariti primjenom mjera uključenih u NUR scenarij bilanciraju se u sektoru Energetika.</w:t>
      </w:r>
    </w:p>
    <w:p w14:paraId="13B9EAAD" w14:textId="77777777" w:rsidR="00E35FB3" w:rsidRPr="006414E6" w:rsidRDefault="00E35FB3" w:rsidP="00E35FB3">
      <w:pPr>
        <w:rPr>
          <w:rFonts w:cs="Times New Roman"/>
        </w:rPr>
      </w:pPr>
      <w:r w:rsidRPr="006414E6">
        <w:rPr>
          <w:rFonts w:cs="Times New Roman"/>
        </w:rPr>
        <w:t>Scenariji NU1 i NU2 jednaki su NUR scenariju, budući nisu raspoznate dodatne mjere za smanjenje emisija. Usporedbenom analizom grupe zemalja sličnih nacionalnih karakteristika utvrđeno je da nacionalno zakonodavstvo, koje je usklađeno s EU zakonodavstvom, propisuje mjere koje sve države članice moraju implementirati do određenog roka te ih razmatraju u okviru scenarija s mjerama (što odgovara NUR scenariju).</w:t>
      </w:r>
    </w:p>
    <w:p w14:paraId="089EFBB3" w14:textId="77777777" w:rsidR="00E35FB3" w:rsidRPr="006414E6" w:rsidRDefault="00E35FB3" w:rsidP="00E35FB3">
      <w:pPr>
        <w:rPr>
          <w:rFonts w:eastAsia="Calibri" w:cs="Times New Roman"/>
        </w:rPr>
      </w:pPr>
      <w:r w:rsidRPr="006414E6">
        <w:rPr>
          <w:rFonts w:eastAsia="Calibri" w:cs="Times New Roman"/>
        </w:rPr>
        <w:t>Prema ciljevima iz Akcijskog plana EU-a za kružno gospodarstvo te integriranom pristupu u novom paketu mjera za kružno gospodarstvo i revidiranim EU Direktivama, predviđena je intenzivna primjena mjera u razdoblju do 2035. godine kao i podizanje razine ciljeva u pogledu učinkovitog korištenja resursa, recikliranja, ponovne uporabe i gospodarenja otpadom.</w:t>
      </w:r>
    </w:p>
    <w:p w14:paraId="3ED28F6D" w14:textId="77777777" w:rsidR="005536C1" w:rsidRPr="006414E6" w:rsidRDefault="005536C1" w:rsidP="00EE3488">
      <w:pPr>
        <w:pStyle w:val="Heading3"/>
      </w:pPr>
      <w:bookmarkStart w:id="279" w:name="_Toc39133304"/>
      <w:r w:rsidRPr="006414E6">
        <w:t xml:space="preserve">6.7.3. Smjernice za </w:t>
      </w:r>
      <w:proofErr w:type="spellStart"/>
      <w:r w:rsidRPr="006414E6">
        <w:t>niskougljični</w:t>
      </w:r>
      <w:proofErr w:type="spellEnd"/>
      <w:r w:rsidRPr="006414E6">
        <w:t xml:space="preserve"> razvoj</w:t>
      </w:r>
      <w:bookmarkEnd w:id="279"/>
    </w:p>
    <w:p w14:paraId="3EF372C0" w14:textId="77777777" w:rsidR="00E35FB3" w:rsidRPr="00350F7A" w:rsidRDefault="00E35FB3" w:rsidP="00350F7A">
      <w:pPr>
        <w:rPr>
          <w:u w:val="single"/>
        </w:rPr>
      </w:pPr>
      <w:r w:rsidRPr="00350F7A">
        <w:rPr>
          <w:u w:val="single"/>
        </w:rPr>
        <w:t>Do 2030. godine</w:t>
      </w:r>
    </w:p>
    <w:p w14:paraId="5E80C823" w14:textId="77777777" w:rsidR="00E35FB3" w:rsidRPr="006414E6" w:rsidRDefault="00E35FB3" w:rsidP="00350F7A">
      <w:pPr>
        <w:pStyle w:val="ListParagraph"/>
        <w:numPr>
          <w:ilvl w:val="0"/>
          <w:numId w:val="29"/>
        </w:numPr>
        <w:rPr>
          <w:rFonts w:cs="Times New Roman"/>
        </w:rPr>
      </w:pPr>
      <w:r w:rsidRPr="006414E6">
        <w:rPr>
          <w:rFonts w:cs="Times New Roman"/>
        </w:rPr>
        <w:t>Ušteda sirovina primjenom mjera sprječavanja nastajanja i recikliranja otpada.</w:t>
      </w:r>
    </w:p>
    <w:p w14:paraId="0D8AC86D" w14:textId="77777777" w:rsidR="00E35FB3" w:rsidRPr="006414E6" w:rsidRDefault="00E35FB3" w:rsidP="003A2F37">
      <w:pPr>
        <w:pStyle w:val="ListParagraph"/>
        <w:numPr>
          <w:ilvl w:val="0"/>
          <w:numId w:val="29"/>
        </w:numPr>
        <w:rPr>
          <w:rFonts w:cs="Times New Roman"/>
        </w:rPr>
      </w:pPr>
      <w:r w:rsidRPr="006414E6">
        <w:rPr>
          <w:rFonts w:cs="Times New Roman"/>
        </w:rPr>
        <w:t>Uspostava sustava odvojenog sakupljanja otpada, u skladu s ciljevima nacionalnog i EU zakonodavstva.</w:t>
      </w:r>
    </w:p>
    <w:p w14:paraId="2037ABAE" w14:textId="77777777" w:rsidR="00E35FB3" w:rsidRPr="006414E6" w:rsidRDefault="00E35FB3" w:rsidP="003A2F37">
      <w:pPr>
        <w:pStyle w:val="ListParagraph"/>
        <w:numPr>
          <w:ilvl w:val="0"/>
          <w:numId w:val="29"/>
        </w:numPr>
        <w:rPr>
          <w:rFonts w:cs="Times New Roman"/>
        </w:rPr>
      </w:pPr>
      <w:r w:rsidRPr="006414E6">
        <w:rPr>
          <w:rFonts w:cs="Times New Roman"/>
        </w:rPr>
        <w:t>Potpuna provedba sanacije i zatvaranja postojećih odlagališta.</w:t>
      </w:r>
    </w:p>
    <w:p w14:paraId="12C200E4" w14:textId="77777777" w:rsidR="00E35FB3" w:rsidRPr="006414E6" w:rsidRDefault="00E35FB3" w:rsidP="003A2F37">
      <w:pPr>
        <w:pStyle w:val="ListParagraph"/>
        <w:numPr>
          <w:ilvl w:val="0"/>
          <w:numId w:val="29"/>
        </w:numPr>
        <w:rPr>
          <w:rFonts w:cs="Times New Roman"/>
        </w:rPr>
      </w:pPr>
      <w:r w:rsidRPr="006414E6">
        <w:rPr>
          <w:rFonts w:cs="Times New Roman"/>
        </w:rPr>
        <w:t>Uspostava cjelovitog sustava gospodarenja otpadom prema redu prvenstva koji se provodi u skladu s ciljevima EU direktiva - uspostava centara za gospodarenje otpadom.</w:t>
      </w:r>
    </w:p>
    <w:p w14:paraId="37A8D3AA" w14:textId="77777777" w:rsidR="00E35FB3" w:rsidRPr="006414E6" w:rsidRDefault="00E35FB3" w:rsidP="003A2F37">
      <w:pPr>
        <w:pStyle w:val="ListParagraph"/>
        <w:numPr>
          <w:ilvl w:val="0"/>
          <w:numId w:val="29"/>
        </w:numPr>
        <w:rPr>
          <w:rFonts w:cs="Times New Roman"/>
        </w:rPr>
      </w:pPr>
      <w:r w:rsidRPr="006414E6">
        <w:rPr>
          <w:rFonts w:cs="Times New Roman"/>
        </w:rPr>
        <w:t>Poticanje proizvodnje iz obnovljivih izvora energije - elektrane na odlagališni plin i plin iz postrojenja za pročišćavanje otpadnih voda, elektrane na bioplin i biomasu.</w:t>
      </w:r>
    </w:p>
    <w:p w14:paraId="571990C0" w14:textId="77777777" w:rsidR="005212F1" w:rsidRPr="006414E6" w:rsidRDefault="005212F1" w:rsidP="00FF6CC5">
      <w:pPr>
        <w:pStyle w:val="ListParagraph"/>
        <w:numPr>
          <w:ilvl w:val="0"/>
          <w:numId w:val="29"/>
        </w:numPr>
        <w:rPr>
          <w:rFonts w:cs="Times New Roman"/>
        </w:rPr>
      </w:pPr>
      <w:r w:rsidRPr="006414E6">
        <w:rPr>
          <w:rFonts w:cs="Times New Roman"/>
        </w:rPr>
        <w:t>Rješavanje pitanja otpadnog mulja, uz mogućnost korištenja na poljoprivrednim površinama nepogodnim za uzgoj hrane i napasivanje domaćih životinja primjenom načela dobre poljoprivredne prakse te za energetske svrhe.</w:t>
      </w:r>
    </w:p>
    <w:p w14:paraId="6CADF1A4" w14:textId="77777777" w:rsidR="00E35FB3" w:rsidRPr="006414E6" w:rsidRDefault="00E35FB3" w:rsidP="003A2F37">
      <w:pPr>
        <w:pStyle w:val="ListParagraph"/>
        <w:numPr>
          <w:ilvl w:val="0"/>
          <w:numId w:val="29"/>
        </w:numPr>
        <w:rPr>
          <w:rFonts w:cs="Times New Roman"/>
        </w:rPr>
      </w:pPr>
      <w:r w:rsidRPr="006414E6">
        <w:rPr>
          <w:rFonts w:cs="Times New Roman"/>
        </w:rPr>
        <w:t xml:space="preserve">Učinkovita oporaba otpada - okosnicu sustava čine </w:t>
      </w:r>
      <w:proofErr w:type="spellStart"/>
      <w:r w:rsidRPr="006414E6">
        <w:rPr>
          <w:rFonts w:cs="Times New Roman"/>
        </w:rPr>
        <w:t>reciklažni</w:t>
      </w:r>
      <w:proofErr w:type="spellEnd"/>
      <w:r w:rsidRPr="006414E6">
        <w:rPr>
          <w:rFonts w:cs="Times New Roman"/>
        </w:rPr>
        <w:t xml:space="preserve"> centri sa </w:t>
      </w:r>
      <w:proofErr w:type="spellStart"/>
      <w:r w:rsidRPr="006414E6">
        <w:rPr>
          <w:rFonts w:cs="Times New Roman"/>
        </w:rPr>
        <w:t>sortirnicama</w:t>
      </w:r>
      <w:proofErr w:type="spellEnd"/>
      <w:r w:rsidRPr="006414E6">
        <w:rPr>
          <w:rFonts w:cs="Times New Roman"/>
        </w:rPr>
        <w:t xml:space="preserve">, cjelokupni odvojeno sakupljeni otpad potrebno je </w:t>
      </w:r>
      <w:proofErr w:type="spellStart"/>
      <w:r w:rsidRPr="006414E6">
        <w:rPr>
          <w:rFonts w:cs="Times New Roman"/>
        </w:rPr>
        <w:t>oporabiti</w:t>
      </w:r>
      <w:proofErr w:type="spellEnd"/>
      <w:r w:rsidRPr="006414E6">
        <w:rPr>
          <w:rFonts w:cs="Times New Roman"/>
        </w:rPr>
        <w:t xml:space="preserve"> - gospodarenje sirovinama - kružno gospodarstvo.</w:t>
      </w:r>
    </w:p>
    <w:p w14:paraId="681C0654" w14:textId="77777777" w:rsidR="00E35FB3" w:rsidRPr="006414E6" w:rsidRDefault="00E35FB3" w:rsidP="003A2F37">
      <w:pPr>
        <w:pStyle w:val="ListParagraph"/>
        <w:numPr>
          <w:ilvl w:val="0"/>
          <w:numId w:val="29"/>
        </w:numPr>
        <w:rPr>
          <w:rFonts w:cs="Times New Roman"/>
        </w:rPr>
      </w:pPr>
      <w:r w:rsidRPr="006414E6">
        <w:rPr>
          <w:rFonts w:cs="Times New Roman"/>
        </w:rPr>
        <w:t>Prijenos znanja i iskustava zemalja EU u primjeni najboljih raspoloživih tehnika za obradu otpada.</w:t>
      </w:r>
    </w:p>
    <w:p w14:paraId="162BB822" w14:textId="77777777" w:rsidR="00E35FB3" w:rsidRPr="006414E6" w:rsidRDefault="00E35FB3" w:rsidP="003A2F37">
      <w:pPr>
        <w:pStyle w:val="ListParagraph"/>
        <w:numPr>
          <w:ilvl w:val="0"/>
          <w:numId w:val="29"/>
        </w:numPr>
        <w:rPr>
          <w:rFonts w:cs="Times New Roman"/>
        </w:rPr>
      </w:pPr>
      <w:r w:rsidRPr="006414E6">
        <w:rPr>
          <w:rFonts w:cs="Times New Roman"/>
        </w:rPr>
        <w:t>Razvoj svijesti o potrebi upravljanja otpadom - kružno gospodarstvo, poticanje međusektorske suradnje (prehrambena industrija, poljoprivreda, šumarstvo, …).</w:t>
      </w:r>
    </w:p>
    <w:p w14:paraId="2643AE3F" w14:textId="77777777" w:rsidR="00E35FB3" w:rsidRPr="006414E6" w:rsidRDefault="00E35FB3" w:rsidP="003A2F37">
      <w:pPr>
        <w:pStyle w:val="ListParagraph"/>
        <w:numPr>
          <w:ilvl w:val="0"/>
          <w:numId w:val="29"/>
        </w:numPr>
        <w:rPr>
          <w:rFonts w:cs="Times New Roman"/>
        </w:rPr>
      </w:pPr>
      <w:r w:rsidRPr="006414E6">
        <w:rPr>
          <w:rFonts w:cs="Times New Roman"/>
        </w:rPr>
        <w:t>Osiguravanje potpora za investicijske projekte - korištenje sredstava iz EU strukturnih i investicijskih fondova.</w:t>
      </w:r>
    </w:p>
    <w:p w14:paraId="0D805BB7" w14:textId="2D714532" w:rsidR="00E35FB3" w:rsidRPr="006414E6" w:rsidRDefault="00E35FB3" w:rsidP="003A2F37">
      <w:pPr>
        <w:pStyle w:val="ListParagraph"/>
        <w:numPr>
          <w:ilvl w:val="0"/>
          <w:numId w:val="29"/>
        </w:numPr>
        <w:rPr>
          <w:rFonts w:cs="Times New Roman"/>
        </w:rPr>
      </w:pPr>
      <w:r w:rsidRPr="006414E6">
        <w:rPr>
          <w:rFonts w:cs="Times New Roman"/>
        </w:rPr>
        <w:t>Ostvarivanje pozitivnog okruženja za privlačenje investicija.</w:t>
      </w:r>
    </w:p>
    <w:p w14:paraId="6D78663A" w14:textId="3958517F" w:rsidR="00CB4109" w:rsidRPr="006414E6" w:rsidRDefault="00CB4109" w:rsidP="003A2F37">
      <w:pPr>
        <w:pStyle w:val="ListParagraph"/>
        <w:numPr>
          <w:ilvl w:val="0"/>
          <w:numId w:val="29"/>
        </w:numPr>
        <w:rPr>
          <w:rFonts w:cs="Times New Roman"/>
        </w:rPr>
      </w:pPr>
      <w:r w:rsidRPr="006414E6">
        <w:rPr>
          <w:rFonts w:cs="Times New Roman"/>
        </w:rPr>
        <w:t xml:space="preserve">Provedba programa razvoja kružnog gospodarenja </w:t>
      </w:r>
      <w:r w:rsidRPr="006414E6">
        <w:rPr>
          <w:rFonts w:cs="Times New Roman"/>
        </w:rPr>
        <w:tab/>
        <w:t>prostorom i zgradama.</w:t>
      </w:r>
    </w:p>
    <w:p w14:paraId="2FA89AED" w14:textId="77777777" w:rsidR="00E35FB3" w:rsidRPr="006414E6" w:rsidRDefault="00E35FB3" w:rsidP="00E35FB3">
      <w:pPr>
        <w:rPr>
          <w:rFonts w:cs="Times New Roman"/>
          <w:u w:val="single"/>
        </w:rPr>
      </w:pPr>
      <w:r w:rsidRPr="006414E6">
        <w:rPr>
          <w:rFonts w:cs="Times New Roman"/>
          <w:u w:val="single"/>
        </w:rPr>
        <w:t>Do 2050. godine</w:t>
      </w:r>
    </w:p>
    <w:p w14:paraId="73E8A443" w14:textId="77777777" w:rsidR="00E35FB3" w:rsidRPr="006414E6" w:rsidRDefault="00E35FB3" w:rsidP="003A2F37">
      <w:pPr>
        <w:pStyle w:val="ListParagraph"/>
        <w:numPr>
          <w:ilvl w:val="0"/>
          <w:numId w:val="28"/>
        </w:numPr>
        <w:rPr>
          <w:rFonts w:cs="Times New Roman"/>
        </w:rPr>
      </w:pPr>
      <w:r w:rsidRPr="006414E6">
        <w:rPr>
          <w:rFonts w:cs="Times New Roman"/>
        </w:rPr>
        <w:t>Potpuno funkcioniranje cjelovitog sustava gospodarenja otpadom.</w:t>
      </w:r>
    </w:p>
    <w:p w14:paraId="3EF29D7E" w14:textId="77777777" w:rsidR="00E35FB3" w:rsidRPr="006414E6" w:rsidRDefault="00E35FB3" w:rsidP="003A2F37">
      <w:pPr>
        <w:pStyle w:val="ListParagraph"/>
        <w:numPr>
          <w:ilvl w:val="0"/>
          <w:numId w:val="28"/>
        </w:numPr>
        <w:rPr>
          <w:rFonts w:cs="Times New Roman"/>
        </w:rPr>
      </w:pPr>
      <w:r w:rsidRPr="006414E6">
        <w:rPr>
          <w:rFonts w:cs="Times New Roman"/>
        </w:rPr>
        <w:t>Razvoj novih tehnologija obrade otpada - ulaganje u istraživanje i razvoj.</w:t>
      </w:r>
    </w:p>
    <w:p w14:paraId="7C90CE0D" w14:textId="393BC40B" w:rsidR="00E35FB3" w:rsidRPr="006414E6" w:rsidRDefault="00E35FB3" w:rsidP="003A2F37">
      <w:pPr>
        <w:pStyle w:val="ListParagraph"/>
        <w:numPr>
          <w:ilvl w:val="0"/>
          <w:numId w:val="28"/>
        </w:numPr>
        <w:rPr>
          <w:rFonts w:cs="Times New Roman"/>
          <w:szCs w:val="24"/>
        </w:rPr>
      </w:pPr>
      <w:r w:rsidRPr="006414E6">
        <w:rPr>
          <w:rFonts w:cs="Times New Roman"/>
        </w:rPr>
        <w:t>Provedba programa za investiranje u troškovno-učinkovite mjere za obradu otpada, kojima se ostvaruje veće smanjenje emisija stakleničkih plinova.</w:t>
      </w:r>
    </w:p>
    <w:p w14:paraId="44DCAED1" w14:textId="1ED52DCA" w:rsidR="00CB4109" w:rsidRPr="006414E6" w:rsidRDefault="00CB4109" w:rsidP="003A2F37">
      <w:pPr>
        <w:pStyle w:val="ListParagraph"/>
        <w:numPr>
          <w:ilvl w:val="0"/>
          <w:numId w:val="28"/>
        </w:numPr>
        <w:rPr>
          <w:rFonts w:cs="Times New Roman"/>
          <w:szCs w:val="24"/>
        </w:rPr>
      </w:pPr>
      <w:r w:rsidRPr="006414E6">
        <w:rPr>
          <w:rFonts w:cs="Times New Roman"/>
          <w:szCs w:val="24"/>
        </w:rPr>
        <w:t>Potpuno funkcioniranje cjelovitog sustava kružnog gospodarenja prostorom i zgradama</w:t>
      </w:r>
      <w:r w:rsidR="00A235F6" w:rsidRPr="006414E6">
        <w:rPr>
          <w:rFonts w:cs="Times New Roman"/>
          <w:szCs w:val="24"/>
        </w:rPr>
        <w:t>.</w:t>
      </w:r>
    </w:p>
    <w:p w14:paraId="67923437" w14:textId="77777777" w:rsidR="009A170C" w:rsidRPr="006414E6" w:rsidRDefault="001241B9" w:rsidP="00EE3488">
      <w:pPr>
        <w:pStyle w:val="Heading2"/>
      </w:pPr>
      <w:bookmarkStart w:id="280" w:name="_Toc20841309"/>
      <w:bookmarkStart w:id="281" w:name="_Toc20841415"/>
      <w:bookmarkStart w:id="282" w:name="_Toc39133305"/>
      <w:r w:rsidRPr="006414E6">
        <w:lastRenderedPageBreak/>
        <w:t>6.</w:t>
      </w:r>
      <w:r w:rsidR="005536C1" w:rsidRPr="006414E6">
        <w:t>8</w:t>
      </w:r>
      <w:r w:rsidRPr="006414E6">
        <w:t>.</w:t>
      </w:r>
      <w:r w:rsidR="009A170C" w:rsidRPr="006414E6">
        <w:t xml:space="preserve"> </w:t>
      </w:r>
      <w:r w:rsidR="006359CA" w:rsidRPr="006414E6">
        <w:tab/>
      </w:r>
      <w:r w:rsidR="009A170C" w:rsidRPr="006414E6">
        <w:t>LULUCF</w:t>
      </w:r>
      <w:bookmarkEnd w:id="280"/>
      <w:bookmarkEnd w:id="281"/>
      <w:bookmarkEnd w:id="282"/>
    </w:p>
    <w:p w14:paraId="21D03491" w14:textId="77777777" w:rsidR="00132772" w:rsidRPr="006414E6" w:rsidRDefault="001241B9" w:rsidP="00EE3488">
      <w:pPr>
        <w:pStyle w:val="Heading3"/>
      </w:pPr>
      <w:bookmarkStart w:id="283" w:name="_Toc39133306"/>
      <w:r w:rsidRPr="006414E6">
        <w:t>6.</w:t>
      </w:r>
      <w:r w:rsidR="005536C1" w:rsidRPr="006414E6">
        <w:t>8</w:t>
      </w:r>
      <w:r w:rsidRPr="006414E6">
        <w:t>.</w:t>
      </w:r>
      <w:r w:rsidR="00132772" w:rsidRPr="006414E6">
        <w:t>1. Emisije</w:t>
      </w:r>
      <w:r w:rsidR="00701DF5" w:rsidRPr="006414E6">
        <w:t xml:space="preserve"> </w:t>
      </w:r>
      <w:r w:rsidR="00943D87" w:rsidRPr="006414E6">
        <w:t xml:space="preserve">ugljikova dioksida </w:t>
      </w:r>
      <w:r w:rsidR="00701DF5" w:rsidRPr="006414E6">
        <w:t>i odlivi</w:t>
      </w:r>
      <w:bookmarkEnd w:id="283"/>
    </w:p>
    <w:p w14:paraId="23B3DD99" w14:textId="77777777" w:rsidR="005469F8" w:rsidRPr="006414E6" w:rsidRDefault="005469F8" w:rsidP="005469F8">
      <w:pPr>
        <w:rPr>
          <w:rFonts w:cs="Times New Roman"/>
        </w:rPr>
      </w:pPr>
      <w:r w:rsidRPr="006414E6">
        <w:rPr>
          <w:rFonts w:cs="Times New Roman"/>
        </w:rPr>
        <w:t xml:space="preserve">Sektor Korištenja zemljišta, prenamjene zemljišta i šumarstva (LULUCF) jedini je sektor u kojem se pojavljuju odlivi (uklanjanje) ugljikova dioksida iz atmosfere, ali i emisije stakleničkih plinova. LULUCF sektor na međunarodnoj razini reguliran je od strane </w:t>
      </w:r>
      <w:proofErr w:type="spellStart"/>
      <w:r w:rsidRPr="006414E6">
        <w:rPr>
          <w:rFonts w:cs="Times New Roman"/>
        </w:rPr>
        <w:t>UNFCCC</w:t>
      </w:r>
      <w:proofErr w:type="spellEnd"/>
      <w:r w:rsidRPr="006414E6">
        <w:rPr>
          <w:rFonts w:cs="Times New Roman"/>
        </w:rPr>
        <w:t xml:space="preserve">-a, </w:t>
      </w:r>
      <w:proofErr w:type="spellStart"/>
      <w:r w:rsidRPr="006414E6">
        <w:rPr>
          <w:rFonts w:cs="Times New Roman"/>
        </w:rPr>
        <w:t>Kyotskim</w:t>
      </w:r>
      <w:proofErr w:type="spellEnd"/>
      <w:r w:rsidRPr="006414E6">
        <w:rPr>
          <w:rFonts w:cs="Times New Roman"/>
        </w:rPr>
        <w:t xml:space="preserve"> protokolom (do 2020.), Pariškim sporazumom te politikama EU. U sklopu međunarodnih pregovora o smanjenju emisija stakleničkih plinova LULUCF sektor je uvijek bio zasebno tretiran s obzirom na činjenicu da se jedino u njemu pojavljuju odlivi kao rezultat antropogenog djelovanja i prirodnih procesa.</w:t>
      </w:r>
    </w:p>
    <w:p w14:paraId="7939313C" w14:textId="77777777" w:rsidR="005469F8" w:rsidRPr="006414E6" w:rsidRDefault="005469F8" w:rsidP="005469F8">
      <w:pPr>
        <w:rPr>
          <w:rFonts w:cs="Times New Roman"/>
        </w:rPr>
      </w:pPr>
      <w:bookmarkStart w:id="284" w:name="_Hlk36802488"/>
      <w:r w:rsidRPr="006414E6">
        <w:rPr>
          <w:rFonts w:cs="Times New Roman"/>
        </w:rPr>
        <w:t xml:space="preserve">Na razini sektora, LULUCF sektor u Republici Hrvatskoj je sektor odliva. LULUCF kategorije </w:t>
      </w:r>
      <w:r w:rsidRPr="006414E6">
        <w:rPr>
          <w:rFonts w:cs="Times New Roman"/>
          <w:i/>
        </w:rPr>
        <w:t>Šumskog zemljišta</w:t>
      </w:r>
      <w:r w:rsidRPr="006414E6">
        <w:rPr>
          <w:rFonts w:cs="Times New Roman"/>
        </w:rPr>
        <w:t xml:space="preserve"> i </w:t>
      </w:r>
      <w:r w:rsidRPr="006414E6">
        <w:rPr>
          <w:rFonts w:cs="Times New Roman"/>
          <w:i/>
        </w:rPr>
        <w:t>Travnjaka</w:t>
      </w:r>
      <w:r w:rsidRPr="006414E6">
        <w:rPr>
          <w:rFonts w:cs="Times New Roman"/>
        </w:rPr>
        <w:t xml:space="preserve"> su kategorije u kojima je konačni rezultat izračuna emisija/odliva za sva </w:t>
      </w:r>
      <w:proofErr w:type="spellStart"/>
      <w:r w:rsidRPr="006414E6">
        <w:rPr>
          <w:rFonts w:cs="Times New Roman"/>
        </w:rPr>
        <w:t>pohraništima</w:t>
      </w:r>
      <w:proofErr w:type="spellEnd"/>
      <w:r w:rsidRPr="006414E6">
        <w:rPr>
          <w:rFonts w:cs="Times New Roman"/>
        </w:rPr>
        <w:t xml:space="preserve"> zajedno odliv (uklanjanje) stakleničkih plinova. U kategorijama </w:t>
      </w:r>
      <w:r w:rsidRPr="006414E6">
        <w:rPr>
          <w:rFonts w:cs="Times New Roman"/>
          <w:i/>
        </w:rPr>
        <w:t>Usjeva/Nasada</w:t>
      </w:r>
      <w:r w:rsidRPr="006414E6">
        <w:rPr>
          <w:rFonts w:cs="Times New Roman"/>
        </w:rPr>
        <w:t xml:space="preserve">, </w:t>
      </w:r>
      <w:r w:rsidRPr="006414E6">
        <w:rPr>
          <w:rFonts w:cs="Times New Roman"/>
          <w:i/>
        </w:rPr>
        <w:t>Naseljenih područja</w:t>
      </w:r>
      <w:r w:rsidRPr="006414E6">
        <w:rPr>
          <w:rFonts w:cs="Times New Roman"/>
        </w:rPr>
        <w:t xml:space="preserve"> i </w:t>
      </w:r>
      <w:r w:rsidRPr="006414E6">
        <w:rPr>
          <w:rFonts w:cs="Times New Roman"/>
          <w:i/>
        </w:rPr>
        <w:t>Močvarnog zemljišta</w:t>
      </w:r>
      <w:r w:rsidRPr="006414E6">
        <w:rPr>
          <w:rFonts w:cs="Times New Roman"/>
        </w:rPr>
        <w:t xml:space="preserve"> konačni izračun za pojedinu kategoriju su emisije. U kategoriji </w:t>
      </w:r>
      <w:r w:rsidRPr="006414E6">
        <w:rPr>
          <w:rFonts w:cs="Times New Roman"/>
          <w:i/>
        </w:rPr>
        <w:t>Ostalog zemljišta</w:t>
      </w:r>
      <w:r w:rsidRPr="006414E6">
        <w:rPr>
          <w:rFonts w:cs="Times New Roman"/>
        </w:rPr>
        <w:t xml:space="preserve"> ne provodi se izračun emisija/odliva. U </w:t>
      </w:r>
      <w:r w:rsidR="007C5671" w:rsidRPr="006414E6">
        <w:rPr>
          <w:rFonts w:cs="Times New Roman"/>
        </w:rPr>
        <w:t xml:space="preserve">razdoblju od 1990. do 2018. godine </w:t>
      </w:r>
      <w:r w:rsidRPr="006414E6">
        <w:rPr>
          <w:rFonts w:cs="Times New Roman"/>
        </w:rPr>
        <w:t>odlivi su bili (prema apsolutnoj vrijednosti) najniži u 2017. godini (-</w:t>
      </w:r>
      <w:r w:rsidR="007C5671" w:rsidRPr="006414E6">
        <w:rPr>
          <w:rFonts w:cs="Times New Roman"/>
        </w:rPr>
        <w:t>4728</w:t>
      </w:r>
      <w:r w:rsidRPr="006414E6">
        <w:rPr>
          <w:rFonts w:cs="Times New Roman"/>
        </w:rPr>
        <w:t>.</w:t>
      </w:r>
      <w:r w:rsidR="007C5671" w:rsidRPr="006414E6">
        <w:rPr>
          <w:rFonts w:cs="Times New Roman"/>
        </w:rPr>
        <w:t xml:space="preserve">71 </w:t>
      </w:r>
      <w:proofErr w:type="spellStart"/>
      <w:r w:rsidR="007C5671" w:rsidRPr="006414E6">
        <w:rPr>
          <w:rFonts w:cs="Times New Roman"/>
        </w:rPr>
        <w:t>kt</w:t>
      </w:r>
      <w:proofErr w:type="spellEnd"/>
      <w:r w:rsidR="007C5671" w:rsidRPr="006414E6">
        <w:rPr>
          <w:rFonts w:cs="Times New Roman"/>
        </w:rPr>
        <w:t xml:space="preserve"> </w:t>
      </w:r>
      <w:r w:rsidRPr="006414E6">
        <w:rPr>
          <w:rFonts w:cs="Times New Roman"/>
        </w:rPr>
        <w:t>CO</w:t>
      </w:r>
      <w:r w:rsidRPr="006414E6">
        <w:rPr>
          <w:rFonts w:cs="Times New Roman"/>
          <w:vertAlign w:val="subscript"/>
        </w:rPr>
        <w:t>2</w:t>
      </w:r>
      <w:r w:rsidRPr="006414E6">
        <w:rPr>
          <w:rFonts w:cs="Times New Roman"/>
        </w:rPr>
        <w:t>), te najviši u 1995</w:t>
      </w:r>
      <w:r w:rsidR="007C5671" w:rsidRPr="006414E6">
        <w:rPr>
          <w:rFonts w:cs="Times New Roman"/>
        </w:rPr>
        <w:t>.</w:t>
      </w:r>
      <w:r w:rsidRPr="006414E6">
        <w:rPr>
          <w:rFonts w:cs="Times New Roman"/>
        </w:rPr>
        <w:t xml:space="preserve"> godini (-</w:t>
      </w:r>
      <w:r w:rsidR="007C5671" w:rsidRPr="006414E6">
        <w:rPr>
          <w:rFonts w:cs="Times New Roman"/>
        </w:rPr>
        <w:t xml:space="preserve">8954.6 </w:t>
      </w:r>
      <w:proofErr w:type="spellStart"/>
      <w:r w:rsidR="007C5671" w:rsidRPr="006414E6">
        <w:rPr>
          <w:rFonts w:cs="Times New Roman"/>
        </w:rPr>
        <w:t>kt</w:t>
      </w:r>
      <w:proofErr w:type="spellEnd"/>
      <w:r w:rsidR="007C5671" w:rsidRPr="006414E6">
        <w:rPr>
          <w:rFonts w:cs="Times New Roman"/>
        </w:rPr>
        <w:t xml:space="preserve"> </w:t>
      </w:r>
      <w:r w:rsidRPr="006414E6">
        <w:rPr>
          <w:rFonts w:cs="Times New Roman"/>
        </w:rPr>
        <w:t>CO</w:t>
      </w:r>
      <w:r w:rsidRPr="006414E6">
        <w:rPr>
          <w:rFonts w:cs="Times New Roman"/>
          <w:vertAlign w:val="subscript"/>
        </w:rPr>
        <w:t>2</w:t>
      </w:r>
      <w:r w:rsidRPr="006414E6">
        <w:rPr>
          <w:rFonts w:cs="Times New Roman"/>
        </w:rPr>
        <w:t xml:space="preserve">). </w:t>
      </w:r>
    </w:p>
    <w:bookmarkEnd w:id="284"/>
    <w:p w14:paraId="2222C502" w14:textId="3F866257" w:rsidR="005469F8" w:rsidRPr="006414E6" w:rsidRDefault="005469F8" w:rsidP="005469F8">
      <w:pPr>
        <w:rPr>
          <w:rFonts w:cs="Times New Roman"/>
        </w:rPr>
      </w:pPr>
      <w:r w:rsidRPr="006414E6">
        <w:rPr>
          <w:rFonts w:cs="Times New Roman"/>
        </w:rPr>
        <w:t xml:space="preserve">U LULUCF sektoru zabilježen je trend smanjenja odliva. Najveći razlog za isto je izostanak provedbe propisanih praksi gospodarenja šumama na svim površinama šuma u vrijeme Domovinskog rata i tijekom poratnog razdoblja. Rat i posljedice rata uzrokovali su poremećaj strukture šumskih sastojina te doveli do smanjenja prirasta u šumama radi izostanka pravovremene provedbe propisanih uzgojnih zahvata (izostanak sječa). Radovi predviđeni Šumskogospodarskom osnovom </w:t>
      </w:r>
      <w:r w:rsidRPr="006414E6">
        <w:rPr>
          <w:rFonts w:cs="Times New Roman"/>
          <w:szCs w:val="24"/>
        </w:rPr>
        <w:t xml:space="preserve">područja </w:t>
      </w:r>
      <w:r w:rsidR="00CC1EAB" w:rsidRPr="006414E6">
        <w:rPr>
          <w:rFonts w:eastAsia="Times New Roman" w:cs="Times New Roman"/>
          <w:szCs w:val="24"/>
          <w:lang w:eastAsia="hr-HR"/>
        </w:rPr>
        <w:t>Republike Hrvatske</w:t>
      </w:r>
      <w:r w:rsidR="00CC1EAB" w:rsidRPr="006414E6" w:rsidDel="00CC1EAB">
        <w:rPr>
          <w:rFonts w:cs="Times New Roman"/>
          <w:szCs w:val="24"/>
        </w:rPr>
        <w:t xml:space="preserve"> </w:t>
      </w:r>
      <w:r w:rsidRPr="006414E6">
        <w:rPr>
          <w:rFonts w:cs="Times New Roman"/>
          <w:szCs w:val="24"/>
        </w:rPr>
        <w:t>za period</w:t>
      </w:r>
      <w:r w:rsidRPr="006414E6">
        <w:rPr>
          <w:rFonts w:cs="Times New Roman"/>
        </w:rPr>
        <w:t xml:space="preserve"> 2016.-2025. trebaju dovesti do uspostavljanja odgovarajuće strukture sastojina za što je nužno provesti sve radove koji nisu pravovremeno provedeni u sastojinama koje su bile na ratom zahvaćenim područjima kao i na površinama koje su bile pod utjecajem poslijeratnih događanja (npr</w:t>
      </w:r>
      <w:r w:rsidR="00CC1EAB" w:rsidRPr="006414E6">
        <w:rPr>
          <w:rFonts w:cs="Times New Roman"/>
        </w:rPr>
        <w:t>.</w:t>
      </w:r>
      <w:r w:rsidRPr="006414E6">
        <w:rPr>
          <w:rFonts w:cs="Times New Roman"/>
        </w:rPr>
        <w:t xml:space="preserve"> minirane i minski sumnjive šumske površine).  </w:t>
      </w:r>
    </w:p>
    <w:p w14:paraId="5206B87E" w14:textId="20817298" w:rsidR="00132772" w:rsidRPr="006414E6" w:rsidRDefault="005536C1" w:rsidP="00EE3488">
      <w:pPr>
        <w:pStyle w:val="Heading3"/>
      </w:pPr>
      <w:bookmarkStart w:id="285" w:name="_Toc39133307"/>
      <w:r w:rsidRPr="006414E6">
        <w:t>6.8</w:t>
      </w:r>
      <w:r w:rsidR="001241B9" w:rsidRPr="006414E6">
        <w:t>.</w:t>
      </w:r>
      <w:r w:rsidR="00132772" w:rsidRPr="006414E6">
        <w:t xml:space="preserve">2. Politike i mjere za </w:t>
      </w:r>
      <w:proofErr w:type="spellStart"/>
      <w:r w:rsidR="00132772" w:rsidRPr="006414E6">
        <w:t>niskougljični</w:t>
      </w:r>
      <w:proofErr w:type="spellEnd"/>
      <w:r w:rsidR="00132772" w:rsidRPr="006414E6">
        <w:t xml:space="preserve"> razvoj</w:t>
      </w:r>
      <w:bookmarkEnd w:id="285"/>
    </w:p>
    <w:p w14:paraId="4F720C61" w14:textId="77777777" w:rsidR="005469F8" w:rsidRPr="006414E6" w:rsidRDefault="005469F8" w:rsidP="0073053F">
      <w:pPr>
        <w:spacing w:line="240" w:lineRule="auto"/>
        <w:rPr>
          <w:rFonts w:cs="Times New Roman"/>
          <w:bCs/>
        </w:rPr>
      </w:pPr>
      <w:r w:rsidRPr="006414E6">
        <w:rPr>
          <w:rFonts w:cs="Times New Roman"/>
          <w:bCs/>
        </w:rPr>
        <w:t>Za potrebe postizanja cilja o smanjenju emisija stakleničkih plinova za 20% do 2020. godine u odnosu na emisije iz 1990. godine, Europska unije nije uzimala u obzir odlive/emisije iz LULUCF sektora.</w:t>
      </w:r>
    </w:p>
    <w:p w14:paraId="0F1311CC" w14:textId="77777777" w:rsidR="005469F8" w:rsidRPr="006414E6" w:rsidRDefault="005469F8" w:rsidP="0073053F">
      <w:pPr>
        <w:spacing w:line="240" w:lineRule="auto"/>
        <w:rPr>
          <w:rFonts w:cs="Times New Roman"/>
          <w:bCs/>
        </w:rPr>
      </w:pPr>
      <w:r w:rsidRPr="006414E6">
        <w:rPr>
          <w:rFonts w:cs="Times New Roman"/>
          <w:bCs/>
        </w:rPr>
        <w:t xml:space="preserve">Odlukom 529/2013/EU postavljena su pravila za obračunavanje emisijskih i jedinica odliva iz LULUCF sektora kao prvi korak za uključivanje ovih jedinica u postizanje dugoročnih ciljeva EU o smanjenju emisija stakleničkih plinova. </w:t>
      </w:r>
    </w:p>
    <w:p w14:paraId="023C4C86" w14:textId="77777777" w:rsidR="005469F8" w:rsidRPr="006414E6" w:rsidRDefault="005469F8" w:rsidP="0073053F">
      <w:pPr>
        <w:spacing w:line="240" w:lineRule="auto"/>
        <w:rPr>
          <w:rFonts w:cs="Times New Roman"/>
        </w:rPr>
      </w:pPr>
      <w:r w:rsidRPr="006414E6">
        <w:rPr>
          <w:rFonts w:cs="Times New Roman"/>
          <w:bCs/>
        </w:rPr>
        <w:t>Prepoznajući ograničeni potencijal LULUCF sektora za doprinos ublažavanju klimatskih promjena, Uredbom se razrađuje i mehanizam fleksibilnosti (trgovanja jedinicama odliva) kako bi se Državama-članicama olakšalo ispunjavanje njihove obaveze o održavanju ukupnih odliva većima od ukupnih emisija za zadane obračunske kategorije zemljišta u periodu do 2030. godine.</w:t>
      </w:r>
      <w:r w:rsidRPr="006414E6">
        <w:rPr>
          <w:rFonts w:cs="Times New Roman"/>
        </w:rPr>
        <w:t xml:space="preserve"> </w:t>
      </w:r>
    </w:p>
    <w:p w14:paraId="4F6989D3" w14:textId="77777777" w:rsidR="005469F8" w:rsidRPr="006414E6" w:rsidRDefault="005469F8" w:rsidP="0073053F">
      <w:pPr>
        <w:spacing w:line="240" w:lineRule="auto"/>
        <w:rPr>
          <w:rFonts w:cs="Times New Roman"/>
          <w:bCs/>
        </w:rPr>
      </w:pPr>
      <w:r w:rsidRPr="006414E6">
        <w:rPr>
          <w:rFonts w:cs="Times New Roman"/>
          <w:bCs/>
        </w:rPr>
        <w:t xml:space="preserve">Uredbom 2018/841/EU je zadržan osnovni princip  tzv. "no </w:t>
      </w:r>
      <w:proofErr w:type="spellStart"/>
      <w:r w:rsidRPr="006414E6">
        <w:rPr>
          <w:rFonts w:cs="Times New Roman"/>
          <w:bCs/>
        </w:rPr>
        <w:t>debit</w:t>
      </w:r>
      <w:proofErr w:type="spellEnd"/>
      <w:r w:rsidRPr="006414E6">
        <w:rPr>
          <w:rFonts w:cs="Times New Roman"/>
          <w:bCs/>
        </w:rPr>
        <w:t xml:space="preserve"> </w:t>
      </w:r>
      <w:proofErr w:type="spellStart"/>
      <w:r w:rsidRPr="006414E6">
        <w:rPr>
          <w:rFonts w:cs="Times New Roman"/>
          <w:bCs/>
        </w:rPr>
        <w:t>rule</w:t>
      </w:r>
      <w:proofErr w:type="spellEnd"/>
      <w:r w:rsidRPr="006414E6">
        <w:rPr>
          <w:rFonts w:cs="Times New Roman"/>
          <w:bCs/>
        </w:rPr>
        <w:t xml:space="preserve">" koji ima za cilj osigurati ne povećavanje emisija u sektoru LULUCF. </w:t>
      </w:r>
    </w:p>
    <w:p w14:paraId="0D38D20C" w14:textId="77777777" w:rsidR="005469F8" w:rsidRPr="006414E6" w:rsidRDefault="005469F8" w:rsidP="0073053F">
      <w:pPr>
        <w:spacing w:line="240" w:lineRule="auto"/>
        <w:rPr>
          <w:rFonts w:cs="Times New Roman"/>
          <w:bCs/>
        </w:rPr>
      </w:pPr>
      <w:r w:rsidRPr="006414E6">
        <w:rPr>
          <w:rFonts w:cs="Times New Roman"/>
          <w:bCs/>
        </w:rPr>
        <w:t>U sektoru se primjenjuju dva načina obračuna emisijskih jedinica/jedinica odliva:</w:t>
      </w:r>
    </w:p>
    <w:p w14:paraId="18878D34" w14:textId="77777777" w:rsidR="005469F8" w:rsidRPr="006414E6" w:rsidRDefault="005469F8" w:rsidP="0073053F">
      <w:pPr>
        <w:numPr>
          <w:ilvl w:val="0"/>
          <w:numId w:val="32"/>
        </w:numPr>
        <w:spacing w:line="240" w:lineRule="auto"/>
        <w:rPr>
          <w:rFonts w:cs="Times New Roman"/>
          <w:bCs/>
        </w:rPr>
      </w:pPr>
      <w:r w:rsidRPr="006414E6">
        <w:rPr>
          <w:rFonts w:cs="Times New Roman"/>
          <w:bCs/>
        </w:rPr>
        <w:t>Bruto-neto obračunavanje kada se cijeli iznos emisija i odliva u utvrđenom periodu (2021.-2025., 2026.-2030.) uzima u obzir i ne uspoređuje s drugom, zadanom vrijednošću. Ovakva vrsta obračuna primjenjuje se u slučaju emisija/odliva pošumljenog i iskrčenog šumskog zemljišta.</w:t>
      </w:r>
    </w:p>
    <w:p w14:paraId="2340B5F2" w14:textId="7D6DEE9A" w:rsidR="005469F8" w:rsidRPr="006414E6" w:rsidRDefault="005469F8" w:rsidP="0073053F">
      <w:pPr>
        <w:numPr>
          <w:ilvl w:val="0"/>
          <w:numId w:val="32"/>
        </w:numPr>
        <w:spacing w:line="240" w:lineRule="auto"/>
        <w:rPr>
          <w:rFonts w:cs="Times New Roman"/>
          <w:bCs/>
        </w:rPr>
      </w:pPr>
      <w:r w:rsidRPr="006414E6">
        <w:rPr>
          <w:rFonts w:cs="Times New Roman"/>
          <w:bCs/>
        </w:rPr>
        <w:t xml:space="preserve">Neto-neto obračunavanje kada se emisije/odlivi u definiranom periodu uspoređuju s nekom utvrđenom vrijednošću (npr. iz bazne godine). Ovakva vrsta obračuna primjenjuje se u slučaju </w:t>
      </w:r>
      <w:r w:rsidRPr="006414E6">
        <w:rPr>
          <w:rFonts w:cs="Times New Roman"/>
          <w:bCs/>
        </w:rPr>
        <w:lastRenderedPageBreak/>
        <w:t xml:space="preserve">emisija/odliva na gospodarenom šumskom zemljištu (koristi se referentna razina za šume, FRL), gospodarenim pašnjacima i gospodarenom poljoprivrednom zemljištu. Uredba 2018/841/EU u određivanju referentne vrijednosti za šume uvažava činjenicu da </w:t>
      </w:r>
      <w:r w:rsidRPr="006414E6">
        <w:rPr>
          <w:rFonts w:cs="Times New Roman"/>
          <w:bCs/>
          <w:szCs w:val="24"/>
        </w:rPr>
        <w:t xml:space="preserve">je </w:t>
      </w:r>
      <w:r w:rsidR="00CC1EAB" w:rsidRPr="006414E6">
        <w:rPr>
          <w:rFonts w:eastAsia="Times New Roman" w:cs="Times New Roman"/>
          <w:szCs w:val="24"/>
          <w:lang w:eastAsia="hr-HR"/>
        </w:rPr>
        <w:t>Republika Hrvatska</w:t>
      </w:r>
      <w:r w:rsidRPr="006414E6">
        <w:rPr>
          <w:rFonts w:cs="Times New Roman"/>
          <w:bCs/>
          <w:szCs w:val="24"/>
        </w:rPr>
        <w:t xml:space="preserve"> ne</w:t>
      </w:r>
      <w:r w:rsidRPr="006414E6">
        <w:rPr>
          <w:rFonts w:cs="Times New Roman"/>
          <w:bCs/>
        </w:rPr>
        <w:t xml:space="preserve"> tako davno bila pod vojnom okupacijom te da je rat imao negativan utjecaj na gospodarenje šumama u Republici Hrvatskoj. Za prvo razdoblje propisano Uredbom (od 2021. do 2025. godine) trenutno predložena vrijednost FRL za </w:t>
      </w:r>
      <w:r w:rsidR="00CC1EAB" w:rsidRPr="006414E6">
        <w:rPr>
          <w:rFonts w:eastAsia="Times New Roman" w:cs="Times New Roman"/>
          <w:szCs w:val="24"/>
          <w:lang w:eastAsia="hr-HR"/>
        </w:rPr>
        <w:t>Republiku Hrvatsku</w:t>
      </w:r>
      <w:r w:rsidR="00CC1EAB" w:rsidRPr="006414E6">
        <w:rPr>
          <w:rFonts w:cs="Times New Roman"/>
          <w:bCs/>
          <w:szCs w:val="24"/>
        </w:rPr>
        <w:t xml:space="preserve"> </w:t>
      </w:r>
      <w:r w:rsidRPr="006414E6">
        <w:rPr>
          <w:rFonts w:cs="Times New Roman"/>
          <w:bCs/>
        </w:rPr>
        <w:t xml:space="preserve"> iznosi 4,553 Mt CO2e. Ovdje su uključena uklanjanjima i iz kategorije drvnih proizvoda, dok je vrijednost bez istih 4,091 Mt CO2e. </w:t>
      </w:r>
    </w:p>
    <w:p w14:paraId="40ED0FC2" w14:textId="77777777" w:rsidR="005469F8" w:rsidRPr="006414E6" w:rsidRDefault="005469F8" w:rsidP="0073053F">
      <w:pPr>
        <w:spacing w:line="240" w:lineRule="auto"/>
        <w:rPr>
          <w:rFonts w:cs="Times New Roman"/>
          <w:bCs/>
        </w:rPr>
      </w:pPr>
      <w:r w:rsidRPr="006414E6">
        <w:rPr>
          <w:rFonts w:cs="Times New Roman"/>
          <w:bCs/>
        </w:rPr>
        <w:t xml:space="preserve">Sukladno nacionalnim projekcijama emisija i uklanjanja stakleničkih plinova, očekuje se da će se u LULUCF sektoru odlivi i dalje smanjivati, tako da bi uklanjanje ugljikova dioksida u 2030. godini moglo biti oko 2,5 Mt CO2e/god. U 2050. godini, uz pretpostavku danas utvrđene politike, očekuje se daljnja smanjenja odliva. Navedeno se odnosi na realni odliv što nije jednako obračunskom odlivu prema Uredbi 2018/841 EU. Mjere u okviru ove strategije trebaju pomoći da se obračunske jedinice odliva održe kroz razdoblje do 2030. godine, te da sektor LULUCF ne postane izvor emisije.  </w:t>
      </w:r>
    </w:p>
    <w:p w14:paraId="5EC0D86D" w14:textId="77777777" w:rsidR="005469F8" w:rsidRPr="006414E6" w:rsidRDefault="005469F8" w:rsidP="0073053F">
      <w:pPr>
        <w:spacing w:line="240" w:lineRule="auto"/>
        <w:rPr>
          <w:rFonts w:cs="Times New Roman"/>
          <w:bCs/>
        </w:rPr>
      </w:pPr>
      <w:r w:rsidRPr="006414E6">
        <w:rPr>
          <w:rFonts w:cs="Times New Roman"/>
          <w:bCs/>
        </w:rPr>
        <w:t xml:space="preserve">Uzimajući u obzir obaveze u LULUCF sektoru definirane prema EU propisima, </w:t>
      </w:r>
      <w:r w:rsidRPr="006414E6">
        <w:rPr>
          <w:rFonts w:cs="Times New Roman"/>
          <w:b/>
          <w:bCs/>
        </w:rPr>
        <w:t>kontinuiran rad na unaprjeđenju izračuna emisija/odliva u ovom sektoru</w:t>
      </w:r>
      <w:r w:rsidRPr="006414E6">
        <w:rPr>
          <w:rFonts w:cs="Times New Roman"/>
          <w:bCs/>
        </w:rPr>
        <w:t>, te provedba analize svih LULUCF kategorija zemljišta radi prepoznavanja njihova potencijala za smanjenje emisija i povećanje odliva za svaku od kategorija zemljišta je nužnost kako bi se mehanizmi fleksibilnosti mogli koristiti na najbolji mogući način za Republiku Hrvatsku (mogućnost prijenosa (prodaja) drugim državama članicama viška jedinica odliva ili prijenos viška jedinica za period 2026-2030. godina).</w:t>
      </w:r>
    </w:p>
    <w:p w14:paraId="3B6D0D7E" w14:textId="77777777" w:rsidR="005469F8" w:rsidRPr="006414E6" w:rsidRDefault="005469F8" w:rsidP="0073053F">
      <w:pPr>
        <w:spacing w:line="240" w:lineRule="auto"/>
        <w:rPr>
          <w:rFonts w:cs="Times New Roman"/>
          <w:bCs/>
        </w:rPr>
      </w:pPr>
      <w:r w:rsidRPr="006414E6">
        <w:rPr>
          <w:rFonts w:cs="Times New Roman"/>
          <w:bCs/>
        </w:rPr>
        <w:t xml:space="preserve">LULUCF sektor obuhvaća ukupnu kopnenu površinu države, a nadležnosti nad pojedinim kategorijama zemljišta u ovom sektoru raspodijeljene su između više različitih institucija RH. Posljedično, za učinkovito planiranje mjera kojima će se osigurati smanjenje emisija, povećanje odliva i ispunjavanje obaveza definiranih Uredbom 2018/841 u periodu do 2030. odnosno 2050. godine potrebno je izraditi </w:t>
      </w:r>
      <w:r w:rsidRPr="006414E6">
        <w:rPr>
          <w:rFonts w:cs="Times New Roman"/>
          <w:b/>
          <w:bCs/>
        </w:rPr>
        <w:t>Strategiju upravljanja zemljištem Republike Hrvatske</w:t>
      </w:r>
      <w:r w:rsidRPr="006414E6">
        <w:rPr>
          <w:rFonts w:cs="Times New Roman"/>
          <w:bCs/>
        </w:rPr>
        <w:t xml:space="preserve">. </w:t>
      </w:r>
    </w:p>
    <w:p w14:paraId="073E5863" w14:textId="77777777" w:rsidR="005469F8" w:rsidRPr="006414E6" w:rsidRDefault="005469F8" w:rsidP="0073053F">
      <w:pPr>
        <w:spacing w:line="240" w:lineRule="auto"/>
        <w:rPr>
          <w:rFonts w:cs="Times New Roman"/>
        </w:rPr>
      </w:pPr>
      <w:r w:rsidRPr="006414E6">
        <w:rPr>
          <w:rFonts w:cs="Times New Roman"/>
        </w:rPr>
        <w:t xml:space="preserve">Definiranja mjera za povećanje odliva i smanjenje emisija prilikom izrade Strategije upravljanja zemljištem Republike Hrvatske treba uskladiti sa različitim zahtjevima (proizvodnja hrane, energija biomase, očuvanje biološke raznolikosti, drvni proizvodi), pri čemu ovo pitanje postaje osobito važno kod povećanja ambicije </w:t>
      </w:r>
      <w:proofErr w:type="spellStart"/>
      <w:r w:rsidRPr="006414E6">
        <w:rPr>
          <w:rFonts w:cs="Times New Roman"/>
        </w:rPr>
        <w:t>niskougljične</w:t>
      </w:r>
      <w:proofErr w:type="spellEnd"/>
      <w:r w:rsidRPr="006414E6">
        <w:rPr>
          <w:rFonts w:cs="Times New Roman"/>
        </w:rPr>
        <w:t xml:space="preserve"> strategije, prema nultoj neto emisiji u slijedećim iteracijama njezine izrade. </w:t>
      </w:r>
    </w:p>
    <w:p w14:paraId="693D1F46" w14:textId="77777777" w:rsidR="005469F8" w:rsidRPr="006414E6" w:rsidRDefault="005469F8" w:rsidP="0073053F">
      <w:pPr>
        <w:spacing w:line="240" w:lineRule="auto"/>
        <w:rPr>
          <w:rFonts w:cs="Times New Roman"/>
        </w:rPr>
      </w:pPr>
      <w:r w:rsidRPr="006414E6">
        <w:rPr>
          <w:rFonts w:cs="Times New Roman"/>
        </w:rPr>
        <w:t xml:space="preserve">Napominje se da planiranje mjera za smanjenje emisija i povećanja odliva uzimanjem u obzir samo emisija/odliva u jednom </w:t>
      </w:r>
      <w:proofErr w:type="spellStart"/>
      <w:r w:rsidRPr="006414E6">
        <w:rPr>
          <w:rFonts w:cs="Times New Roman"/>
        </w:rPr>
        <w:t>pohraništu</w:t>
      </w:r>
      <w:proofErr w:type="spellEnd"/>
      <w:r w:rsidRPr="006414E6">
        <w:rPr>
          <w:rFonts w:cs="Times New Roman"/>
        </w:rPr>
        <w:t xml:space="preserve"> (</w:t>
      </w:r>
      <w:proofErr w:type="spellStart"/>
      <w:r w:rsidRPr="006414E6">
        <w:rPr>
          <w:rFonts w:cs="Times New Roman"/>
        </w:rPr>
        <w:t>npr</w:t>
      </w:r>
      <w:proofErr w:type="spellEnd"/>
      <w:r w:rsidRPr="006414E6">
        <w:rPr>
          <w:rFonts w:cs="Times New Roman"/>
        </w:rPr>
        <w:t xml:space="preserve"> </w:t>
      </w:r>
      <w:proofErr w:type="spellStart"/>
      <w:r w:rsidRPr="006414E6">
        <w:rPr>
          <w:rFonts w:cs="Times New Roman"/>
        </w:rPr>
        <w:t>fitotvari</w:t>
      </w:r>
      <w:proofErr w:type="spellEnd"/>
      <w:r w:rsidRPr="006414E6">
        <w:rPr>
          <w:rFonts w:cs="Times New Roman"/>
        </w:rPr>
        <w:t xml:space="preserve"> (biomasi)) može imati krivi učinak i rezultirati povećanjem emisija. Recimo, prenamjena travnjaka npr. u šumsko zemljište (pošumljavanje) rezultira emisijama u slučaju </w:t>
      </w:r>
      <w:proofErr w:type="spellStart"/>
      <w:r w:rsidRPr="006414E6">
        <w:rPr>
          <w:rFonts w:cs="Times New Roman"/>
        </w:rPr>
        <w:t>pohraništa</w:t>
      </w:r>
      <w:proofErr w:type="spellEnd"/>
      <w:r w:rsidRPr="006414E6">
        <w:rPr>
          <w:rFonts w:cs="Times New Roman"/>
        </w:rPr>
        <w:t xml:space="preserve"> tla nakon prenamjene, s obzirom da je zaliha ugljika u ovoj kategoriji tla veća od zalihe ugljika u Šumskom zemljištu. </w:t>
      </w:r>
    </w:p>
    <w:p w14:paraId="4CFA081D" w14:textId="77777777" w:rsidR="005469F8" w:rsidRPr="006414E6" w:rsidRDefault="005469F8" w:rsidP="0073053F">
      <w:pPr>
        <w:spacing w:line="240" w:lineRule="auto"/>
        <w:rPr>
          <w:rFonts w:cs="Times New Roman"/>
        </w:rPr>
      </w:pPr>
      <w:r w:rsidRPr="006414E6">
        <w:rPr>
          <w:rFonts w:cs="Times New Roman"/>
        </w:rPr>
        <w:t xml:space="preserve">Na ispunjavanje obaveza iz Uredbe 2018/841 negativan utjecaj može imati uvođenje novih praksi gospodarenja u pojedinim LULUCF kategorijama zemljišta. U slučaju iznošenja drvnog ostatka koji nastaje nakon sječe i izrade u šumi za energetske svrhe, ustanovljeno je da ova praksa ima negativan utjecaj na ciklus kruženja ugljika u </w:t>
      </w:r>
      <w:proofErr w:type="spellStart"/>
      <w:r w:rsidRPr="006414E6">
        <w:rPr>
          <w:rFonts w:cs="Times New Roman"/>
        </w:rPr>
        <w:t>pohraništima</w:t>
      </w:r>
      <w:proofErr w:type="spellEnd"/>
      <w:r w:rsidRPr="006414E6">
        <w:rPr>
          <w:rFonts w:cs="Times New Roman"/>
        </w:rPr>
        <w:t xml:space="preserve"> u </w:t>
      </w:r>
      <w:r w:rsidRPr="006414E6">
        <w:rPr>
          <w:rFonts w:cs="Times New Roman"/>
          <w:i/>
        </w:rPr>
        <w:t>šumskom zemljištu</w:t>
      </w:r>
      <w:r w:rsidRPr="006414E6">
        <w:rPr>
          <w:rFonts w:cs="Times New Roman"/>
        </w:rPr>
        <w:t xml:space="preserve"> i dugoročno dovodi do smanjenja zalihe ugljika u </w:t>
      </w:r>
      <w:proofErr w:type="spellStart"/>
      <w:r w:rsidRPr="006414E6">
        <w:rPr>
          <w:rFonts w:cs="Times New Roman"/>
        </w:rPr>
        <w:t>pohraništima</w:t>
      </w:r>
      <w:proofErr w:type="spellEnd"/>
      <w:r w:rsidRPr="006414E6">
        <w:rPr>
          <w:rFonts w:cs="Times New Roman"/>
        </w:rPr>
        <w:t xml:space="preserve"> tla, </w:t>
      </w:r>
      <w:proofErr w:type="spellStart"/>
      <w:r w:rsidRPr="006414E6">
        <w:rPr>
          <w:rFonts w:cs="Times New Roman"/>
        </w:rPr>
        <w:t>listinca</w:t>
      </w:r>
      <w:proofErr w:type="spellEnd"/>
      <w:r w:rsidRPr="006414E6">
        <w:rPr>
          <w:rFonts w:cs="Times New Roman"/>
        </w:rPr>
        <w:t xml:space="preserve"> i mrtvog drva. </w:t>
      </w:r>
    </w:p>
    <w:p w14:paraId="00FB4426" w14:textId="0156EBA3" w:rsidR="005469F8" w:rsidRPr="006414E6" w:rsidRDefault="005469F8" w:rsidP="0073053F">
      <w:pPr>
        <w:spacing w:line="240" w:lineRule="auto"/>
        <w:rPr>
          <w:rFonts w:cs="Times New Roman"/>
        </w:rPr>
      </w:pPr>
      <w:r w:rsidRPr="006414E6">
        <w:rPr>
          <w:rFonts w:cs="Times New Roman"/>
        </w:rPr>
        <w:t xml:space="preserve">Detaljno poznavanje emisija/odliva do kojih dolazi u svakom </w:t>
      </w:r>
      <w:proofErr w:type="spellStart"/>
      <w:r w:rsidRPr="006414E6">
        <w:rPr>
          <w:rFonts w:cs="Times New Roman"/>
        </w:rPr>
        <w:t>pohraništu</w:t>
      </w:r>
      <w:proofErr w:type="spellEnd"/>
      <w:r w:rsidRPr="006414E6">
        <w:rPr>
          <w:rFonts w:cs="Times New Roman"/>
        </w:rPr>
        <w:t xml:space="preserve"> u svakoj kategoriji zemljišta je preduvjet dobrog planiranja mjera za smanjenje emisija i povećanje odliva koje trebaju biti prepoznate i činiti sastavni dio mjera Programa ruralnog </w:t>
      </w:r>
      <w:r w:rsidR="0021090A" w:rsidRPr="006414E6">
        <w:rPr>
          <w:rFonts w:cs="Times New Roman"/>
        </w:rPr>
        <w:t xml:space="preserve">razvoja Republike Hrvatske </w:t>
      </w:r>
      <w:r w:rsidRPr="006414E6">
        <w:rPr>
          <w:rFonts w:cs="Times New Roman"/>
        </w:rPr>
        <w:t>će biti financirane u nakon 2027. godine.</w:t>
      </w:r>
    </w:p>
    <w:p w14:paraId="30A2156A" w14:textId="7E9A6B62" w:rsidR="005469F8" w:rsidRPr="006414E6" w:rsidRDefault="005469F8" w:rsidP="0073053F">
      <w:pPr>
        <w:spacing w:line="240" w:lineRule="auto"/>
        <w:rPr>
          <w:rFonts w:cs="Times New Roman"/>
        </w:rPr>
      </w:pPr>
      <w:r w:rsidRPr="006414E6">
        <w:rPr>
          <w:rFonts w:cs="Times New Roman"/>
        </w:rPr>
        <w:t xml:space="preserve">Do izrade Strategije upravljanja zemljištem koja bi kao temeljno polazište daljnjeg upravljanja zemljištem (pokrov, uporaba zemljišta, načini gospodarenja na pojedinoj kategoriji zemljišta) uzimala </w:t>
      </w:r>
      <w:r w:rsidRPr="006414E6">
        <w:rPr>
          <w:rFonts w:cs="Times New Roman"/>
        </w:rPr>
        <w:lastRenderedPageBreak/>
        <w:t xml:space="preserve">emisije/odlive u pojedinoj LULUCF kategoriji zemljišta, u </w:t>
      </w:r>
      <w:r w:rsidR="00CC1EAB" w:rsidRPr="006414E6">
        <w:rPr>
          <w:rFonts w:eastAsia="Times New Roman" w:cs="Times New Roman"/>
          <w:szCs w:val="24"/>
          <w:lang w:eastAsia="hr-HR"/>
        </w:rPr>
        <w:t>Republici Hrvatskoj</w:t>
      </w:r>
      <w:r w:rsidR="00CC1EAB" w:rsidRPr="006414E6">
        <w:rPr>
          <w:rFonts w:cs="Times New Roman"/>
          <w:bCs/>
          <w:szCs w:val="24"/>
        </w:rPr>
        <w:t xml:space="preserve"> </w:t>
      </w:r>
      <w:r w:rsidRPr="006414E6">
        <w:rPr>
          <w:rFonts w:cs="Times New Roman"/>
        </w:rPr>
        <w:t>je potrebno provoditi prakse gospodarenja zemljištem koje su do sada rezultirale odlivima.</w:t>
      </w:r>
    </w:p>
    <w:p w14:paraId="396A3135" w14:textId="3E1C1CF8" w:rsidR="005469F8" w:rsidRPr="006414E6" w:rsidRDefault="005469F8" w:rsidP="0073053F">
      <w:pPr>
        <w:spacing w:line="240" w:lineRule="auto"/>
        <w:rPr>
          <w:rFonts w:cs="Times New Roman"/>
        </w:rPr>
      </w:pPr>
      <w:r w:rsidRPr="006414E6">
        <w:rPr>
          <w:rFonts w:cs="Times New Roman"/>
        </w:rPr>
        <w:t xml:space="preserve">Za šumsko zemljište to je nastavak tradicije </w:t>
      </w:r>
      <w:proofErr w:type="spellStart"/>
      <w:r w:rsidRPr="006414E6">
        <w:rPr>
          <w:rFonts w:cs="Times New Roman"/>
        </w:rPr>
        <w:t>potrajnog</w:t>
      </w:r>
      <w:proofErr w:type="spellEnd"/>
      <w:r w:rsidRPr="006414E6">
        <w:rPr>
          <w:rFonts w:cs="Times New Roman"/>
        </w:rPr>
        <w:t xml:space="preserve"> (održivog) gospodarenja šumama i šumskim zemljištima u skladu sa pravilima struke i zahtjevima domaćih i međunarodnih politika. Raspoloživo, neobraslo proizvodno šumsko zemljište potrebno je koristiti za podizanje novih šuma. Površinama obraslim šumama niskih uzgojnih oblika potrebno je upravljati na način da se poveća zaliha ugljika. Gospodarenje drvnim ostatcima nakon sječe i izrade u šumskim sastojinama potrebno je regulirati po provođenju znanstvenih istraživanja o utjecaju iznošenja drvnih ostataka na ciklus kruženja ugljika u šumama. Šumskim resursima potrebno je nastaviti gospodariti tako da se održe i poboljšaju njihove općekorisne funkcije (OKFŠ), zaštiti biološka raznolikost te podigne otpornost šuma na klimatske promjene. Potrebno je poticati korištenje drvnih proizvoda u tradicionalnim i novim proizvodima, te poduzimati aktivnosti osvješćivanja o važnosti drvnih proizvoda kao </w:t>
      </w:r>
      <w:proofErr w:type="spellStart"/>
      <w:r w:rsidRPr="006414E6">
        <w:rPr>
          <w:rFonts w:cs="Times New Roman"/>
        </w:rPr>
        <w:t>pohraništa</w:t>
      </w:r>
      <w:proofErr w:type="spellEnd"/>
      <w:r w:rsidRPr="006414E6">
        <w:rPr>
          <w:rFonts w:cs="Times New Roman"/>
        </w:rPr>
        <w:t xml:space="preserve"> ugljika, te značaj istih u smislu i dodatno izbjegnutih emisija kada se zbog uporabe ovih proizvoda izbjegnu emisije zbog proizvodnje npr</w:t>
      </w:r>
      <w:r w:rsidR="001F0C6D">
        <w:rPr>
          <w:rFonts w:cs="Times New Roman"/>
        </w:rPr>
        <w:t>.</w:t>
      </w:r>
      <w:r w:rsidRPr="006414E6">
        <w:rPr>
          <w:rFonts w:cs="Times New Roman"/>
        </w:rPr>
        <w:t xml:space="preserve"> plastičnih proizvoda.</w:t>
      </w:r>
    </w:p>
    <w:p w14:paraId="0FC993DA" w14:textId="77777777" w:rsidR="005469F8" w:rsidRPr="006414E6" w:rsidRDefault="005469F8" w:rsidP="0073053F">
      <w:pPr>
        <w:spacing w:line="240" w:lineRule="auto"/>
        <w:rPr>
          <w:rFonts w:cs="Times New Roman"/>
        </w:rPr>
      </w:pPr>
      <w:r w:rsidRPr="006414E6">
        <w:rPr>
          <w:rFonts w:cs="Times New Roman"/>
        </w:rPr>
        <w:t xml:space="preserve">U konkurentnom poslovanju biti će sve više </w:t>
      </w:r>
      <w:proofErr w:type="spellStart"/>
      <w:r w:rsidRPr="006414E6">
        <w:rPr>
          <w:rFonts w:cs="Times New Roman"/>
        </w:rPr>
        <w:t>agro</w:t>
      </w:r>
      <w:proofErr w:type="spellEnd"/>
      <w:r w:rsidRPr="006414E6">
        <w:rPr>
          <w:rFonts w:cs="Times New Roman"/>
        </w:rPr>
        <w:t xml:space="preserve">-šumarskih i šumarsko-okolišnih sustava gospodarenja, integralnih poslovnih i razvojnih projekata, s visokim stupnjem informacija o stanju šuma, inventaru, ugroženosti i projekcijama trendova. </w:t>
      </w:r>
    </w:p>
    <w:p w14:paraId="1D32A8B3" w14:textId="77777777" w:rsidR="005469F8" w:rsidRPr="006414E6" w:rsidRDefault="005469F8" w:rsidP="0073053F">
      <w:pPr>
        <w:spacing w:line="240" w:lineRule="auto"/>
        <w:rPr>
          <w:rFonts w:cs="Times New Roman"/>
        </w:rPr>
      </w:pPr>
      <w:r w:rsidRPr="006414E6">
        <w:rPr>
          <w:rFonts w:cs="Times New Roman"/>
        </w:rPr>
        <w:t xml:space="preserve">Potrebno je regulirati izvoz drvne sirovine; </w:t>
      </w:r>
      <w:proofErr w:type="spellStart"/>
      <w:r w:rsidRPr="006414E6">
        <w:rPr>
          <w:rFonts w:cs="Times New Roman"/>
        </w:rPr>
        <w:t>poluobrađenog</w:t>
      </w:r>
      <w:proofErr w:type="spellEnd"/>
      <w:r w:rsidRPr="006414E6">
        <w:rPr>
          <w:rFonts w:cs="Times New Roman"/>
        </w:rPr>
        <w:t xml:space="preserve"> drva u cilju poticanja finalizacija domaće drvne industrije te energetskog drva imajući u vidu da to nepovoljno utječe na bilancu korištenja obnovljivih izvora energije.</w:t>
      </w:r>
    </w:p>
    <w:p w14:paraId="01531ADC" w14:textId="4AED6F17" w:rsidR="005469F8" w:rsidRPr="006414E6" w:rsidRDefault="005469F8" w:rsidP="0073053F">
      <w:pPr>
        <w:spacing w:line="240" w:lineRule="auto"/>
        <w:rPr>
          <w:rFonts w:cs="Times New Roman"/>
        </w:rPr>
      </w:pPr>
      <w:r w:rsidRPr="006414E6">
        <w:rPr>
          <w:rFonts w:cs="Times New Roman"/>
        </w:rPr>
        <w:t xml:space="preserve">U razdoblju do 2030. i 2050. godine potrebno je osigurati financijska sredstva za tehničke projekte i znanstvena istraživanja povezana s LULUCF kategorijama zemljišta i emisijama/odlivima u ovom sektoru, te rezultate istraživanja koristiti za planiranje mjera i buduće politike klimatskih promjena u </w:t>
      </w:r>
      <w:r w:rsidR="00CC1EAB" w:rsidRPr="006414E6">
        <w:rPr>
          <w:rFonts w:eastAsia="Times New Roman" w:cs="Times New Roman"/>
          <w:szCs w:val="24"/>
          <w:lang w:eastAsia="hr-HR"/>
        </w:rPr>
        <w:t>Republici Hrvatskoj</w:t>
      </w:r>
      <w:r w:rsidRPr="006414E6">
        <w:rPr>
          <w:rFonts w:cs="Times New Roman"/>
        </w:rPr>
        <w:t xml:space="preserve"> u </w:t>
      </w:r>
      <w:r w:rsidR="00CC1EAB" w:rsidRPr="006414E6">
        <w:rPr>
          <w:rFonts w:cs="Times New Roman"/>
        </w:rPr>
        <w:t xml:space="preserve">razdoblju </w:t>
      </w:r>
      <w:r w:rsidRPr="006414E6">
        <w:rPr>
          <w:rFonts w:cs="Times New Roman"/>
        </w:rPr>
        <w:t xml:space="preserve">do 2030. i 2050. godine. </w:t>
      </w:r>
    </w:p>
    <w:p w14:paraId="0A2DDEC3" w14:textId="77777777" w:rsidR="005469F8" w:rsidRPr="006414E6" w:rsidRDefault="005469F8" w:rsidP="0073053F">
      <w:pPr>
        <w:spacing w:line="240" w:lineRule="auto"/>
        <w:rPr>
          <w:rFonts w:cs="Times New Roman"/>
        </w:rPr>
      </w:pPr>
      <w:r w:rsidRPr="006414E6">
        <w:rPr>
          <w:rFonts w:cs="Times New Roman"/>
        </w:rPr>
        <w:t xml:space="preserve">Smjernice budućeg razvoja LULUCF sektora definirane strategijom </w:t>
      </w:r>
      <w:proofErr w:type="spellStart"/>
      <w:r w:rsidRPr="006414E6">
        <w:rPr>
          <w:rFonts w:cs="Times New Roman"/>
        </w:rPr>
        <w:t>niskougljičnog</w:t>
      </w:r>
      <w:proofErr w:type="spellEnd"/>
      <w:r w:rsidRPr="006414E6">
        <w:rPr>
          <w:rFonts w:cs="Times New Roman"/>
        </w:rPr>
        <w:t xml:space="preserve"> razvoja trebaju osigurati postizanje dugoročnog cilja za ovaj sektor - ukupni odlivi trebaju biti veći od ukupnih emisija iz obračunskih kategorija zemljišta.</w:t>
      </w:r>
    </w:p>
    <w:p w14:paraId="2DC9902C" w14:textId="77777777" w:rsidR="00132772" w:rsidRPr="006414E6" w:rsidRDefault="005536C1" w:rsidP="00EE3488">
      <w:pPr>
        <w:pStyle w:val="Heading3"/>
      </w:pPr>
      <w:bookmarkStart w:id="286" w:name="_Toc39133308"/>
      <w:r w:rsidRPr="006414E6">
        <w:t>6.8</w:t>
      </w:r>
      <w:r w:rsidR="001241B9" w:rsidRPr="006414E6">
        <w:t>.</w:t>
      </w:r>
      <w:r w:rsidR="00132772" w:rsidRPr="006414E6">
        <w:t xml:space="preserve">3. Smjernice za </w:t>
      </w:r>
      <w:proofErr w:type="spellStart"/>
      <w:r w:rsidR="00132772" w:rsidRPr="006414E6">
        <w:t>niskougljični</w:t>
      </w:r>
      <w:proofErr w:type="spellEnd"/>
      <w:r w:rsidR="00132772" w:rsidRPr="006414E6">
        <w:t xml:space="preserve"> razvoj</w:t>
      </w:r>
      <w:bookmarkEnd w:id="286"/>
    </w:p>
    <w:p w14:paraId="01CC046C" w14:textId="77777777" w:rsidR="005469F8" w:rsidRPr="006414E6" w:rsidRDefault="005469F8" w:rsidP="0073053F">
      <w:pPr>
        <w:spacing w:line="240" w:lineRule="auto"/>
        <w:rPr>
          <w:rFonts w:cs="Times New Roman"/>
          <w:u w:val="single"/>
        </w:rPr>
      </w:pPr>
      <w:r w:rsidRPr="006414E6">
        <w:rPr>
          <w:rFonts w:cs="Times New Roman"/>
          <w:u w:val="single"/>
        </w:rPr>
        <w:t>Do 2030. godine</w:t>
      </w:r>
    </w:p>
    <w:p w14:paraId="40E56658" w14:textId="77777777" w:rsidR="005469F8" w:rsidRPr="006414E6" w:rsidRDefault="005469F8" w:rsidP="0073053F">
      <w:pPr>
        <w:numPr>
          <w:ilvl w:val="0"/>
          <w:numId w:val="33"/>
        </w:numPr>
        <w:spacing w:line="240" w:lineRule="auto"/>
        <w:rPr>
          <w:rFonts w:cs="Times New Roman"/>
        </w:rPr>
      </w:pPr>
      <w:r w:rsidRPr="006414E6">
        <w:rPr>
          <w:rFonts w:cs="Times New Roman"/>
        </w:rPr>
        <w:t xml:space="preserve">Kontinuirano raditi na unapređenju izračuna emisija/odliva u LULUCF sektoru kroz provedbu različitih projekata čiji rezultati omogućavaju primjenu više razine </w:t>
      </w:r>
      <w:proofErr w:type="spellStart"/>
      <w:r w:rsidRPr="006414E6">
        <w:rPr>
          <w:rFonts w:cs="Times New Roman"/>
        </w:rPr>
        <w:t>IPCC</w:t>
      </w:r>
      <w:proofErr w:type="spellEnd"/>
      <w:r w:rsidRPr="006414E6">
        <w:rPr>
          <w:rFonts w:cs="Times New Roman"/>
        </w:rPr>
        <w:t xml:space="preserve"> metodologije (</w:t>
      </w:r>
      <w:proofErr w:type="spellStart"/>
      <w:r w:rsidRPr="006414E6">
        <w:rPr>
          <w:rFonts w:cs="Times New Roman"/>
        </w:rPr>
        <w:t>Tier</w:t>
      </w:r>
      <w:proofErr w:type="spellEnd"/>
      <w:r w:rsidRPr="006414E6">
        <w:rPr>
          <w:rFonts w:cs="Times New Roman"/>
        </w:rPr>
        <w:t xml:space="preserve"> 2, </w:t>
      </w:r>
      <w:proofErr w:type="spellStart"/>
      <w:r w:rsidRPr="006414E6">
        <w:rPr>
          <w:rFonts w:cs="Times New Roman"/>
        </w:rPr>
        <w:t>Tier</w:t>
      </w:r>
      <w:proofErr w:type="spellEnd"/>
      <w:r w:rsidRPr="006414E6">
        <w:rPr>
          <w:rFonts w:cs="Times New Roman"/>
        </w:rPr>
        <w:t xml:space="preserve"> 3) u izračunu emisija/odliva</w:t>
      </w:r>
      <w:r w:rsidR="00943D87" w:rsidRPr="006414E6">
        <w:rPr>
          <w:rFonts w:cs="Times New Roman"/>
        </w:rPr>
        <w:t>.</w:t>
      </w:r>
    </w:p>
    <w:p w14:paraId="3B9424C3" w14:textId="77777777" w:rsidR="005469F8" w:rsidRPr="006414E6" w:rsidRDefault="005469F8" w:rsidP="0073053F">
      <w:pPr>
        <w:numPr>
          <w:ilvl w:val="0"/>
          <w:numId w:val="33"/>
        </w:numPr>
        <w:spacing w:line="240" w:lineRule="auto"/>
        <w:rPr>
          <w:rFonts w:cs="Times New Roman"/>
        </w:rPr>
      </w:pPr>
      <w:r w:rsidRPr="006414E6">
        <w:rPr>
          <w:rFonts w:cs="Times New Roman"/>
        </w:rPr>
        <w:t>Razviti strategiju upravljanja zemljištem u Republici Hrvatskoj. Preduvjeti za razvoj strategije su:</w:t>
      </w:r>
    </w:p>
    <w:p w14:paraId="3D531F7C" w14:textId="77777777" w:rsidR="005469F8" w:rsidRPr="006414E6" w:rsidRDefault="005469F8" w:rsidP="0073053F">
      <w:pPr>
        <w:numPr>
          <w:ilvl w:val="1"/>
          <w:numId w:val="65"/>
        </w:numPr>
        <w:spacing w:line="240" w:lineRule="auto"/>
        <w:rPr>
          <w:rFonts w:cs="Times New Roman"/>
        </w:rPr>
      </w:pPr>
      <w:r w:rsidRPr="006414E6">
        <w:rPr>
          <w:rFonts w:cs="Times New Roman"/>
        </w:rPr>
        <w:t xml:space="preserve">razviti jedinstveni informacijski sustav zemljišta u Republici Hrvatskoj ili utvrditi površine pojedine LULUCF kategorije zemljišta upotrebom prostorno točno utvrđenih podataka, za svaku kategoriju zemljišta te za svaku vrste prenamjene zemljišta iz jedne kategorije zemljišta u drugu </w:t>
      </w:r>
    </w:p>
    <w:p w14:paraId="38EBBF4C" w14:textId="77777777" w:rsidR="005469F8" w:rsidRPr="006414E6" w:rsidRDefault="005469F8" w:rsidP="0073053F">
      <w:pPr>
        <w:numPr>
          <w:ilvl w:val="1"/>
          <w:numId w:val="65"/>
        </w:numPr>
        <w:spacing w:line="240" w:lineRule="auto"/>
        <w:rPr>
          <w:rFonts w:cs="Times New Roman"/>
        </w:rPr>
      </w:pPr>
      <w:r w:rsidRPr="006414E6">
        <w:rPr>
          <w:rFonts w:cs="Times New Roman"/>
        </w:rPr>
        <w:t>provesti a</w:t>
      </w:r>
      <w:r w:rsidRPr="006414E6">
        <w:rPr>
          <w:rFonts w:cs="Times New Roman"/>
          <w:bCs/>
        </w:rPr>
        <w:t xml:space="preserve">nalizu svih LULUCF kategorija zemljišta u ovisnosti o pokrovu, uporabi zemljišta te praksama gospodarenja koje se na svakom zemljištu koriste  i s time povezanim emisijama/odlivima radi razmatranja potencijala svakog od </w:t>
      </w:r>
      <w:proofErr w:type="spellStart"/>
      <w:r w:rsidRPr="006414E6">
        <w:rPr>
          <w:rFonts w:cs="Times New Roman"/>
          <w:bCs/>
        </w:rPr>
        <w:t>pohraništa</w:t>
      </w:r>
      <w:proofErr w:type="spellEnd"/>
      <w:r w:rsidRPr="006414E6">
        <w:rPr>
          <w:rFonts w:cs="Times New Roman"/>
          <w:bCs/>
        </w:rPr>
        <w:t xml:space="preserve"> unutar svake </w:t>
      </w:r>
      <w:proofErr w:type="spellStart"/>
      <w:r w:rsidRPr="006414E6">
        <w:rPr>
          <w:rFonts w:cs="Times New Roman"/>
          <w:bCs/>
        </w:rPr>
        <w:t>LULUCF</w:t>
      </w:r>
      <w:proofErr w:type="spellEnd"/>
      <w:r w:rsidRPr="006414E6">
        <w:rPr>
          <w:rFonts w:cs="Times New Roman"/>
          <w:bCs/>
        </w:rPr>
        <w:t xml:space="preserve"> kategorije zemljišta za smanjenje emisija i povećanje odliva stakleničkih plinova</w:t>
      </w:r>
    </w:p>
    <w:p w14:paraId="4716ABFD" w14:textId="77777777" w:rsidR="005469F8" w:rsidRPr="006414E6" w:rsidRDefault="005469F8" w:rsidP="0073053F">
      <w:pPr>
        <w:numPr>
          <w:ilvl w:val="1"/>
          <w:numId w:val="65"/>
        </w:numPr>
        <w:spacing w:line="240" w:lineRule="auto"/>
        <w:rPr>
          <w:rFonts w:cs="Times New Roman"/>
        </w:rPr>
      </w:pPr>
      <w:r w:rsidRPr="006414E6">
        <w:rPr>
          <w:rFonts w:cs="Times New Roman"/>
          <w:bCs/>
        </w:rPr>
        <w:lastRenderedPageBreak/>
        <w:t>razviti detaljne projekcije razvoja budućih emisija/odliva u LULUCF sektoru po provedbi više navedene analize</w:t>
      </w:r>
      <w:r w:rsidR="005F43E1" w:rsidRPr="006414E6">
        <w:rPr>
          <w:rFonts w:cs="Times New Roman"/>
          <w:bCs/>
        </w:rPr>
        <w:t>.</w:t>
      </w:r>
      <w:r w:rsidRPr="006414E6">
        <w:rPr>
          <w:rFonts w:cs="Times New Roman"/>
          <w:bCs/>
        </w:rPr>
        <w:t xml:space="preserve"> </w:t>
      </w:r>
    </w:p>
    <w:p w14:paraId="4BD0D988" w14:textId="77777777" w:rsidR="005469F8" w:rsidRPr="006414E6" w:rsidRDefault="005F43E1" w:rsidP="0073053F">
      <w:pPr>
        <w:numPr>
          <w:ilvl w:val="0"/>
          <w:numId w:val="64"/>
        </w:numPr>
        <w:spacing w:line="240" w:lineRule="auto"/>
        <w:rPr>
          <w:rFonts w:cs="Times New Roman"/>
        </w:rPr>
      </w:pPr>
      <w:r w:rsidRPr="006414E6">
        <w:rPr>
          <w:rFonts w:cs="Times New Roman"/>
        </w:rPr>
        <w:t>P</w:t>
      </w:r>
      <w:r w:rsidR="005469F8" w:rsidRPr="006414E6">
        <w:rPr>
          <w:rFonts w:cs="Times New Roman"/>
        </w:rPr>
        <w:t xml:space="preserve">o provedenoj više navedenoj analizi definirati aktivnosti za smanjenje emisija/povećanje odliva za svaku od kategorija zemljišta i pripadajuća </w:t>
      </w:r>
      <w:proofErr w:type="spellStart"/>
      <w:r w:rsidR="005469F8" w:rsidRPr="006414E6">
        <w:rPr>
          <w:rFonts w:cs="Times New Roman"/>
        </w:rPr>
        <w:t>pohraništa</w:t>
      </w:r>
      <w:proofErr w:type="spellEnd"/>
      <w:r w:rsidR="005469F8" w:rsidRPr="006414E6">
        <w:rPr>
          <w:rFonts w:cs="Times New Roman"/>
        </w:rPr>
        <w:t>, te definirati rokove za provedbu definiranih aktivnosti. Navedeno treba činiti sastavni dio Strategije upravljanja zemljištem R</w:t>
      </w:r>
      <w:r w:rsidRPr="006414E6">
        <w:rPr>
          <w:rFonts w:cs="Times New Roman"/>
        </w:rPr>
        <w:t xml:space="preserve">epublike </w:t>
      </w:r>
      <w:r w:rsidR="005469F8" w:rsidRPr="006414E6">
        <w:rPr>
          <w:rFonts w:cs="Times New Roman"/>
        </w:rPr>
        <w:t>H</w:t>
      </w:r>
      <w:r w:rsidRPr="006414E6">
        <w:rPr>
          <w:rFonts w:cs="Times New Roman"/>
        </w:rPr>
        <w:t>rvatske</w:t>
      </w:r>
      <w:r w:rsidR="00943D87" w:rsidRPr="006414E6">
        <w:rPr>
          <w:rFonts w:cs="Times New Roman"/>
        </w:rPr>
        <w:t>.</w:t>
      </w:r>
    </w:p>
    <w:p w14:paraId="26362155" w14:textId="77777777" w:rsidR="005469F8" w:rsidRPr="006414E6" w:rsidRDefault="005469F8" w:rsidP="0073053F">
      <w:pPr>
        <w:numPr>
          <w:ilvl w:val="0"/>
          <w:numId w:val="33"/>
        </w:numPr>
        <w:spacing w:line="240" w:lineRule="auto"/>
        <w:rPr>
          <w:rFonts w:cs="Times New Roman"/>
        </w:rPr>
      </w:pPr>
      <w:r w:rsidRPr="006414E6">
        <w:rPr>
          <w:rFonts w:cs="Times New Roman"/>
        </w:rPr>
        <w:t>Provesti odabrane aktivnosti/mjere definirane u Strategiji upravljanja zemljištem u definiranim rokovima radi smanjenja/zadržavanja emisija i povećanja/zadržavanja odliva stakleničkih plinova u LULUCF sektoru</w:t>
      </w:r>
      <w:r w:rsidR="00943D87" w:rsidRPr="006414E6">
        <w:rPr>
          <w:rFonts w:cs="Times New Roman"/>
        </w:rPr>
        <w:t>.</w:t>
      </w:r>
    </w:p>
    <w:p w14:paraId="05A97513" w14:textId="77777777" w:rsidR="005469F8" w:rsidRPr="006414E6" w:rsidRDefault="005469F8" w:rsidP="0073053F">
      <w:pPr>
        <w:numPr>
          <w:ilvl w:val="0"/>
          <w:numId w:val="33"/>
        </w:numPr>
        <w:spacing w:line="240" w:lineRule="auto"/>
        <w:rPr>
          <w:rFonts w:cs="Times New Roman"/>
        </w:rPr>
      </w:pPr>
      <w:r w:rsidRPr="006414E6">
        <w:rPr>
          <w:rFonts w:cs="Times New Roman"/>
        </w:rPr>
        <w:t xml:space="preserve">Uvođenje novih praksi gospodarenja u šumama uvjetovati provedbom znanstvenih radova kojima se dokazuje pozitivan učinak novih praksi gospodarenja na ciklus kruženja ugljika u </w:t>
      </w:r>
      <w:proofErr w:type="spellStart"/>
      <w:r w:rsidRPr="006414E6">
        <w:rPr>
          <w:rFonts w:cs="Times New Roman"/>
        </w:rPr>
        <w:t>pohraništima</w:t>
      </w:r>
      <w:proofErr w:type="spellEnd"/>
      <w:r w:rsidRPr="006414E6">
        <w:rPr>
          <w:rFonts w:cs="Times New Roman"/>
        </w:rPr>
        <w:t xml:space="preserve"> u šumama, te posljedično na emisije i odlive u kategoriji Šumskog zemljišta</w:t>
      </w:r>
      <w:r w:rsidR="00943D87" w:rsidRPr="006414E6">
        <w:rPr>
          <w:rFonts w:cs="Times New Roman"/>
        </w:rPr>
        <w:t>.</w:t>
      </w:r>
    </w:p>
    <w:p w14:paraId="50FD2069" w14:textId="77777777" w:rsidR="005469F8" w:rsidRPr="006414E6" w:rsidRDefault="005469F8" w:rsidP="0073053F">
      <w:pPr>
        <w:numPr>
          <w:ilvl w:val="0"/>
          <w:numId w:val="33"/>
        </w:numPr>
        <w:spacing w:line="240" w:lineRule="auto"/>
        <w:rPr>
          <w:rFonts w:cs="Times New Roman"/>
        </w:rPr>
      </w:pPr>
      <w:r w:rsidRPr="006414E6">
        <w:rPr>
          <w:rFonts w:cs="Times New Roman"/>
        </w:rPr>
        <w:t>Na nacionalnoj razini unaprijediti i harmonizirati propise iz sektora šumarstva, poljoprivrede i zaštite okoliša radi postizanja ciljeva definiranih EU politikom u dijelu klimatskih promjena</w:t>
      </w:r>
      <w:r w:rsidR="00943D87" w:rsidRPr="006414E6">
        <w:rPr>
          <w:rFonts w:cs="Times New Roman"/>
        </w:rPr>
        <w:t>.</w:t>
      </w:r>
      <w:r w:rsidRPr="006414E6">
        <w:rPr>
          <w:rFonts w:cs="Times New Roman"/>
        </w:rPr>
        <w:t xml:space="preserve"> </w:t>
      </w:r>
    </w:p>
    <w:p w14:paraId="19D13310" w14:textId="7048D6B4" w:rsidR="005469F8" w:rsidRPr="006414E6" w:rsidRDefault="005469F8" w:rsidP="0073053F">
      <w:pPr>
        <w:numPr>
          <w:ilvl w:val="0"/>
          <w:numId w:val="33"/>
        </w:numPr>
        <w:spacing w:line="240" w:lineRule="auto"/>
        <w:rPr>
          <w:rFonts w:cs="Times New Roman"/>
        </w:rPr>
      </w:pPr>
      <w:r w:rsidRPr="006414E6">
        <w:rPr>
          <w:rFonts w:cs="Times New Roman"/>
        </w:rPr>
        <w:t xml:space="preserve">Provesti analizu učinkovitosti provedenih mjera i aktivnosti iz trenutno važećeg Programa ruralnog </w:t>
      </w:r>
      <w:r w:rsidR="0021090A" w:rsidRPr="006414E6">
        <w:rPr>
          <w:rFonts w:cs="Times New Roman"/>
        </w:rPr>
        <w:t xml:space="preserve">razvoja Republike Hrvatske za razdoblje 2014. – 2020. </w:t>
      </w:r>
      <w:r w:rsidRPr="006414E6">
        <w:rPr>
          <w:rFonts w:cs="Times New Roman"/>
        </w:rPr>
        <w:t xml:space="preserve">kao i programa za novo razdoblje (2021.-2027.) za poljoprivredni i šumarski sektor i mjera definiranih u studiji za ispunjavanje obaveza po članku 10. Odluke 529/2013/EU na smanjenje/zadržavanje emisija i povećanje/zadržavanje odliva stakleničkih plinova radi izrade novih smjernica i definiranja mjera u šumarskom i poljoprivrednom sektoru za financiranje u Programu ruralnog </w:t>
      </w:r>
      <w:r w:rsidR="00CC1EAB" w:rsidRPr="006414E6">
        <w:rPr>
          <w:rFonts w:cs="Times New Roman"/>
        </w:rPr>
        <w:t xml:space="preserve">razvoja Republike Hrvatske </w:t>
      </w:r>
      <w:r w:rsidRPr="006414E6">
        <w:rPr>
          <w:rFonts w:cs="Times New Roman"/>
        </w:rPr>
        <w:t xml:space="preserve">u </w:t>
      </w:r>
      <w:r w:rsidR="00CC1EAB" w:rsidRPr="006414E6">
        <w:rPr>
          <w:rFonts w:cs="Times New Roman"/>
        </w:rPr>
        <w:t xml:space="preserve">razdoblju </w:t>
      </w:r>
      <w:r w:rsidRPr="006414E6">
        <w:rPr>
          <w:rFonts w:cs="Times New Roman"/>
        </w:rPr>
        <w:t>nakon 2027. godine</w:t>
      </w:r>
      <w:r w:rsidR="00943D87" w:rsidRPr="006414E6">
        <w:rPr>
          <w:rFonts w:cs="Times New Roman"/>
        </w:rPr>
        <w:t>.</w:t>
      </w:r>
    </w:p>
    <w:p w14:paraId="09A0BB44" w14:textId="77777777" w:rsidR="005469F8" w:rsidRPr="006414E6" w:rsidRDefault="005469F8" w:rsidP="0073053F">
      <w:pPr>
        <w:numPr>
          <w:ilvl w:val="0"/>
          <w:numId w:val="33"/>
        </w:numPr>
        <w:spacing w:line="240" w:lineRule="auto"/>
        <w:rPr>
          <w:rFonts w:cs="Times New Roman"/>
        </w:rPr>
      </w:pPr>
      <w:r w:rsidRPr="006414E6">
        <w:rPr>
          <w:rFonts w:cs="Times New Roman"/>
        </w:rPr>
        <w:t>Provoditi znanstvena istraživanja za potrebe unapređenje gospodarenja svim LULUCF kategorijama zemljišta u cilju smanjenja emisija i povećanja odliva</w:t>
      </w:r>
      <w:r w:rsidR="00943D87" w:rsidRPr="006414E6">
        <w:rPr>
          <w:rFonts w:cs="Times New Roman"/>
        </w:rPr>
        <w:t>.</w:t>
      </w:r>
      <w:r w:rsidRPr="006414E6">
        <w:rPr>
          <w:rFonts w:cs="Times New Roman"/>
        </w:rPr>
        <w:t xml:space="preserve"> </w:t>
      </w:r>
    </w:p>
    <w:p w14:paraId="763CD9FF" w14:textId="64CCF063" w:rsidR="005469F8" w:rsidRPr="006414E6" w:rsidRDefault="005469F8" w:rsidP="0073053F">
      <w:pPr>
        <w:numPr>
          <w:ilvl w:val="0"/>
          <w:numId w:val="33"/>
        </w:numPr>
        <w:spacing w:line="240" w:lineRule="auto"/>
        <w:rPr>
          <w:rFonts w:cs="Times New Roman"/>
        </w:rPr>
      </w:pPr>
      <w:r w:rsidRPr="006414E6">
        <w:rPr>
          <w:rFonts w:cs="Times New Roman"/>
        </w:rPr>
        <w:t xml:space="preserve">Provoditi pošumljavanja </w:t>
      </w:r>
      <w:r w:rsidR="00CC2D7B" w:rsidRPr="006414E6">
        <w:rPr>
          <w:rFonts w:cs="Times New Roman"/>
        </w:rPr>
        <w:t>u skladu sa šumskogospodarskim planovima</w:t>
      </w:r>
      <w:r w:rsidR="00CC2D7B" w:rsidRPr="006414E6" w:rsidDel="00BC041D">
        <w:rPr>
          <w:rFonts w:cs="Times New Roman"/>
        </w:rPr>
        <w:t xml:space="preserve"> </w:t>
      </w:r>
    </w:p>
    <w:p w14:paraId="1783F19E" w14:textId="252F0545" w:rsidR="005469F8" w:rsidRPr="006414E6" w:rsidRDefault="005469F8" w:rsidP="0073053F">
      <w:pPr>
        <w:numPr>
          <w:ilvl w:val="0"/>
          <w:numId w:val="33"/>
        </w:numPr>
        <w:spacing w:line="240" w:lineRule="auto"/>
        <w:rPr>
          <w:rFonts w:cs="Times New Roman"/>
        </w:rPr>
      </w:pPr>
      <w:r w:rsidRPr="006414E6">
        <w:rPr>
          <w:rFonts w:cs="Times New Roman"/>
        </w:rPr>
        <w:t xml:space="preserve">Ocijeniti učinaka pošumljavanja neobraslog, proizvodnog šumskog zemljišta na ispunjavanje obaveza </w:t>
      </w:r>
      <w:r w:rsidR="00CC1EAB" w:rsidRPr="006414E6">
        <w:rPr>
          <w:rFonts w:eastAsia="Times New Roman" w:cs="Times New Roman"/>
          <w:szCs w:val="24"/>
          <w:lang w:eastAsia="hr-HR"/>
        </w:rPr>
        <w:t>Republike Hrvatske</w:t>
      </w:r>
      <w:r w:rsidR="00CC1EAB" w:rsidRPr="006414E6">
        <w:rPr>
          <w:rFonts w:cs="Times New Roman"/>
          <w:bCs/>
          <w:szCs w:val="24"/>
        </w:rPr>
        <w:t xml:space="preserve"> </w:t>
      </w:r>
      <w:r w:rsidRPr="006414E6">
        <w:rPr>
          <w:rFonts w:cs="Times New Roman"/>
        </w:rPr>
        <w:t>povezanih s korištenjem obnovljivih izvora energije</w:t>
      </w:r>
      <w:r w:rsidR="00943D87" w:rsidRPr="006414E6">
        <w:rPr>
          <w:rFonts w:cs="Times New Roman"/>
        </w:rPr>
        <w:t>.</w:t>
      </w:r>
    </w:p>
    <w:p w14:paraId="3BD8F61E" w14:textId="77777777" w:rsidR="005469F8" w:rsidRPr="006414E6" w:rsidRDefault="005469F8" w:rsidP="0073053F">
      <w:pPr>
        <w:numPr>
          <w:ilvl w:val="0"/>
          <w:numId w:val="33"/>
        </w:numPr>
        <w:spacing w:line="240" w:lineRule="auto"/>
        <w:rPr>
          <w:rFonts w:cs="Times New Roman"/>
        </w:rPr>
      </w:pPr>
      <w:r w:rsidRPr="006414E6">
        <w:rPr>
          <w:rFonts w:cs="Times New Roman"/>
        </w:rPr>
        <w:t>Unaprijediti planiranja zaštite šuma od požara.</w:t>
      </w:r>
    </w:p>
    <w:p w14:paraId="0D66ADD3" w14:textId="77777777" w:rsidR="005469F8" w:rsidRPr="006414E6" w:rsidRDefault="005469F8" w:rsidP="0073053F">
      <w:pPr>
        <w:numPr>
          <w:ilvl w:val="0"/>
          <w:numId w:val="33"/>
        </w:numPr>
        <w:spacing w:line="240" w:lineRule="auto"/>
        <w:rPr>
          <w:rFonts w:cs="Times New Roman"/>
        </w:rPr>
      </w:pPr>
      <w:r w:rsidRPr="006414E6">
        <w:rPr>
          <w:rFonts w:cs="Times New Roman"/>
        </w:rPr>
        <w:t>Promicati načine gospodarenja površinama šuma, pašnjaka i površina poljoprivrednog zemljišta koje su korisne za klimu i okoliš.</w:t>
      </w:r>
    </w:p>
    <w:p w14:paraId="75AB5747" w14:textId="77777777" w:rsidR="005469F8" w:rsidRPr="006414E6" w:rsidRDefault="005469F8" w:rsidP="0073053F">
      <w:pPr>
        <w:spacing w:line="240" w:lineRule="auto"/>
        <w:rPr>
          <w:rFonts w:cs="Times New Roman"/>
          <w:u w:val="single"/>
        </w:rPr>
      </w:pPr>
      <w:r w:rsidRPr="006414E6">
        <w:rPr>
          <w:rFonts w:cs="Times New Roman"/>
          <w:u w:val="single"/>
        </w:rPr>
        <w:t>Do 2050. godine</w:t>
      </w:r>
    </w:p>
    <w:p w14:paraId="3E116D2A" w14:textId="77777777" w:rsidR="005469F8" w:rsidRPr="006414E6" w:rsidRDefault="005469F8" w:rsidP="0073053F">
      <w:pPr>
        <w:numPr>
          <w:ilvl w:val="0"/>
          <w:numId w:val="34"/>
        </w:numPr>
        <w:spacing w:line="240" w:lineRule="auto"/>
        <w:rPr>
          <w:rFonts w:cs="Times New Roman"/>
        </w:rPr>
      </w:pPr>
      <w:r w:rsidRPr="006414E6">
        <w:rPr>
          <w:rFonts w:cs="Times New Roman"/>
        </w:rPr>
        <w:t xml:space="preserve">Analiza i ocjena učinaka provedenih mjera u različitim periodima za smanjenje/zadržavanje emisija stakleničkih plinova i povećanje/zadržavanje zalihe ugljika u </w:t>
      </w:r>
      <w:proofErr w:type="spellStart"/>
      <w:r w:rsidRPr="006414E6">
        <w:rPr>
          <w:rFonts w:cs="Times New Roman"/>
        </w:rPr>
        <w:t>pohraništima</w:t>
      </w:r>
      <w:proofErr w:type="spellEnd"/>
      <w:r w:rsidRPr="006414E6">
        <w:rPr>
          <w:rFonts w:cs="Times New Roman"/>
        </w:rPr>
        <w:t xml:space="preserve"> ugljika</w:t>
      </w:r>
      <w:r w:rsidR="00943D87" w:rsidRPr="006414E6">
        <w:rPr>
          <w:rFonts w:cs="Times New Roman"/>
        </w:rPr>
        <w:t>.</w:t>
      </w:r>
    </w:p>
    <w:p w14:paraId="3D95B3FB" w14:textId="77777777" w:rsidR="005469F8" w:rsidRPr="006414E6" w:rsidRDefault="005469F8" w:rsidP="0073053F">
      <w:pPr>
        <w:numPr>
          <w:ilvl w:val="0"/>
          <w:numId w:val="34"/>
        </w:numPr>
        <w:spacing w:line="240" w:lineRule="auto"/>
        <w:rPr>
          <w:rFonts w:cs="Times New Roman"/>
        </w:rPr>
      </w:pPr>
      <w:r w:rsidRPr="006414E6">
        <w:rPr>
          <w:rFonts w:cs="Times New Roman"/>
        </w:rPr>
        <w:t>Izrada smjernica daljnjeg razvoja u LULUCF sektoru temeljem znanja i iskustava stečenih provedbom Strategije upravljanja zemljištem i definiranim aktivnostima i mjerama za smanjenje emisija i povećanje odliva.</w:t>
      </w:r>
    </w:p>
    <w:p w14:paraId="33268837" w14:textId="77777777" w:rsidR="005469F8" w:rsidRPr="006414E6" w:rsidRDefault="005469F8" w:rsidP="0073053F">
      <w:pPr>
        <w:numPr>
          <w:ilvl w:val="0"/>
          <w:numId w:val="34"/>
        </w:numPr>
        <w:spacing w:line="240" w:lineRule="auto"/>
        <w:rPr>
          <w:rFonts w:cs="Times New Roman"/>
        </w:rPr>
      </w:pPr>
      <w:r w:rsidRPr="006414E6">
        <w:rPr>
          <w:rFonts w:cs="Times New Roman"/>
        </w:rPr>
        <w:t>Izrada smjernica za unapređenje načina gospodarenja šumama i izrada plana provedbe aktivnosti gospodarenja šumama na način kojim se povećavaju odlivi u šumama</w:t>
      </w:r>
      <w:r w:rsidR="00943D87" w:rsidRPr="006414E6">
        <w:rPr>
          <w:rFonts w:cs="Times New Roman"/>
        </w:rPr>
        <w:t>.</w:t>
      </w:r>
    </w:p>
    <w:p w14:paraId="23FA2EB8" w14:textId="4BAC050F" w:rsidR="00C60CFD" w:rsidRPr="008335DA" w:rsidRDefault="005469F8" w:rsidP="00313063">
      <w:pPr>
        <w:numPr>
          <w:ilvl w:val="0"/>
          <w:numId w:val="34"/>
        </w:numPr>
        <w:spacing w:line="240" w:lineRule="auto"/>
        <w:rPr>
          <w:rFonts w:cs="Times New Roman"/>
        </w:rPr>
      </w:pPr>
      <w:r w:rsidRPr="006414E6">
        <w:rPr>
          <w:rFonts w:cs="Times New Roman"/>
        </w:rPr>
        <w:t>Osiguranje financijskih sredstava za tehničke projekte i znanstvena istraživanja povezana s LULUCF kategorijama zemljišta i emisijama/odlivima u ovom sektoru</w:t>
      </w:r>
      <w:r w:rsidR="00943D87" w:rsidRPr="006414E6">
        <w:rPr>
          <w:rFonts w:cs="Times New Roman"/>
        </w:rPr>
        <w:t>.</w:t>
      </w:r>
    </w:p>
    <w:p w14:paraId="38A805C8" w14:textId="77777777" w:rsidR="009A2FAA" w:rsidRPr="00350F7A" w:rsidRDefault="00AD521D" w:rsidP="00F415A7">
      <w:pPr>
        <w:pStyle w:val="Heading1"/>
      </w:pPr>
      <w:bookmarkStart w:id="287" w:name="_Toc20841311"/>
      <w:bookmarkStart w:id="288" w:name="_Toc20841417"/>
      <w:bookmarkStart w:id="289" w:name="_Toc39133309"/>
      <w:bookmarkStart w:id="290" w:name="_Hlk36544503"/>
      <w:r w:rsidRPr="00350F7A">
        <w:lastRenderedPageBreak/>
        <w:t>7</w:t>
      </w:r>
      <w:r w:rsidR="000A28AE" w:rsidRPr="00350F7A">
        <w:t xml:space="preserve">. </w:t>
      </w:r>
      <w:r w:rsidR="00C51945" w:rsidRPr="00350F7A">
        <w:tab/>
      </w:r>
      <w:r w:rsidR="00730300" w:rsidRPr="00350F7A">
        <w:t>FINANCIRANJE</w:t>
      </w:r>
      <w:bookmarkEnd w:id="287"/>
      <w:bookmarkEnd w:id="288"/>
      <w:bookmarkEnd w:id="289"/>
    </w:p>
    <w:p w14:paraId="151E4BD7" w14:textId="77777777" w:rsidR="009944D1" w:rsidRPr="006414E6" w:rsidRDefault="00AD521D" w:rsidP="00F415A7">
      <w:pPr>
        <w:pStyle w:val="Heading2"/>
      </w:pPr>
      <w:bookmarkStart w:id="291" w:name="_Toc20841312"/>
      <w:bookmarkStart w:id="292" w:name="_Toc20841418"/>
      <w:bookmarkStart w:id="293" w:name="_Toc39133310"/>
      <w:r w:rsidRPr="006414E6">
        <w:t>7</w:t>
      </w:r>
      <w:r w:rsidR="00C60CFD" w:rsidRPr="006414E6">
        <w:t>.1</w:t>
      </w:r>
      <w:r w:rsidR="009944D1" w:rsidRPr="006414E6">
        <w:t xml:space="preserve">. </w:t>
      </w:r>
      <w:r w:rsidR="00C51945" w:rsidRPr="006414E6">
        <w:tab/>
      </w:r>
      <w:r w:rsidR="009944D1" w:rsidRPr="006414E6">
        <w:t>PROCJENA POTREBNIH ULAGANJA</w:t>
      </w:r>
      <w:bookmarkEnd w:id="291"/>
      <w:bookmarkEnd w:id="292"/>
      <w:bookmarkEnd w:id="293"/>
    </w:p>
    <w:p w14:paraId="0F052AB5" w14:textId="77777777" w:rsidR="004D1F2E" w:rsidRPr="006414E6" w:rsidRDefault="004D1F2E" w:rsidP="00943D87">
      <w:pPr>
        <w:spacing w:line="240" w:lineRule="auto"/>
        <w:rPr>
          <w:rFonts w:cs="Times New Roman"/>
        </w:rPr>
      </w:pPr>
      <w:r w:rsidRPr="006414E6">
        <w:rPr>
          <w:rFonts w:cs="Times New Roman"/>
        </w:rPr>
        <w:t xml:space="preserve">Razlika troškova između </w:t>
      </w:r>
      <w:proofErr w:type="spellStart"/>
      <w:r w:rsidRPr="006414E6">
        <w:rPr>
          <w:rFonts w:cs="Times New Roman"/>
        </w:rPr>
        <w:t>niskougljičnih</w:t>
      </w:r>
      <w:proofErr w:type="spellEnd"/>
      <w:r w:rsidRPr="006414E6">
        <w:rPr>
          <w:rFonts w:cs="Times New Roman"/>
        </w:rPr>
        <w:t xml:space="preserve"> NU1 i NU2 scenarija i referentnog NUR scenarija je trošak </w:t>
      </w:r>
      <w:r w:rsidR="005176DB" w:rsidRPr="006414E6">
        <w:rPr>
          <w:rFonts w:cs="Times New Roman"/>
        </w:rPr>
        <w:t xml:space="preserve">društva </w:t>
      </w:r>
      <w:r w:rsidR="00755197" w:rsidRPr="006414E6">
        <w:rPr>
          <w:rFonts w:cs="Times New Roman"/>
        </w:rPr>
        <w:t xml:space="preserve">za </w:t>
      </w:r>
      <w:r w:rsidRPr="006414E6">
        <w:rPr>
          <w:rFonts w:cs="Times New Roman"/>
        </w:rPr>
        <w:t xml:space="preserve">put prema </w:t>
      </w:r>
      <w:proofErr w:type="spellStart"/>
      <w:r w:rsidRPr="006414E6">
        <w:rPr>
          <w:rFonts w:cs="Times New Roman"/>
        </w:rPr>
        <w:t>niskougljičnom</w:t>
      </w:r>
      <w:proofErr w:type="spellEnd"/>
      <w:r w:rsidRPr="006414E6">
        <w:rPr>
          <w:rFonts w:cs="Times New Roman"/>
        </w:rPr>
        <w:t xml:space="preserve"> razvoju.</w:t>
      </w:r>
    </w:p>
    <w:p w14:paraId="51E3F622" w14:textId="77777777" w:rsidR="004D1F2E" w:rsidRPr="006414E6" w:rsidRDefault="004D1F2E" w:rsidP="00943D87">
      <w:pPr>
        <w:spacing w:line="240" w:lineRule="auto"/>
        <w:rPr>
          <w:rFonts w:cs="Times New Roman"/>
        </w:rPr>
      </w:pPr>
      <w:r w:rsidRPr="006414E6">
        <w:rPr>
          <w:rFonts w:cs="Times New Roman"/>
        </w:rPr>
        <w:t xml:space="preserve">Da bi došlo do promjena, financijsko poticanje ne može biti ograničeno samo na razliku troška </w:t>
      </w:r>
      <w:proofErr w:type="spellStart"/>
      <w:r w:rsidRPr="006414E6">
        <w:rPr>
          <w:rFonts w:cs="Times New Roman"/>
        </w:rPr>
        <w:t>niskougljičnog</w:t>
      </w:r>
      <w:proofErr w:type="spellEnd"/>
      <w:r w:rsidRPr="006414E6">
        <w:rPr>
          <w:rFonts w:cs="Times New Roman"/>
        </w:rPr>
        <w:t xml:space="preserve"> i referentnog rješenja, već ponekad treba biti više od toga. Dugoročno, ulaganja u </w:t>
      </w:r>
      <w:proofErr w:type="spellStart"/>
      <w:r w:rsidRPr="006414E6">
        <w:rPr>
          <w:rFonts w:cs="Times New Roman"/>
        </w:rPr>
        <w:t>niskougljične</w:t>
      </w:r>
      <w:proofErr w:type="spellEnd"/>
      <w:r w:rsidRPr="006414E6">
        <w:rPr>
          <w:rFonts w:cs="Times New Roman"/>
        </w:rPr>
        <w:t xml:space="preserve"> razvoj trebaju biti ekonomski održiva. Javni izvori financiranja neće biti dostatni te je potrebno naći instrumente za mobilizaciju privatnih sredstva za ulaganje u poslove koje doprinose </w:t>
      </w:r>
      <w:proofErr w:type="spellStart"/>
      <w:r w:rsidRPr="006414E6">
        <w:rPr>
          <w:rFonts w:cs="Times New Roman"/>
        </w:rPr>
        <w:t>niskougljičnoj</w:t>
      </w:r>
      <w:proofErr w:type="spellEnd"/>
      <w:r w:rsidRPr="006414E6">
        <w:rPr>
          <w:rFonts w:cs="Times New Roman"/>
        </w:rPr>
        <w:t xml:space="preserve"> razvoju i gospodarskom rastu.  </w:t>
      </w:r>
    </w:p>
    <w:p w14:paraId="34E6238D" w14:textId="77777777" w:rsidR="003D68E5" w:rsidRPr="006414E6" w:rsidRDefault="003D68E5" w:rsidP="003D68E5">
      <w:pPr>
        <w:rPr>
          <w:rFonts w:cs="Times New Roman"/>
          <w:b/>
        </w:rPr>
      </w:pPr>
      <w:r w:rsidRPr="006414E6">
        <w:rPr>
          <w:rFonts w:cs="Times New Roman"/>
          <w:b/>
        </w:rPr>
        <w:t xml:space="preserve">Trošak društva za put prema </w:t>
      </w:r>
      <w:proofErr w:type="spellStart"/>
      <w:r w:rsidRPr="006414E6">
        <w:rPr>
          <w:rFonts w:cs="Times New Roman"/>
          <w:b/>
        </w:rPr>
        <w:t>niskougljičnom</w:t>
      </w:r>
      <w:proofErr w:type="spellEnd"/>
      <w:r w:rsidRPr="006414E6">
        <w:rPr>
          <w:rFonts w:cs="Times New Roman"/>
          <w:b/>
        </w:rPr>
        <w:t xml:space="preserve"> razvoju predstavlja razliku ulaganja između </w:t>
      </w:r>
      <w:proofErr w:type="spellStart"/>
      <w:r w:rsidRPr="006414E6">
        <w:rPr>
          <w:rFonts w:cs="Times New Roman"/>
          <w:b/>
        </w:rPr>
        <w:t>niskougljičnih</w:t>
      </w:r>
      <w:proofErr w:type="spellEnd"/>
      <w:r w:rsidRPr="006414E6">
        <w:rPr>
          <w:rFonts w:cs="Times New Roman"/>
          <w:b/>
        </w:rPr>
        <w:t xml:space="preserve"> scenarija (NU1 i NU2) i ulaganja referentnog scenarija (NUR). Procjenjuje se da će trošak društva za put prema </w:t>
      </w:r>
      <w:proofErr w:type="spellStart"/>
      <w:r w:rsidRPr="006414E6">
        <w:rPr>
          <w:rFonts w:cs="Times New Roman"/>
          <w:b/>
        </w:rPr>
        <w:t>niskougljičnom</w:t>
      </w:r>
      <w:proofErr w:type="spellEnd"/>
      <w:r w:rsidRPr="006414E6">
        <w:rPr>
          <w:rFonts w:cs="Times New Roman"/>
          <w:b/>
        </w:rPr>
        <w:t xml:space="preserve"> razvoju biti od 38,65 do 65,92 </w:t>
      </w:r>
      <w:proofErr w:type="spellStart"/>
      <w:r w:rsidRPr="006414E6">
        <w:rPr>
          <w:rFonts w:cs="Times New Roman"/>
          <w:b/>
        </w:rPr>
        <w:t>mlrd</w:t>
      </w:r>
      <w:proofErr w:type="spellEnd"/>
      <w:r w:rsidRPr="006414E6">
        <w:rPr>
          <w:rFonts w:cs="Times New Roman"/>
          <w:b/>
        </w:rPr>
        <w:t xml:space="preserve">. kuna u razdoblju od 2021. do 2030. godine, odnosno od 0,92 do 1,6% BDP-a. U razdoblju od 2031. do 2050. godine trošak će biti od 107,09 do 167,95 </w:t>
      </w:r>
      <w:proofErr w:type="spellStart"/>
      <w:r w:rsidRPr="006414E6">
        <w:rPr>
          <w:rFonts w:cs="Times New Roman"/>
          <w:b/>
        </w:rPr>
        <w:t>mlrd</w:t>
      </w:r>
      <w:proofErr w:type="spellEnd"/>
      <w:r w:rsidRPr="006414E6">
        <w:rPr>
          <w:rFonts w:cs="Times New Roman"/>
          <w:b/>
        </w:rPr>
        <w:t>. kuna (od 0,96 do 1,51% BDP-a).</w:t>
      </w:r>
    </w:p>
    <w:p w14:paraId="11E14E66" w14:textId="77777777" w:rsidR="00862754" w:rsidRPr="006414E6" w:rsidRDefault="00377F8B" w:rsidP="00F028AB">
      <w:pPr>
        <w:rPr>
          <w:rFonts w:cs="Times New Roman"/>
        </w:rPr>
      </w:pPr>
      <w:r w:rsidRPr="006414E6">
        <w:rPr>
          <w:rFonts w:cs="Times New Roman"/>
        </w:rPr>
        <w:t xml:space="preserve">Na slici 7-1 </w:t>
      </w:r>
      <w:r w:rsidR="00862754" w:rsidRPr="006414E6">
        <w:rPr>
          <w:rFonts w:cs="Times New Roman"/>
        </w:rPr>
        <w:t xml:space="preserve">je </w:t>
      </w:r>
      <w:r w:rsidRPr="006414E6">
        <w:rPr>
          <w:rFonts w:cs="Times New Roman"/>
        </w:rPr>
        <w:t xml:space="preserve">prikazana procjena potrebnih </w:t>
      </w:r>
      <w:r w:rsidR="00862754" w:rsidRPr="006414E6">
        <w:rPr>
          <w:rFonts w:cs="Times New Roman"/>
        </w:rPr>
        <w:t xml:space="preserve">ulaganja </w:t>
      </w:r>
      <w:r w:rsidRPr="006414E6">
        <w:rPr>
          <w:rFonts w:cs="Times New Roman"/>
        </w:rPr>
        <w:t xml:space="preserve">u razdoblju od 2021. do 2030. godine za tranziciju prema </w:t>
      </w:r>
      <w:proofErr w:type="spellStart"/>
      <w:r w:rsidRPr="006414E6">
        <w:rPr>
          <w:rFonts w:cs="Times New Roman"/>
        </w:rPr>
        <w:t>niskougljičnom</w:t>
      </w:r>
      <w:proofErr w:type="spellEnd"/>
      <w:r w:rsidRPr="006414E6">
        <w:rPr>
          <w:rFonts w:cs="Times New Roman"/>
        </w:rPr>
        <w:t xml:space="preserve"> gospodarstvu</w:t>
      </w:r>
      <w:r w:rsidR="00862754" w:rsidRPr="006414E6">
        <w:rPr>
          <w:rFonts w:cs="Times New Roman"/>
        </w:rPr>
        <w:t>.</w:t>
      </w:r>
    </w:p>
    <w:p w14:paraId="1717AB78" w14:textId="5A26B805" w:rsidR="005624FC" w:rsidRPr="006414E6" w:rsidRDefault="005624FC" w:rsidP="005624FC">
      <w:pPr>
        <w:jc w:val="center"/>
        <w:rPr>
          <w:rFonts w:cs="Times New Roman"/>
        </w:rPr>
      </w:pPr>
      <w:bookmarkStart w:id="294" w:name="_Toc477771751"/>
      <w:bookmarkStart w:id="295" w:name="_Toc484158377"/>
    </w:p>
    <w:p w14:paraId="4122E13A" w14:textId="7C637942" w:rsidR="004B2CFF" w:rsidRPr="00A8091F" w:rsidRDefault="00A8091F" w:rsidP="00377F8B">
      <w:pPr>
        <w:pStyle w:val="Slika"/>
        <w:spacing w:before="120"/>
        <w:jc w:val="center"/>
        <w:rPr>
          <w:rFonts w:ascii="Times New Roman" w:hAnsi="Times New Roman"/>
        </w:rPr>
      </w:pPr>
      <w:bookmarkStart w:id="296" w:name="_Toc33417102"/>
      <w:r>
        <w:rPr>
          <w:rFonts w:ascii="Times New Roman" w:hAnsi="Times New Roman"/>
          <w:noProof/>
          <w:lang w:eastAsia="hr-HR"/>
        </w:rPr>
        <w:drawing>
          <wp:inline distT="0" distB="0" distL="0" distR="0" wp14:anchorId="0F2FE219" wp14:editId="11B8856A">
            <wp:extent cx="3688080" cy="2511552"/>
            <wp:effectExtent l="0" t="0" r="7620" b="317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1.jpg"/>
                    <pic:cNvPicPr/>
                  </pic:nvPicPr>
                  <pic:blipFill>
                    <a:blip r:embed="rId21">
                      <a:extLst>
                        <a:ext uri="{28A0092B-C50C-407E-A947-70E740481C1C}">
                          <a14:useLocalDpi xmlns:a14="http://schemas.microsoft.com/office/drawing/2010/main" val="0"/>
                        </a:ext>
                      </a:extLst>
                    </a:blip>
                    <a:stretch>
                      <a:fillRect/>
                    </a:stretch>
                  </pic:blipFill>
                  <pic:spPr>
                    <a:xfrm>
                      <a:off x="0" y="0"/>
                      <a:ext cx="3688080" cy="2511552"/>
                    </a:xfrm>
                    <a:prstGeom prst="rect">
                      <a:avLst/>
                    </a:prstGeom>
                  </pic:spPr>
                </pic:pic>
              </a:graphicData>
            </a:graphic>
          </wp:inline>
        </w:drawing>
      </w:r>
    </w:p>
    <w:p w14:paraId="0219CB60" w14:textId="7C361079" w:rsidR="00377F8B" w:rsidRPr="006414E6" w:rsidRDefault="00377F8B" w:rsidP="00377F8B">
      <w:pPr>
        <w:pStyle w:val="Slika"/>
        <w:spacing w:before="120"/>
        <w:jc w:val="center"/>
        <w:rPr>
          <w:rFonts w:ascii="Times New Roman" w:hAnsi="Times New Roman"/>
          <w:i/>
        </w:rPr>
      </w:pPr>
      <w:r w:rsidRPr="006414E6">
        <w:rPr>
          <w:rFonts w:ascii="Times New Roman" w:hAnsi="Times New Roman"/>
          <w:i/>
        </w:rPr>
        <w:t>Slika 7-1: Procjena potrebnih</w:t>
      </w:r>
      <w:r w:rsidR="00862754" w:rsidRPr="006414E6">
        <w:rPr>
          <w:rFonts w:ascii="Times New Roman" w:hAnsi="Times New Roman"/>
          <w:i/>
        </w:rPr>
        <w:t xml:space="preserve"> ulaganja</w:t>
      </w:r>
      <w:r w:rsidRPr="006414E6">
        <w:rPr>
          <w:rFonts w:ascii="Times New Roman" w:hAnsi="Times New Roman"/>
          <w:i/>
        </w:rPr>
        <w:t xml:space="preserve"> u razdoblju od 2021. do 2030. godine za tranziciju prema </w:t>
      </w:r>
      <w:proofErr w:type="spellStart"/>
      <w:r w:rsidRPr="006414E6">
        <w:rPr>
          <w:rFonts w:ascii="Times New Roman" w:hAnsi="Times New Roman"/>
          <w:i/>
        </w:rPr>
        <w:t>niskougljičnom</w:t>
      </w:r>
      <w:proofErr w:type="spellEnd"/>
      <w:r w:rsidRPr="006414E6">
        <w:rPr>
          <w:rFonts w:ascii="Times New Roman" w:hAnsi="Times New Roman"/>
          <w:i/>
        </w:rPr>
        <w:t xml:space="preserve"> gospodarstvu</w:t>
      </w:r>
      <w:bookmarkEnd w:id="294"/>
      <w:bookmarkEnd w:id="295"/>
      <w:bookmarkEnd w:id="296"/>
    </w:p>
    <w:p w14:paraId="43C721A8" w14:textId="77777777" w:rsidR="000B47D3" w:rsidRPr="006414E6" w:rsidRDefault="000B47D3" w:rsidP="000B47D3">
      <w:pPr>
        <w:rPr>
          <w:rFonts w:cs="Times New Roman"/>
        </w:rPr>
      </w:pPr>
      <w:bookmarkStart w:id="297" w:name="_Toc21619761"/>
      <w:r w:rsidRPr="006414E6">
        <w:rPr>
          <w:rFonts w:cs="Times New Roman"/>
        </w:rPr>
        <w:t xml:space="preserve">Na slici 7-2 </w:t>
      </w:r>
      <w:r w:rsidR="00862754" w:rsidRPr="006414E6">
        <w:rPr>
          <w:rFonts w:cs="Times New Roman"/>
        </w:rPr>
        <w:t xml:space="preserve">je </w:t>
      </w:r>
      <w:r w:rsidRPr="006414E6">
        <w:rPr>
          <w:rFonts w:cs="Times New Roman"/>
        </w:rPr>
        <w:t xml:space="preserve">prikazana procjena potrebnih </w:t>
      </w:r>
      <w:r w:rsidR="00862754" w:rsidRPr="006414E6">
        <w:rPr>
          <w:rFonts w:cs="Times New Roman"/>
        </w:rPr>
        <w:t xml:space="preserve">ulaganja </w:t>
      </w:r>
      <w:r w:rsidRPr="006414E6">
        <w:rPr>
          <w:rFonts w:cs="Times New Roman"/>
        </w:rPr>
        <w:t xml:space="preserve">u razdoblju od 2031. do 2050. godine za tranziciju prema </w:t>
      </w:r>
      <w:proofErr w:type="spellStart"/>
      <w:r w:rsidRPr="006414E6">
        <w:rPr>
          <w:rFonts w:cs="Times New Roman"/>
        </w:rPr>
        <w:t>niskougljičnom</w:t>
      </w:r>
      <w:proofErr w:type="spellEnd"/>
      <w:r w:rsidRPr="006414E6">
        <w:rPr>
          <w:rFonts w:cs="Times New Roman"/>
        </w:rPr>
        <w:t xml:space="preserve"> gospodarstvu.</w:t>
      </w:r>
    </w:p>
    <w:p w14:paraId="030AD8EB" w14:textId="4C4C7601" w:rsidR="004B2CFF" w:rsidRPr="00A8091F" w:rsidRDefault="00A8091F" w:rsidP="000B47D3">
      <w:pPr>
        <w:pStyle w:val="Slika"/>
        <w:spacing w:before="120"/>
        <w:jc w:val="center"/>
        <w:rPr>
          <w:rFonts w:ascii="Times New Roman" w:hAnsi="Times New Roman"/>
        </w:rPr>
      </w:pPr>
      <w:bookmarkStart w:id="298" w:name="_Toc33417103"/>
      <w:r>
        <w:rPr>
          <w:rFonts w:ascii="Times New Roman" w:hAnsi="Times New Roman"/>
          <w:noProof/>
          <w:lang w:eastAsia="hr-HR"/>
        </w:rPr>
        <w:lastRenderedPageBreak/>
        <w:drawing>
          <wp:inline distT="0" distB="0" distL="0" distR="0" wp14:anchorId="2C57F236" wp14:editId="5EF0D8C1">
            <wp:extent cx="3694176" cy="2511552"/>
            <wp:effectExtent l="0" t="0" r="1905" b="317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2.jpg"/>
                    <pic:cNvPicPr/>
                  </pic:nvPicPr>
                  <pic:blipFill>
                    <a:blip r:embed="rId22">
                      <a:extLst>
                        <a:ext uri="{28A0092B-C50C-407E-A947-70E740481C1C}">
                          <a14:useLocalDpi xmlns:a14="http://schemas.microsoft.com/office/drawing/2010/main" val="0"/>
                        </a:ext>
                      </a:extLst>
                    </a:blip>
                    <a:stretch>
                      <a:fillRect/>
                    </a:stretch>
                  </pic:blipFill>
                  <pic:spPr>
                    <a:xfrm>
                      <a:off x="0" y="0"/>
                      <a:ext cx="3694176" cy="2511552"/>
                    </a:xfrm>
                    <a:prstGeom prst="rect">
                      <a:avLst/>
                    </a:prstGeom>
                  </pic:spPr>
                </pic:pic>
              </a:graphicData>
            </a:graphic>
          </wp:inline>
        </w:drawing>
      </w:r>
    </w:p>
    <w:p w14:paraId="64B9F0B1" w14:textId="0D3345D6" w:rsidR="000B47D3" w:rsidRPr="006414E6" w:rsidRDefault="000B47D3" w:rsidP="000B47D3">
      <w:pPr>
        <w:pStyle w:val="Slika"/>
        <w:spacing w:before="120"/>
        <w:jc w:val="center"/>
        <w:rPr>
          <w:rFonts w:ascii="Times New Roman" w:hAnsi="Times New Roman"/>
          <w:i/>
        </w:rPr>
      </w:pPr>
      <w:r w:rsidRPr="006414E6">
        <w:rPr>
          <w:rFonts w:ascii="Times New Roman" w:hAnsi="Times New Roman"/>
          <w:i/>
        </w:rPr>
        <w:t xml:space="preserve">Slika 7-2: Procjena potrebnih </w:t>
      </w:r>
      <w:r w:rsidR="00862754" w:rsidRPr="006414E6">
        <w:rPr>
          <w:rFonts w:ascii="Times New Roman" w:hAnsi="Times New Roman"/>
          <w:i/>
        </w:rPr>
        <w:t xml:space="preserve">ulaganja </w:t>
      </w:r>
      <w:r w:rsidRPr="006414E6">
        <w:rPr>
          <w:rFonts w:ascii="Times New Roman" w:hAnsi="Times New Roman"/>
          <w:i/>
        </w:rPr>
        <w:t xml:space="preserve">u razdoblju od 2031. do 2050. godine za tranziciju prema </w:t>
      </w:r>
      <w:proofErr w:type="spellStart"/>
      <w:r w:rsidRPr="006414E6">
        <w:rPr>
          <w:rFonts w:ascii="Times New Roman" w:hAnsi="Times New Roman"/>
          <w:i/>
        </w:rPr>
        <w:t>niskougljičnom</w:t>
      </w:r>
      <w:proofErr w:type="spellEnd"/>
      <w:r w:rsidRPr="006414E6">
        <w:rPr>
          <w:rFonts w:ascii="Times New Roman" w:hAnsi="Times New Roman"/>
          <w:i/>
        </w:rPr>
        <w:t xml:space="preserve"> gospodarstvu</w:t>
      </w:r>
      <w:bookmarkEnd w:id="298"/>
    </w:p>
    <w:p w14:paraId="005251C6" w14:textId="77777777" w:rsidR="000D7054" w:rsidRPr="006414E6" w:rsidRDefault="000D7054" w:rsidP="00F415A7">
      <w:pPr>
        <w:pStyle w:val="Heading2"/>
      </w:pPr>
      <w:bookmarkStart w:id="299" w:name="_Toc39133311"/>
      <w:r w:rsidRPr="006414E6">
        <w:t xml:space="preserve">7.2. </w:t>
      </w:r>
      <w:r w:rsidRPr="006414E6">
        <w:tab/>
        <w:t>IZVORI FINANCIRANJA</w:t>
      </w:r>
      <w:bookmarkEnd w:id="297"/>
      <w:bookmarkEnd w:id="299"/>
    </w:p>
    <w:p w14:paraId="3762F677" w14:textId="77777777" w:rsidR="000D7054" w:rsidRPr="006414E6" w:rsidRDefault="000D7054" w:rsidP="00350F7A">
      <w:pPr>
        <w:spacing w:line="240" w:lineRule="auto"/>
        <w:rPr>
          <w:rFonts w:cs="Times New Roman"/>
        </w:rPr>
      </w:pPr>
      <w:r w:rsidRPr="006414E6">
        <w:rPr>
          <w:rFonts w:cs="Times New Roman"/>
        </w:rPr>
        <w:t>Okvir za financiranje mjera u priličnoj mjeri već postoji, u smislu mogućih izvora financiranja</w:t>
      </w:r>
      <w:r w:rsidR="00B60964" w:rsidRPr="006414E6">
        <w:rPr>
          <w:rFonts w:cs="Times New Roman"/>
        </w:rPr>
        <w:t>, s time što on vrijedi za razdoblje do 2030. godine. Nakon 2030. godine, kako postaje sve dublja primjena mjera i trošak znatno raste, bit</w:t>
      </w:r>
      <w:r w:rsidR="00541B6D" w:rsidRPr="006414E6">
        <w:rPr>
          <w:rFonts w:cs="Times New Roman"/>
        </w:rPr>
        <w:t xml:space="preserve"> će</w:t>
      </w:r>
      <w:r w:rsidR="00B60964" w:rsidRPr="006414E6">
        <w:rPr>
          <w:rFonts w:cs="Times New Roman"/>
        </w:rPr>
        <w:t xml:space="preserve"> potrebno osigurati široki spektar izvora financiranja.</w:t>
      </w:r>
    </w:p>
    <w:p w14:paraId="1A6632DE" w14:textId="77777777" w:rsidR="0060442D" w:rsidRPr="006414E6" w:rsidRDefault="000D7054" w:rsidP="00350F7A">
      <w:r w:rsidRPr="006414E6">
        <w:t xml:space="preserve">Kao i u proteklom razdoblju, </w:t>
      </w:r>
      <w:r w:rsidR="004D1F2E" w:rsidRPr="006414E6">
        <w:t>očekuje se da će i</w:t>
      </w:r>
      <w:r w:rsidRPr="006414E6">
        <w:t xml:space="preserve"> dalje glavni izvor financiranja biti </w:t>
      </w:r>
      <w:r w:rsidR="00A30E25" w:rsidRPr="006414E6">
        <w:t>s</w:t>
      </w:r>
      <w:r w:rsidR="00F17E39" w:rsidRPr="006414E6">
        <w:t xml:space="preserve">redstva </w:t>
      </w:r>
      <w:r w:rsidR="00F17E39" w:rsidRPr="006414E6">
        <w:rPr>
          <w:b/>
          <w:bCs/>
        </w:rPr>
        <w:t>Europskih strukturnih i investicijskih fondova (ESI)</w:t>
      </w:r>
      <w:r w:rsidR="00F17E39" w:rsidRPr="006414E6">
        <w:t xml:space="preserve"> </w:t>
      </w:r>
      <w:r w:rsidRPr="006414E6">
        <w:t xml:space="preserve">i </w:t>
      </w:r>
      <w:r w:rsidRPr="006414E6">
        <w:rPr>
          <w:b/>
          <w:bCs/>
        </w:rPr>
        <w:t>sredstva prikupljena na dražbi emisijskih jedinica CO</w:t>
      </w:r>
      <w:r w:rsidRPr="006414E6">
        <w:rPr>
          <w:b/>
          <w:bCs/>
          <w:vertAlign w:val="subscript"/>
        </w:rPr>
        <w:t>2</w:t>
      </w:r>
      <w:r w:rsidRPr="006414E6">
        <w:t xml:space="preserve">. Uz to, </w:t>
      </w:r>
      <w:r w:rsidR="0060442D" w:rsidRPr="006414E6">
        <w:t xml:space="preserve">glavni izvori financiranja biti će: </w:t>
      </w:r>
    </w:p>
    <w:p w14:paraId="4B009D2C" w14:textId="77777777" w:rsidR="00C85E67" w:rsidRPr="006414E6" w:rsidRDefault="00C85E67" w:rsidP="0060442D">
      <w:pPr>
        <w:numPr>
          <w:ilvl w:val="0"/>
          <w:numId w:val="81"/>
        </w:numPr>
        <w:contextualSpacing/>
        <w:rPr>
          <w:rFonts w:cs="Times New Roman"/>
          <w:b/>
          <w:bCs/>
        </w:rPr>
      </w:pPr>
      <w:r w:rsidRPr="006414E6">
        <w:rPr>
          <w:rFonts w:cs="Times New Roman"/>
          <w:b/>
          <w:bCs/>
        </w:rPr>
        <w:t xml:space="preserve">EU fondovi </w:t>
      </w:r>
    </w:p>
    <w:p w14:paraId="719A85E9" w14:textId="77777777" w:rsidR="0060442D" w:rsidRPr="006414E6" w:rsidRDefault="0060442D" w:rsidP="006B211F">
      <w:pPr>
        <w:numPr>
          <w:ilvl w:val="1"/>
          <w:numId w:val="85"/>
        </w:numPr>
        <w:ind w:left="1071" w:hanging="357"/>
        <w:contextualSpacing/>
        <w:rPr>
          <w:rFonts w:cs="Times New Roman"/>
        </w:rPr>
      </w:pPr>
      <w:r w:rsidRPr="006414E6">
        <w:rPr>
          <w:rFonts w:cs="Times New Roman"/>
        </w:rPr>
        <w:t xml:space="preserve">Fond za modernizaciju, iz dražbovne kvote ETS-a </w:t>
      </w:r>
    </w:p>
    <w:p w14:paraId="50102F2F" w14:textId="77777777" w:rsidR="0060442D" w:rsidRPr="006414E6" w:rsidRDefault="0060442D" w:rsidP="006B211F">
      <w:pPr>
        <w:numPr>
          <w:ilvl w:val="1"/>
          <w:numId w:val="85"/>
        </w:numPr>
        <w:ind w:left="1071" w:hanging="357"/>
        <w:contextualSpacing/>
        <w:rPr>
          <w:rFonts w:cs="Times New Roman"/>
        </w:rPr>
      </w:pPr>
      <w:r w:rsidRPr="006414E6">
        <w:rPr>
          <w:rFonts w:cs="Times New Roman"/>
        </w:rPr>
        <w:t>Fond za inovacije, iz dražbovne kvote ETS-a</w:t>
      </w:r>
    </w:p>
    <w:p w14:paraId="17EEFB83" w14:textId="77777777" w:rsidR="0060442D" w:rsidRPr="006414E6" w:rsidRDefault="0060442D" w:rsidP="00350F7A">
      <w:pPr>
        <w:numPr>
          <w:ilvl w:val="1"/>
          <w:numId w:val="85"/>
        </w:numPr>
        <w:ind w:left="1071" w:hanging="357"/>
        <w:contextualSpacing/>
        <w:rPr>
          <w:rFonts w:cs="Times New Roman"/>
        </w:rPr>
      </w:pPr>
      <w:r w:rsidRPr="006414E6">
        <w:rPr>
          <w:rFonts w:cs="Times New Roman"/>
        </w:rPr>
        <w:t>Fond za povezivanje Europe (</w:t>
      </w:r>
      <w:proofErr w:type="spellStart"/>
      <w:r w:rsidRPr="006414E6">
        <w:rPr>
          <w:rFonts w:cs="Times New Roman"/>
        </w:rPr>
        <w:t>Connecting</w:t>
      </w:r>
      <w:proofErr w:type="spellEnd"/>
      <w:r w:rsidRPr="006414E6">
        <w:rPr>
          <w:rFonts w:cs="Times New Roman"/>
        </w:rPr>
        <w:t xml:space="preserve"> Europe </w:t>
      </w:r>
      <w:proofErr w:type="spellStart"/>
      <w:r w:rsidRPr="006414E6">
        <w:rPr>
          <w:rFonts w:cs="Times New Roman"/>
        </w:rPr>
        <w:t>Facility</w:t>
      </w:r>
      <w:proofErr w:type="spellEnd"/>
      <w:r w:rsidRPr="006414E6">
        <w:rPr>
          <w:rFonts w:cs="Times New Roman"/>
        </w:rPr>
        <w:t>)</w:t>
      </w:r>
    </w:p>
    <w:p w14:paraId="46339779" w14:textId="77777777" w:rsidR="0060442D" w:rsidRPr="006414E6" w:rsidRDefault="0060442D" w:rsidP="00350F7A">
      <w:pPr>
        <w:numPr>
          <w:ilvl w:val="1"/>
          <w:numId w:val="85"/>
        </w:numPr>
        <w:ind w:left="1071" w:hanging="357"/>
        <w:contextualSpacing/>
        <w:rPr>
          <w:rFonts w:cs="Times New Roman"/>
        </w:rPr>
      </w:pPr>
      <w:r w:rsidRPr="006414E6">
        <w:rPr>
          <w:rFonts w:cs="Times New Roman"/>
        </w:rPr>
        <w:t xml:space="preserve">Europski fond za strateška ulaganja (EFSU) </w:t>
      </w:r>
    </w:p>
    <w:p w14:paraId="61E4AEB4" w14:textId="77777777" w:rsidR="00291539" w:rsidRPr="006414E6" w:rsidRDefault="0060442D" w:rsidP="00350F7A">
      <w:pPr>
        <w:numPr>
          <w:ilvl w:val="1"/>
          <w:numId w:val="85"/>
        </w:numPr>
        <w:ind w:left="1071" w:hanging="357"/>
        <w:contextualSpacing/>
        <w:rPr>
          <w:rFonts w:cs="Times New Roman"/>
        </w:rPr>
      </w:pPr>
      <w:r w:rsidRPr="006414E6">
        <w:rPr>
          <w:rFonts w:cs="Times New Roman"/>
        </w:rPr>
        <w:t>Europski energetski program za oporavak (EEPR) i Europski fond za energetsku učinkovitost (EEEF)</w:t>
      </w:r>
    </w:p>
    <w:p w14:paraId="4446D05A" w14:textId="7F3AD750" w:rsidR="0060442D" w:rsidRPr="006414E6" w:rsidRDefault="00291539" w:rsidP="00350F7A">
      <w:pPr>
        <w:numPr>
          <w:ilvl w:val="1"/>
          <w:numId w:val="85"/>
        </w:numPr>
        <w:ind w:left="1071" w:hanging="357"/>
        <w:contextualSpacing/>
        <w:rPr>
          <w:rFonts w:cs="Times New Roman"/>
        </w:rPr>
      </w:pPr>
      <w:r w:rsidRPr="006414E6">
        <w:rPr>
          <w:rFonts w:cs="Times New Roman"/>
        </w:rPr>
        <w:t>Europski socijalni fond (ESF)</w:t>
      </w:r>
      <w:r w:rsidR="00B22A40" w:rsidRPr="006414E6">
        <w:rPr>
          <w:rFonts w:cs="Times New Roman"/>
        </w:rPr>
        <w:t xml:space="preserve"> i Europski socijalni fond plus (ESF+)</w:t>
      </w:r>
    </w:p>
    <w:p w14:paraId="0F630310" w14:textId="62E8FA11" w:rsidR="003512AC" w:rsidRPr="006414E6" w:rsidRDefault="001932C5" w:rsidP="00350F7A">
      <w:pPr>
        <w:numPr>
          <w:ilvl w:val="1"/>
          <w:numId w:val="85"/>
        </w:numPr>
        <w:ind w:left="1071" w:hanging="357"/>
        <w:contextualSpacing/>
        <w:rPr>
          <w:rFonts w:cs="Times New Roman"/>
        </w:rPr>
      </w:pPr>
      <w:r w:rsidRPr="006414E6">
        <w:rPr>
          <w:rFonts w:cs="Times New Roman"/>
        </w:rPr>
        <w:t>Europski fond za pomorstvo i ribarstvo (EFPR)</w:t>
      </w:r>
    </w:p>
    <w:p w14:paraId="22BE38B0" w14:textId="6C61AEB7" w:rsidR="00D85E6F" w:rsidRPr="006414E6" w:rsidRDefault="00D85E6F" w:rsidP="00D85E6F">
      <w:pPr>
        <w:pStyle w:val="ListParagraph"/>
        <w:numPr>
          <w:ilvl w:val="1"/>
          <w:numId w:val="85"/>
        </w:numPr>
        <w:ind w:left="1071" w:hanging="357"/>
        <w:rPr>
          <w:rFonts w:cs="Times New Roman"/>
        </w:rPr>
      </w:pPr>
      <w:r w:rsidRPr="006414E6">
        <w:rPr>
          <w:rFonts w:cs="Times New Roman"/>
        </w:rPr>
        <w:t>Europski fond za regionalni razvoj (EFRR)</w:t>
      </w:r>
    </w:p>
    <w:p w14:paraId="7A789D96" w14:textId="778AD2BE" w:rsidR="00D85E6F" w:rsidRPr="006414E6" w:rsidRDefault="00D85E6F" w:rsidP="00D85E6F">
      <w:pPr>
        <w:pStyle w:val="ListParagraph"/>
        <w:numPr>
          <w:ilvl w:val="1"/>
          <w:numId w:val="85"/>
        </w:numPr>
        <w:ind w:left="1071" w:hanging="357"/>
        <w:rPr>
          <w:rFonts w:cs="Times New Roman"/>
        </w:rPr>
      </w:pPr>
      <w:r w:rsidRPr="006414E6">
        <w:rPr>
          <w:rFonts w:cs="Times New Roman"/>
        </w:rPr>
        <w:t>Europski poljoprivredni fond za ruralni razvoj (EPFRR)</w:t>
      </w:r>
    </w:p>
    <w:p w14:paraId="6BB3ECE7" w14:textId="77777777" w:rsidR="0060442D" w:rsidRPr="006414E6" w:rsidRDefault="0060442D" w:rsidP="006B211F">
      <w:pPr>
        <w:pStyle w:val="ListParagraph"/>
        <w:numPr>
          <w:ilvl w:val="1"/>
          <w:numId w:val="85"/>
        </w:numPr>
        <w:ind w:left="1071" w:hanging="357"/>
        <w:rPr>
          <w:rFonts w:cs="Times New Roman"/>
        </w:rPr>
      </w:pPr>
      <w:r w:rsidRPr="006414E6">
        <w:rPr>
          <w:rFonts w:cs="Times New Roman"/>
        </w:rPr>
        <w:t>Obzor 2020 i Obzor Europa</w:t>
      </w:r>
    </w:p>
    <w:p w14:paraId="70943C72" w14:textId="77777777" w:rsidR="0060442D" w:rsidRPr="006414E6" w:rsidRDefault="0060442D" w:rsidP="002E4854">
      <w:pPr>
        <w:pStyle w:val="ListParagraph"/>
        <w:numPr>
          <w:ilvl w:val="1"/>
          <w:numId w:val="85"/>
        </w:numPr>
        <w:ind w:left="1072" w:hanging="357"/>
        <w:rPr>
          <w:rFonts w:cs="Times New Roman"/>
        </w:rPr>
      </w:pPr>
      <w:r w:rsidRPr="006414E6">
        <w:rPr>
          <w:rFonts w:cs="Times New Roman"/>
        </w:rPr>
        <w:t>LIFE program</w:t>
      </w:r>
    </w:p>
    <w:p w14:paraId="04104576" w14:textId="77777777" w:rsidR="0060442D" w:rsidRPr="006414E6" w:rsidRDefault="0060442D" w:rsidP="002E4854">
      <w:pPr>
        <w:pStyle w:val="ListParagraph"/>
        <w:numPr>
          <w:ilvl w:val="1"/>
          <w:numId w:val="85"/>
        </w:numPr>
        <w:ind w:left="1072" w:hanging="357"/>
        <w:rPr>
          <w:rFonts w:cs="Times New Roman"/>
        </w:rPr>
      </w:pPr>
      <w:proofErr w:type="spellStart"/>
      <w:r w:rsidRPr="006414E6">
        <w:rPr>
          <w:rFonts w:cs="Times New Roman"/>
        </w:rPr>
        <w:t>Interreg</w:t>
      </w:r>
      <w:proofErr w:type="spellEnd"/>
      <w:r w:rsidRPr="006414E6">
        <w:rPr>
          <w:rFonts w:cs="Times New Roman"/>
        </w:rPr>
        <w:t>: Europska teritorijalna suradnja (ETC)</w:t>
      </w:r>
    </w:p>
    <w:p w14:paraId="25DA05F9" w14:textId="77777777" w:rsidR="00C85E67" w:rsidRPr="006414E6" w:rsidRDefault="00C85E67" w:rsidP="00350F7A">
      <w:pPr>
        <w:pStyle w:val="ListParagraph"/>
        <w:numPr>
          <w:ilvl w:val="0"/>
          <w:numId w:val="81"/>
        </w:numPr>
        <w:rPr>
          <w:rFonts w:cs="Times New Roman"/>
          <w:b/>
          <w:bCs/>
        </w:rPr>
      </w:pPr>
      <w:r w:rsidRPr="006414E6">
        <w:rPr>
          <w:rFonts w:cs="Times New Roman"/>
          <w:b/>
          <w:bCs/>
        </w:rPr>
        <w:t xml:space="preserve">Nacionalni mehanizmi financiranja </w:t>
      </w:r>
    </w:p>
    <w:p w14:paraId="3823ECC3" w14:textId="77777777" w:rsidR="0060442D" w:rsidRPr="006414E6" w:rsidRDefault="0060442D" w:rsidP="00350F7A">
      <w:pPr>
        <w:numPr>
          <w:ilvl w:val="1"/>
          <w:numId w:val="85"/>
        </w:numPr>
        <w:ind w:left="1071" w:hanging="357"/>
        <w:contextualSpacing/>
        <w:rPr>
          <w:rFonts w:cs="Times New Roman"/>
        </w:rPr>
      </w:pPr>
      <w:r w:rsidRPr="006414E6">
        <w:rPr>
          <w:rFonts w:cs="Times New Roman"/>
        </w:rPr>
        <w:t>Proračun Republike Hrvatske</w:t>
      </w:r>
    </w:p>
    <w:p w14:paraId="553EBD5F" w14:textId="77777777" w:rsidR="0060442D" w:rsidRPr="006414E6" w:rsidRDefault="0060442D" w:rsidP="00350F7A">
      <w:pPr>
        <w:numPr>
          <w:ilvl w:val="1"/>
          <w:numId w:val="85"/>
        </w:numPr>
        <w:ind w:left="1071" w:hanging="357"/>
        <w:contextualSpacing/>
        <w:rPr>
          <w:rFonts w:cs="Times New Roman"/>
        </w:rPr>
      </w:pPr>
      <w:r w:rsidRPr="006414E6">
        <w:rPr>
          <w:rFonts w:cs="Times New Roman"/>
        </w:rPr>
        <w:t>Financiranje provedbe mjera na osnov</w:t>
      </w:r>
      <w:r w:rsidR="005F43E1" w:rsidRPr="006414E6">
        <w:rPr>
          <w:rFonts w:cs="Times New Roman"/>
        </w:rPr>
        <w:t>i</w:t>
      </w:r>
      <w:r w:rsidRPr="006414E6">
        <w:rPr>
          <w:rFonts w:cs="Times New Roman"/>
        </w:rPr>
        <w:t xml:space="preserve"> sustava obveze energetske učinkovitosti sukladno Direktivi 2012/27/EU o energetskoj učinkovitosti </w:t>
      </w:r>
    </w:p>
    <w:p w14:paraId="62F3B8C1" w14:textId="77777777" w:rsidR="0060442D" w:rsidRPr="006414E6" w:rsidRDefault="0060442D" w:rsidP="00350F7A">
      <w:pPr>
        <w:numPr>
          <w:ilvl w:val="1"/>
          <w:numId w:val="85"/>
        </w:numPr>
        <w:ind w:left="1071" w:hanging="357"/>
        <w:contextualSpacing/>
        <w:rPr>
          <w:rFonts w:cs="Times New Roman"/>
        </w:rPr>
      </w:pPr>
      <w:r w:rsidRPr="006414E6">
        <w:rPr>
          <w:rFonts w:cs="Times New Roman"/>
        </w:rPr>
        <w:t>Naknada za emisije CO</w:t>
      </w:r>
      <w:r w:rsidRPr="00350F7A">
        <w:rPr>
          <w:rFonts w:cs="Times New Roman"/>
        </w:rPr>
        <w:t>2</w:t>
      </w:r>
    </w:p>
    <w:p w14:paraId="3B03BCC0" w14:textId="77777777" w:rsidR="0060442D" w:rsidRPr="006414E6" w:rsidRDefault="0060442D" w:rsidP="006B211F">
      <w:pPr>
        <w:pStyle w:val="ListParagraph"/>
        <w:numPr>
          <w:ilvl w:val="1"/>
          <w:numId w:val="86"/>
        </w:numPr>
        <w:ind w:left="1071" w:hanging="357"/>
        <w:rPr>
          <w:rFonts w:cs="Times New Roman"/>
        </w:rPr>
      </w:pPr>
      <w:r w:rsidRPr="006414E6">
        <w:rPr>
          <w:rFonts w:cs="Times New Roman"/>
        </w:rPr>
        <w:t xml:space="preserve">Naknada za proizvodnju električne energije iz obnovljivih izvora energije </w:t>
      </w:r>
    </w:p>
    <w:p w14:paraId="7F60B683" w14:textId="77777777" w:rsidR="00C85E67" w:rsidRPr="006414E6" w:rsidRDefault="00C85E67" w:rsidP="0060442D">
      <w:pPr>
        <w:pStyle w:val="ListParagraph"/>
        <w:numPr>
          <w:ilvl w:val="0"/>
          <w:numId w:val="81"/>
        </w:numPr>
        <w:rPr>
          <w:rFonts w:cs="Times New Roman"/>
        </w:rPr>
      </w:pPr>
      <w:r w:rsidRPr="006414E6">
        <w:rPr>
          <w:rFonts w:cs="Times New Roman"/>
          <w:b/>
          <w:bCs/>
        </w:rPr>
        <w:t>Krediti i inovativni modeli financiranja</w:t>
      </w:r>
    </w:p>
    <w:p w14:paraId="3C46B4B4" w14:textId="77777777" w:rsidR="0060442D" w:rsidRPr="006414E6" w:rsidRDefault="00E3347F" w:rsidP="006B211F">
      <w:pPr>
        <w:pStyle w:val="ListParagraph"/>
        <w:numPr>
          <w:ilvl w:val="1"/>
          <w:numId w:val="87"/>
        </w:numPr>
        <w:ind w:left="1071" w:hanging="357"/>
        <w:rPr>
          <w:rFonts w:cs="Times New Roman"/>
        </w:rPr>
      </w:pPr>
      <w:r w:rsidRPr="006414E6">
        <w:rPr>
          <w:rFonts w:cs="Times New Roman"/>
        </w:rPr>
        <w:lastRenderedPageBreak/>
        <w:t>K</w:t>
      </w:r>
      <w:r w:rsidR="0060442D" w:rsidRPr="006414E6">
        <w:rPr>
          <w:rFonts w:cs="Times New Roman"/>
        </w:rPr>
        <w:t>reditne linije poslovnih banaka</w:t>
      </w:r>
    </w:p>
    <w:p w14:paraId="7F8F33A1" w14:textId="77777777" w:rsidR="0060442D" w:rsidRPr="006414E6" w:rsidRDefault="0060442D" w:rsidP="00C85E67">
      <w:pPr>
        <w:pStyle w:val="ListParagraph"/>
        <w:numPr>
          <w:ilvl w:val="1"/>
          <w:numId w:val="87"/>
        </w:numPr>
        <w:ind w:left="1071" w:hanging="357"/>
        <w:rPr>
          <w:rFonts w:cs="Times New Roman"/>
        </w:rPr>
      </w:pPr>
      <w:r w:rsidRPr="006414E6">
        <w:rPr>
          <w:rFonts w:cs="Times New Roman"/>
        </w:rPr>
        <w:t>ESCO modeli financiranja</w:t>
      </w:r>
    </w:p>
    <w:p w14:paraId="33BCAA50" w14:textId="77777777" w:rsidR="00C85E67" w:rsidRPr="006414E6" w:rsidRDefault="00E3347F" w:rsidP="006B211F">
      <w:pPr>
        <w:pStyle w:val="ListParagraph"/>
        <w:numPr>
          <w:ilvl w:val="1"/>
          <w:numId w:val="87"/>
        </w:numPr>
        <w:ind w:left="1071" w:hanging="357"/>
        <w:rPr>
          <w:rFonts w:cs="Times New Roman"/>
        </w:rPr>
      </w:pPr>
      <w:r w:rsidRPr="006414E6">
        <w:rPr>
          <w:rFonts w:cs="Times New Roman"/>
        </w:rPr>
        <w:t>G</w:t>
      </w:r>
      <w:r w:rsidR="00C85E67" w:rsidRPr="006414E6">
        <w:rPr>
          <w:rFonts w:cs="Times New Roman"/>
        </w:rPr>
        <w:t>rupno financiranje.</w:t>
      </w:r>
    </w:p>
    <w:p w14:paraId="62771DC2" w14:textId="3AF5C61D" w:rsidR="000D7054" w:rsidRPr="006414E6" w:rsidRDefault="004872B1" w:rsidP="006B211F">
      <w:pPr>
        <w:spacing w:line="240" w:lineRule="auto"/>
        <w:rPr>
          <w:rFonts w:cs="Times New Roman"/>
        </w:rPr>
      </w:pPr>
      <w:r w:rsidRPr="006414E6">
        <w:rPr>
          <w:rFonts w:cs="Times New Roman"/>
        </w:rPr>
        <w:t xml:space="preserve">Važno </w:t>
      </w:r>
      <w:r w:rsidR="000D7054" w:rsidRPr="006414E6">
        <w:rPr>
          <w:rFonts w:cs="Times New Roman"/>
        </w:rPr>
        <w:t>pitanje je kako će Republika Hrvatska programirati sredstva iz ESI fondova</w:t>
      </w:r>
      <w:r w:rsidR="00541B6D" w:rsidRPr="006414E6">
        <w:rPr>
          <w:rFonts w:cs="Times New Roman"/>
        </w:rPr>
        <w:t xml:space="preserve"> od 2021. godine na dalje</w:t>
      </w:r>
      <w:r w:rsidR="000D7054" w:rsidRPr="006414E6">
        <w:rPr>
          <w:rFonts w:cs="Times New Roman"/>
        </w:rPr>
        <w:t>, koliko će biti namijenjeno klimatskim aktivnostima te kakva će biti raspodjela između mjera za ublažavanje klimatskih promjena i mjera za prilagodbu klimatskim promjenama. Republika Hrvatska je u razdoblju financiranja od 2014. do 2020. godin</w:t>
      </w:r>
      <w:r w:rsidR="004D1F2E" w:rsidRPr="006414E6">
        <w:rPr>
          <w:rFonts w:cs="Times New Roman"/>
        </w:rPr>
        <w:t>e</w:t>
      </w:r>
      <w:r w:rsidR="000D7054" w:rsidRPr="006414E6">
        <w:rPr>
          <w:rFonts w:cs="Times New Roman"/>
        </w:rPr>
        <w:t xml:space="preserve"> raspodijelila klimatskim aktivnostima 20,</w:t>
      </w:r>
      <w:r w:rsidR="006D31EC" w:rsidRPr="006414E6">
        <w:rPr>
          <w:rFonts w:cs="Times New Roman"/>
        </w:rPr>
        <w:t>4</w:t>
      </w:r>
      <w:r w:rsidR="000D7054" w:rsidRPr="006414E6">
        <w:rPr>
          <w:rFonts w:cs="Times New Roman"/>
        </w:rPr>
        <w:t>% od ukupnih sredstava</w:t>
      </w:r>
      <w:r w:rsidR="004D1F2E" w:rsidRPr="006414E6">
        <w:rPr>
          <w:rFonts w:cs="Times New Roman"/>
        </w:rPr>
        <w:t>.</w:t>
      </w:r>
      <w:r w:rsidR="00B50491" w:rsidRPr="006414E6">
        <w:rPr>
          <w:rFonts w:cs="Times New Roman"/>
        </w:rPr>
        <w:t xml:space="preserve"> (2,18 milijardi EUR).</w:t>
      </w:r>
      <w:r w:rsidR="004D1F2E" w:rsidRPr="006414E6">
        <w:rPr>
          <w:rFonts w:cs="Times New Roman"/>
        </w:rPr>
        <w:t xml:space="preserve"> </w:t>
      </w:r>
      <w:r w:rsidR="006231A3" w:rsidRPr="006414E6">
        <w:rPr>
          <w:rFonts w:cs="Times New Roman"/>
        </w:rPr>
        <w:t xml:space="preserve">Na razini EU, u okviru ESI fondova, </w:t>
      </w:r>
      <w:r w:rsidR="00541B6D" w:rsidRPr="006414E6">
        <w:rPr>
          <w:rFonts w:cs="Times New Roman"/>
        </w:rPr>
        <w:t xml:space="preserve">u ovom razdoblju </w:t>
      </w:r>
      <w:r w:rsidR="006231A3" w:rsidRPr="006414E6">
        <w:rPr>
          <w:rFonts w:cs="Times New Roman"/>
        </w:rPr>
        <w:t xml:space="preserve">ulaganja u klimatske aktivnosti iznose 25,1%. Ako se analizira raspodjela ESI fondova na ublažavanje i prilagodbu na razini EU 28, 11,2% je za ublažavanje, 3,1% za prilagodbu i 10,5% za ublažavanje i/ili prilagodbu. </w:t>
      </w:r>
      <w:r w:rsidR="000D7054" w:rsidRPr="006414E6">
        <w:rPr>
          <w:rFonts w:cs="Times New Roman"/>
        </w:rPr>
        <w:t xml:space="preserve">U </w:t>
      </w:r>
      <w:r w:rsidR="00541B6D" w:rsidRPr="006414E6">
        <w:rPr>
          <w:rFonts w:cs="Times New Roman"/>
        </w:rPr>
        <w:t xml:space="preserve">Republici </w:t>
      </w:r>
      <w:r w:rsidR="000D7054" w:rsidRPr="006414E6">
        <w:rPr>
          <w:rFonts w:cs="Times New Roman"/>
        </w:rPr>
        <w:t>Hrvatskoj je raspodjela do 2020. godine</w:t>
      </w:r>
      <w:r w:rsidR="00F17E39" w:rsidRPr="006414E6">
        <w:rPr>
          <w:rFonts w:cs="Times New Roman"/>
        </w:rPr>
        <w:t xml:space="preserve"> sljedeća:</w:t>
      </w:r>
      <w:r w:rsidR="000D7054" w:rsidRPr="006414E6">
        <w:rPr>
          <w:rFonts w:cs="Times New Roman"/>
        </w:rPr>
        <w:t xml:space="preserve"> 7,1% za ublažavanje, 4,7% za prilagodbu i 8,8%</w:t>
      </w:r>
      <w:r w:rsidR="00AC2755" w:rsidRPr="006414E6">
        <w:rPr>
          <w:rFonts w:cs="Times New Roman"/>
        </w:rPr>
        <w:t xml:space="preserve"> ublažavanje i/ili prilagodbu. </w:t>
      </w:r>
    </w:p>
    <w:p w14:paraId="1A077F86" w14:textId="77777777" w:rsidR="00541B6D" w:rsidRPr="006414E6" w:rsidRDefault="00BE516B" w:rsidP="006B211F">
      <w:pPr>
        <w:spacing w:line="240" w:lineRule="auto"/>
        <w:rPr>
          <w:rFonts w:cs="Times New Roman"/>
        </w:rPr>
      </w:pPr>
      <w:proofErr w:type="spellStart"/>
      <w:r w:rsidRPr="006414E6">
        <w:rPr>
          <w:rFonts w:cs="Times New Roman"/>
          <w:b/>
        </w:rPr>
        <w:t>Niskougljična</w:t>
      </w:r>
      <w:proofErr w:type="spellEnd"/>
      <w:r w:rsidRPr="006414E6">
        <w:rPr>
          <w:rFonts w:cs="Times New Roman"/>
          <w:b/>
        </w:rPr>
        <w:t xml:space="preserve"> strategija predviđa da će za provođenje</w:t>
      </w:r>
      <w:r w:rsidR="007167AE" w:rsidRPr="006414E6">
        <w:rPr>
          <w:rFonts w:cs="Times New Roman"/>
          <w:b/>
        </w:rPr>
        <w:t xml:space="preserve"> mjera</w:t>
      </w:r>
      <w:r w:rsidRPr="006414E6">
        <w:rPr>
          <w:rFonts w:cs="Times New Roman"/>
          <w:b/>
        </w:rPr>
        <w:t xml:space="preserve"> </w:t>
      </w:r>
      <w:r w:rsidR="00943D87" w:rsidRPr="006414E6">
        <w:rPr>
          <w:rFonts w:cs="Times New Roman"/>
          <w:b/>
        </w:rPr>
        <w:t xml:space="preserve">dugoročno </w:t>
      </w:r>
      <w:r w:rsidRPr="006414E6">
        <w:rPr>
          <w:rFonts w:cs="Times New Roman"/>
          <w:b/>
        </w:rPr>
        <w:t>biti potrebno osigurati dodatna sredstva uvođenjem naknada na emisije za sve djelatnosti koje imaju emisije stakleničkih plinova, to se odnosi i na potrošnju fosilnih goriva za toplinske potrebe u kućanstvima, uslužnoj djelatnosti i prometu.</w:t>
      </w:r>
      <w:r w:rsidR="006D39B1" w:rsidRPr="006414E6">
        <w:rPr>
          <w:rFonts w:cs="Times New Roman"/>
          <w:b/>
        </w:rPr>
        <w:t xml:space="preserve"> </w:t>
      </w:r>
      <w:r w:rsidR="006D39B1" w:rsidRPr="006414E6">
        <w:rPr>
          <w:rFonts w:cs="Times New Roman"/>
        </w:rPr>
        <w:t>Ovu mjeru predvidio je i novi Europski zeleni plan iz 2019.</w:t>
      </w:r>
      <w:r w:rsidR="006F570A" w:rsidRPr="006414E6">
        <w:rPr>
          <w:rFonts w:cs="Times New Roman"/>
        </w:rPr>
        <w:t xml:space="preserve"> godine</w:t>
      </w:r>
      <w:r w:rsidR="006D39B1" w:rsidRPr="006414E6">
        <w:rPr>
          <w:rFonts w:cs="Times New Roman"/>
        </w:rPr>
        <w:t>, kao mogući dodatni izvor financiranja klimatske politike</w:t>
      </w:r>
      <w:r w:rsidR="00747CF6" w:rsidRPr="006414E6">
        <w:rPr>
          <w:rFonts w:cs="Times New Roman"/>
        </w:rPr>
        <w:t xml:space="preserve"> na razini EU</w:t>
      </w:r>
      <w:r w:rsidR="006D39B1" w:rsidRPr="006414E6">
        <w:rPr>
          <w:rFonts w:cs="Times New Roman"/>
        </w:rPr>
        <w:t>, čime bi se financiranje ravnopravnije raspodijelilo na sve dionike.</w:t>
      </w:r>
    </w:p>
    <w:p w14:paraId="111703C1" w14:textId="77777777" w:rsidR="000D7054" w:rsidRPr="006414E6" w:rsidRDefault="000D7054" w:rsidP="00350F7A">
      <w:pPr>
        <w:rPr>
          <w:rFonts w:cs="Times New Roman"/>
          <w:u w:val="single"/>
        </w:rPr>
      </w:pPr>
      <w:r w:rsidRPr="006414E6">
        <w:rPr>
          <w:rFonts w:cs="Times New Roman"/>
          <w:u w:val="single"/>
        </w:rPr>
        <w:t>Prihodi od prodaje emisijskih jedinica na dražbama ETS-a</w:t>
      </w:r>
    </w:p>
    <w:p w14:paraId="4B895783" w14:textId="77777777" w:rsidR="00427BAD" w:rsidRPr="006414E6" w:rsidRDefault="000D7054" w:rsidP="00350F7A">
      <w:pPr>
        <w:rPr>
          <w:rFonts w:cs="Times New Roman"/>
        </w:rPr>
      </w:pPr>
      <w:r w:rsidRPr="006414E6">
        <w:rPr>
          <w:rFonts w:cs="Times New Roman"/>
        </w:rPr>
        <w:t xml:space="preserve">Fond za zaštitu okoliša i energetsku učinkovitost (FZOEU) raspolaže sredstvima prikupljenima od dražbi emisijskih jedinica. </w:t>
      </w:r>
      <w:r w:rsidR="00427BAD" w:rsidRPr="006414E6">
        <w:rPr>
          <w:rFonts w:cs="Times New Roman"/>
        </w:rPr>
        <w:t>Prikupljena sredstva namjenski se</w:t>
      </w:r>
      <w:r w:rsidR="00541B6D" w:rsidRPr="006414E6">
        <w:rPr>
          <w:rFonts w:cs="Times New Roman"/>
        </w:rPr>
        <w:t xml:space="preserve"> koriste</w:t>
      </w:r>
      <w:r w:rsidR="00427BAD" w:rsidRPr="006414E6">
        <w:rPr>
          <w:rFonts w:cs="Times New Roman"/>
        </w:rPr>
        <w:t xml:space="preserve"> </w:t>
      </w:r>
      <w:r w:rsidR="00541B6D" w:rsidRPr="006414E6">
        <w:rPr>
          <w:rFonts w:cs="Times New Roman"/>
        </w:rPr>
        <w:t>sukladno Planu korištenja financijskih sredstava dobivenih od prodaje emisijskih jedinica putem dražbi u Republici Hrvatskoj</w:t>
      </w:r>
      <w:r w:rsidR="00E3347F" w:rsidRPr="006414E6">
        <w:rPr>
          <w:rFonts w:cs="Times New Roman"/>
        </w:rPr>
        <w:t xml:space="preserve"> kojeg donosi Vlada Republike Hrvatske te se prikupljena sredstva</w:t>
      </w:r>
      <w:r w:rsidR="00541B6D" w:rsidRPr="006414E6">
        <w:rPr>
          <w:rFonts w:cs="Times New Roman"/>
        </w:rPr>
        <w:t xml:space="preserve"> </w:t>
      </w:r>
      <w:r w:rsidR="00427BAD" w:rsidRPr="006414E6">
        <w:rPr>
          <w:rFonts w:cs="Times New Roman"/>
        </w:rPr>
        <w:t xml:space="preserve">usmjeravaju na financiranje u području </w:t>
      </w:r>
      <w:r w:rsidR="00541B6D" w:rsidRPr="006414E6">
        <w:rPr>
          <w:rFonts w:cs="Times New Roman"/>
        </w:rPr>
        <w:t xml:space="preserve">prometa, </w:t>
      </w:r>
      <w:r w:rsidR="00427BAD" w:rsidRPr="006414E6">
        <w:rPr>
          <w:rFonts w:cs="Times New Roman"/>
        </w:rPr>
        <w:t>energetske učinkovitosti</w:t>
      </w:r>
      <w:r w:rsidR="00E3347F" w:rsidRPr="006414E6">
        <w:rPr>
          <w:rFonts w:cs="Times New Roman"/>
        </w:rPr>
        <w:t>,</w:t>
      </w:r>
      <w:r w:rsidR="00427BAD" w:rsidRPr="006414E6">
        <w:rPr>
          <w:rFonts w:cs="Times New Roman"/>
        </w:rPr>
        <w:t xml:space="preserve"> korištenja obnovljivih izvora energije</w:t>
      </w:r>
      <w:r w:rsidR="00541B6D" w:rsidRPr="006414E6">
        <w:rPr>
          <w:rFonts w:cs="Times New Roman"/>
        </w:rPr>
        <w:t xml:space="preserve"> te drugih mjera koje doprinose smanjenju emisija stakleničkih plinova</w:t>
      </w:r>
      <w:r w:rsidR="00E3347F" w:rsidRPr="006414E6">
        <w:rPr>
          <w:rFonts w:cs="Times New Roman"/>
        </w:rPr>
        <w:t xml:space="preserve"> i prilagodbe klimatskim promjenama</w:t>
      </w:r>
      <w:r w:rsidR="00427BAD" w:rsidRPr="006414E6">
        <w:rPr>
          <w:rFonts w:cs="Times New Roman"/>
        </w:rPr>
        <w:t xml:space="preserve">. </w:t>
      </w:r>
    </w:p>
    <w:p w14:paraId="6405D999" w14:textId="77777777" w:rsidR="00427BAD" w:rsidRPr="006414E6" w:rsidRDefault="00427BAD" w:rsidP="00427BAD">
      <w:pPr>
        <w:rPr>
          <w:rFonts w:cs="Times New Roman"/>
          <w:u w:val="single"/>
        </w:rPr>
      </w:pPr>
      <w:r w:rsidRPr="006414E6">
        <w:rPr>
          <w:rFonts w:cs="Times New Roman"/>
          <w:u w:val="single"/>
        </w:rPr>
        <w:t>Strukturni i investicijski fondovi EU</w:t>
      </w:r>
    </w:p>
    <w:p w14:paraId="0ADC8598" w14:textId="630B4353" w:rsidR="00427BAD" w:rsidRPr="006414E6" w:rsidRDefault="00427BAD" w:rsidP="00427BAD">
      <w:pPr>
        <w:rPr>
          <w:rFonts w:cs="Times New Roman"/>
        </w:rPr>
      </w:pPr>
      <w:r w:rsidRPr="006414E6">
        <w:rPr>
          <w:rFonts w:cs="Times New Roman"/>
        </w:rPr>
        <w:t>Za razdoblje od 2014. do 2020. godine klimatske aktivnosti financiraju se kroz Operativni program konkurentnost i kohezija, kroz Operativni program učinkoviti ljudski resursi, Operativni program Pomorstvo i ribarstvo te Program ruralnog razvoja. Navedeni operativni programi povlače sredstva iz Europskog fonda za regionalni razvoj (E</w:t>
      </w:r>
      <w:r w:rsidR="00D85E6F" w:rsidRPr="006414E6">
        <w:rPr>
          <w:rFonts w:cs="Times New Roman"/>
        </w:rPr>
        <w:t>FRR</w:t>
      </w:r>
      <w:r w:rsidRPr="006414E6">
        <w:rPr>
          <w:rFonts w:cs="Times New Roman"/>
        </w:rPr>
        <w:t>), Europskog poljoprivrednog fonda za ruralni razvoj (E</w:t>
      </w:r>
      <w:r w:rsidR="00D85E6F" w:rsidRPr="006414E6">
        <w:rPr>
          <w:rFonts w:cs="Times New Roman"/>
        </w:rPr>
        <w:t>PFRR</w:t>
      </w:r>
      <w:r w:rsidRPr="006414E6">
        <w:rPr>
          <w:rFonts w:cs="Times New Roman"/>
        </w:rPr>
        <w:t>), Europskog fonda za pomorstvo i ribarstvo (E</w:t>
      </w:r>
      <w:r w:rsidR="00D85E6F" w:rsidRPr="006414E6">
        <w:rPr>
          <w:rFonts w:cs="Times New Roman"/>
        </w:rPr>
        <w:t>FPR</w:t>
      </w:r>
      <w:r w:rsidRPr="006414E6">
        <w:rPr>
          <w:rFonts w:cs="Times New Roman"/>
        </w:rPr>
        <w:t>) i Europskog kohezijskog fonda (</w:t>
      </w:r>
      <w:r w:rsidR="00D85E6F" w:rsidRPr="006414E6">
        <w:rPr>
          <w:rFonts w:cs="Times New Roman"/>
        </w:rPr>
        <w:t>KF</w:t>
      </w:r>
      <w:r w:rsidRPr="006414E6">
        <w:rPr>
          <w:rFonts w:cs="Times New Roman"/>
        </w:rPr>
        <w:t>). Republika Hrvatska u ciklusu  201</w:t>
      </w:r>
      <w:r w:rsidR="00D85E6F" w:rsidRPr="006414E6">
        <w:rPr>
          <w:rFonts w:cs="Times New Roman"/>
        </w:rPr>
        <w:t>4</w:t>
      </w:r>
      <w:r w:rsidRPr="006414E6">
        <w:rPr>
          <w:rFonts w:cs="Times New Roman"/>
        </w:rPr>
        <w:t xml:space="preserve">. do 2020. godine, nije koristila mogućnost financiranja klimatskih aktivnosti iz Europskog socijalnog fonda (ESF), što je većina država EU učinila. </w:t>
      </w:r>
    </w:p>
    <w:p w14:paraId="4D64E75A" w14:textId="19A33510" w:rsidR="00427BAD" w:rsidRPr="006414E6" w:rsidRDefault="00427BAD" w:rsidP="00427BAD">
      <w:pPr>
        <w:rPr>
          <w:rFonts w:cs="Times New Roman"/>
        </w:rPr>
      </w:pPr>
      <w:r w:rsidRPr="006414E6">
        <w:rPr>
          <w:rFonts w:cs="Times New Roman"/>
        </w:rPr>
        <w:t xml:space="preserve">Zajednička pravila financiranja iz strukturnih i investicijskih fondova </w:t>
      </w:r>
      <w:r w:rsidR="00B50491" w:rsidRPr="006414E6">
        <w:rPr>
          <w:rFonts w:cs="Times New Roman"/>
        </w:rPr>
        <w:t>za razdoblje 20</w:t>
      </w:r>
      <w:r w:rsidR="00A847A5" w:rsidRPr="006414E6">
        <w:rPr>
          <w:rFonts w:cs="Times New Roman"/>
        </w:rPr>
        <w:t xml:space="preserve">14. do 2020. </w:t>
      </w:r>
      <w:r w:rsidRPr="006414E6">
        <w:rPr>
          <w:rFonts w:cs="Times New Roman"/>
        </w:rPr>
        <w:t>predla</w:t>
      </w:r>
      <w:r w:rsidR="00A847A5" w:rsidRPr="006414E6">
        <w:rPr>
          <w:rFonts w:cs="Times New Roman"/>
        </w:rPr>
        <w:t>gala su</w:t>
      </w:r>
      <w:r w:rsidRPr="006414E6">
        <w:rPr>
          <w:rFonts w:cs="Times New Roman"/>
        </w:rPr>
        <w:t xml:space="preserve"> da se kroz sve operativne programe minimalno 20% sredstava  koristiti za klimatske aktivnosti – ublažavanje i prilagodbu klimatskim promjenama</w:t>
      </w:r>
      <w:r w:rsidR="00AC2755" w:rsidRPr="006414E6">
        <w:rPr>
          <w:rFonts w:cs="Times New Roman"/>
        </w:rPr>
        <w:t xml:space="preserve"> </w:t>
      </w:r>
      <w:r w:rsidR="00B50491" w:rsidRPr="006414E6">
        <w:rPr>
          <w:rFonts w:cs="Times New Roman"/>
        </w:rPr>
        <w:t>(</w:t>
      </w:r>
      <w:r w:rsidR="00D5045A" w:rsidRPr="006414E6">
        <w:rPr>
          <w:rFonts w:cs="Times New Roman"/>
        </w:rPr>
        <w:t>kroz operativne programe Republika Hrvatska je alocirala</w:t>
      </w:r>
      <w:r w:rsidR="00AC2755" w:rsidRPr="006414E6">
        <w:rPr>
          <w:rFonts w:cs="Times New Roman"/>
        </w:rPr>
        <w:t xml:space="preserve"> </w:t>
      </w:r>
      <w:r w:rsidR="00B50491" w:rsidRPr="006414E6">
        <w:rPr>
          <w:rFonts w:cs="Times New Roman"/>
        </w:rPr>
        <w:t xml:space="preserve">20,4%). </w:t>
      </w:r>
    </w:p>
    <w:p w14:paraId="76A8888B" w14:textId="6A7B5A66" w:rsidR="00B60964" w:rsidRPr="006414E6" w:rsidRDefault="00B60964" w:rsidP="00B60964">
      <w:pPr>
        <w:rPr>
          <w:rFonts w:cs="Times New Roman"/>
        </w:rPr>
      </w:pPr>
      <w:r w:rsidRPr="006414E6">
        <w:rPr>
          <w:rFonts w:cs="Times New Roman"/>
        </w:rPr>
        <w:t xml:space="preserve">Za financijsko razdoblje od 2021. do 2027. godine EU je predložila pet ciljeva kohezijske politike: 1) Pametnija Europa, 2) Zelena Europa – s niskom razinom emisija ugljika promicanjem prelaska na čistu i pravednu energiju, zelenih i plavih ulaganja, kružnog gospodarstva, prilagodbe klimatskim promjenama i upravljanje rizicima i njihovo sprječavanje, 3) </w:t>
      </w:r>
      <w:r w:rsidR="00D85E6F" w:rsidRPr="006414E6">
        <w:rPr>
          <w:rFonts w:cs="Times New Roman"/>
        </w:rPr>
        <w:t xml:space="preserve">Povezanija </w:t>
      </w:r>
      <w:r w:rsidRPr="006414E6">
        <w:rPr>
          <w:rFonts w:cs="Times New Roman"/>
        </w:rPr>
        <w:t xml:space="preserve">Europa, 4) Europa s istaknutim socijalnim komponentama, 5) Europa bliža građanima. Financiranje je previđeno iz sedam fondova od kojih bi četiri mogli biti potencijalno raspoloživi za klimatske aktivnosti: Europski fond za regionalni </w:t>
      </w:r>
      <w:r w:rsidRPr="006414E6">
        <w:rPr>
          <w:rFonts w:cs="Times New Roman"/>
        </w:rPr>
        <w:lastRenderedPageBreak/>
        <w:t xml:space="preserve">razvoj (EFRR), Kohezijski fond (KF), Europski socijalni fond plus (ESF+) i Europski fond za pomorstvo i ribarstvo (EFPR). </w:t>
      </w:r>
    </w:p>
    <w:p w14:paraId="0ACCAEF8" w14:textId="77777777" w:rsidR="00B60964" w:rsidRPr="006414E6" w:rsidRDefault="00B60964" w:rsidP="00B60964">
      <w:pPr>
        <w:rPr>
          <w:rFonts w:cs="Times New Roman"/>
        </w:rPr>
      </w:pPr>
      <w:r w:rsidRPr="006414E6">
        <w:rPr>
          <w:rFonts w:cs="Times New Roman"/>
        </w:rPr>
        <w:t>U okviru programiranja za sljedeće programsko razdoblje Republika Hrvatska će pregovarati o raspodjeli raspoloživog proračuna i dijelu koje se odnosi na klimatske aktivnosti, što bi trebalo biti u tijeku 2020. godine.</w:t>
      </w:r>
    </w:p>
    <w:p w14:paraId="4A4D0FD3" w14:textId="77777777" w:rsidR="000D7054" w:rsidRPr="006414E6" w:rsidRDefault="000D7054" w:rsidP="00350F7A">
      <w:pPr>
        <w:rPr>
          <w:rFonts w:cs="Times New Roman"/>
          <w:u w:val="single"/>
        </w:rPr>
      </w:pPr>
      <w:r w:rsidRPr="006414E6">
        <w:rPr>
          <w:rFonts w:cs="Times New Roman"/>
          <w:u w:val="single"/>
        </w:rPr>
        <w:t xml:space="preserve">Fond za modernizaciju </w:t>
      </w:r>
    </w:p>
    <w:p w14:paraId="35452ACC" w14:textId="66C53F3E" w:rsidR="000D7054" w:rsidRPr="006414E6" w:rsidRDefault="000D7054" w:rsidP="00C02CEB">
      <w:pPr>
        <w:rPr>
          <w:rFonts w:cs="Times New Roman"/>
          <w:b/>
        </w:rPr>
      </w:pPr>
      <w:r w:rsidRPr="006414E6">
        <w:rPr>
          <w:rFonts w:cs="Times New Roman"/>
        </w:rPr>
        <w:t xml:space="preserve">Od 2021. godine uspostavit će se Fond za modernizaciju u okviru ETS sustava namijenjen kao potpora investicijama za modernizaciju energetskog sektora, kao i za povećanje energetske učinkovitosti. </w:t>
      </w:r>
      <w:r w:rsidR="00E3347F" w:rsidRPr="006414E6">
        <w:rPr>
          <w:rFonts w:cs="Times New Roman"/>
        </w:rPr>
        <w:t>S</w:t>
      </w:r>
      <w:r w:rsidRPr="006414E6">
        <w:rPr>
          <w:rFonts w:cs="Times New Roman"/>
        </w:rPr>
        <w:t xml:space="preserve">redstava iz </w:t>
      </w:r>
      <w:r w:rsidR="00E3347F" w:rsidRPr="006414E6">
        <w:rPr>
          <w:rFonts w:cs="Times New Roman"/>
        </w:rPr>
        <w:t>ovoga F</w:t>
      </w:r>
      <w:r w:rsidRPr="006414E6">
        <w:rPr>
          <w:rFonts w:cs="Times New Roman"/>
        </w:rPr>
        <w:t xml:space="preserve">onda </w:t>
      </w:r>
      <w:r w:rsidR="00E3347F" w:rsidRPr="006414E6">
        <w:rPr>
          <w:rFonts w:cs="Times New Roman"/>
        </w:rPr>
        <w:t>namijenjena su</w:t>
      </w:r>
      <w:r w:rsidRPr="006414E6">
        <w:rPr>
          <w:rFonts w:cs="Times New Roman"/>
        </w:rPr>
        <w:t xml:space="preserve"> držav</w:t>
      </w:r>
      <w:r w:rsidR="00E3347F" w:rsidRPr="006414E6">
        <w:rPr>
          <w:rFonts w:cs="Times New Roman"/>
        </w:rPr>
        <w:t>ama</w:t>
      </w:r>
      <w:r w:rsidRPr="006414E6">
        <w:rPr>
          <w:rFonts w:cs="Times New Roman"/>
        </w:rPr>
        <w:t xml:space="preserve"> članic</w:t>
      </w:r>
      <w:r w:rsidR="00E3347F" w:rsidRPr="006414E6">
        <w:rPr>
          <w:rFonts w:cs="Times New Roman"/>
        </w:rPr>
        <w:t>ama</w:t>
      </w:r>
      <w:r w:rsidRPr="006414E6">
        <w:rPr>
          <w:rFonts w:cs="Times New Roman"/>
        </w:rPr>
        <w:t xml:space="preserve"> s BDP-om po stanovniku manjim od 60% </w:t>
      </w:r>
      <w:r w:rsidR="00E3347F" w:rsidRPr="006414E6">
        <w:rPr>
          <w:rFonts w:cs="Times New Roman"/>
        </w:rPr>
        <w:t xml:space="preserve">u </w:t>
      </w:r>
      <w:r w:rsidRPr="006414E6">
        <w:rPr>
          <w:rFonts w:cs="Times New Roman"/>
        </w:rPr>
        <w:t xml:space="preserve">odnosu na prosjek </w:t>
      </w:r>
      <w:r w:rsidR="00E3347F" w:rsidRPr="006414E6">
        <w:rPr>
          <w:rFonts w:cs="Times New Roman"/>
        </w:rPr>
        <w:t xml:space="preserve">EU </w:t>
      </w:r>
      <w:r w:rsidRPr="006414E6">
        <w:rPr>
          <w:rFonts w:cs="Times New Roman"/>
        </w:rPr>
        <w:t>ostvaren 2013. godine, a među nji</w:t>
      </w:r>
      <w:r w:rsidR="006B211F" w:rsidRPr="006414E6">
        <w:rPr>
          <w:rFonts w:cs="Times New Roman"/>
        </w:rPr>
        <w:t>h</w:t>
      </w:r>
      <w:r w:rsidR="00E3347F" w:rsidRPr="006414E6">
        <w:rPr>
          <w:rFonts w:cs="Times New Roman"/>
        </w:rPr>
        <w:t xml:space="preserve"> se ubraja</w:t>
      </w:r>
      <w:r w:rsidRPr="006414E6">
        <w:rPr>
          <w:rFonts w:cs="Times New Roman"/>
        </w:rPr>
        <w:t xml:space="preserve"> i </w:t>
      </w:r>
      <w:r w:rsidR="00E3347F" w:rsidRPr="006414E6">
        <w:rPr>
          <w:rFonts w:cs="Times New Roman"/>
        </w:rPr>
        <w:t xml:space="preserve">Republika </w:t>
      </w:r>
      <w:r w:rsidRPr="006414E6">
        <w:rPr>
          <w:rFonts w:cs="Times New Roman"/>
        </w:rPr>
        <w:t xml:space="preserve">Hrvatska. </w:t>
      </w:r>
      <w:r w:rsidR="00A91178" w:rsidRPr="006414E6">
        <w:rPr>
          <w:rFonts w:cs="Times New Roman"/>
        </w:rPr>
        <w:t>Dodjela sredstava iz Fonda za modernizaciju biti će putem natječaja</w:t>
      </w:r>
      <w:r w:rsidR="00B5304A" w:rsidRPr="006414E6">
        <w:rPr>
          <w:rFonts w:cs="Times New Roman"/>
        </w:rPr>
        <w:t xml:space="preserve"> koje raspisuje država članica koja ujedno i daje prijedloge projekata. </w:t>
      </w:r>
    </w:p>
    <w:p w14:paraId="22324E19" w14:textId="77777777" w:rsidR="000D7054" w:rsidRPr="006414E6" w:rsidRDefault="000D7054" w:rsidP="00350F7A">
      <w:pPr>
        <w:rPr>
          <w:rFonts w:cs="Times New Roman"/>
          <w:u w:val="single"/>
        </w:rPr>
      </w:pPr>
      <w:r w:rsidRPr="006414E6">
        <w:rPr>
          <w:rFonts w:cs="Times New Roman"/>
          <w:u w:val="single"/>
        </w:rPr>
        <w:t>Fond za inovacije</w:t>
      </w:r>
    </w:p>
    <w:p w14:paraId="10C0C041" w14:textId="77777777" w:rsidR="000D7054" w:rsidRPr="006414E6" w:rsidRDefault="000D7054" w:rsidP="00350F7A">
      <w:pPr>
        <w:rPr>
          <w:rFonts w:cs="Times New Roman"/>
        </w:rPr>
      </w:pPr>
      <w:r w:rsidRPr="006414E6">
        <w:rPr>
          <w:rFonts w:cs="Times New Roman"/>
        </w:rPr>
        <w:t xml:space="preserve">U </w:t>
      </w:r>
      <w:bookmarkStart w:id="300" w:name="_Hlk38273669"/>
      <w:r w:rsidRPr="006414E6">
        <w:rPr>
          <w:rFonts w:cs="Times New Roman"/>
        </w:rPr>
        <w:t>Direktiv</w:t>
      </w:r>
      <w:r w:rsidR="00755197" w:rsidRPr="006414E6">
        <w:rPr>
          <w:rFonts w:cs="Times New Roman"/>
        </w:rPr>
        <w:t>i (EU) 2018/410</w:t>
      </w:r>
      <w:r w:rsidRPr="006414E6">
        <w:rPr>
          <w:rFonts w:cs="Times New Roman"/>
        </w:rPr>
        <w:t xml:space="preserve"> </w:t>
      </w:r>
      <w:bookmarkEnd w:id="300"/>
      <w:r w:rsidRPr="006414E6">
        <w:rPr>
          <w:rFonts w:cs="Times New Roman"/>
        </w:rPr>
        <w:t>predlaže se</w:t>
      </w:r>
      <w:r w:rsidR="00CB3755" w:rsidRPr="006414E6">
        <w:rPr>
          <w:rFonts w:cs="Times New Roman"/>
        </w:rPr>
        <w:t xml:space="preserve"> od 2021. godine</w:t>
      </w:r>
      <w:r w:rsidRPr="006414E6">
        <w:rPr>
          <w:rFonts w:cs="Times New Roman"/>
        </w:rPr>
        <w:t xml:space="preserve"> izdvajanje 400 mil</w:t>
      </w:r>
      <w:r w:rsidR="00755197" w:rsidRPr="006414E6">
        <w:rPr>
          <w:rFonts w:cs="Times New Roman"/>
        </w:rPr>
        <w:t>ijuna</w:t>
      </w:r>
      <w:r w:rsidRPr="006414E6">
        <w:rPr>
          <w:rFonts w:cs="Times New Roman"/>
        </w:rPr>
        <w:t xml:space="preserve"> emisijskih jedinica iz rezerve za nove sudionike</w:t>
      </w:r>
      <w:r w:rsidR="00CB3755" w:rsidRPr="006414E6">
        <w:rPr>
          <w:rFonts w:cs="Times New Roman"/>
        </w:rPr>
        <w:t>.</w:t>
      </w:r>
      <w:r w:rsidRPr="006414E6">
        <w:rPr>
          <w:rFonts w:cs="Times New Roman"/>
        </w:rPr>
        <w:t xml:space="preserve"> Ovim emisijskim jedinicama pribrojit će se dodatnih 50 mil</w:t>
      </w:r>
      <w:r w:rsidR="00E3347F" w:rsidRPr="006414E6">
        <w:rPr>
          <w:rFonts w:cs="Times New Roman"/>
        </w:rPr>
        <w:t>ijuna</w:t>
      </w:r>
      <w:r w:rsidRPr="006414E6">
        <w:rPr>
          <w:rFonts w:cs="Times New Roman"/>
        </w:rPr>
        <w:t xml:space="preserve"> jedinica koje neće biti iskorištene u razdoblju od 2013. do 2020. godine i ta bi sredstva poslužila za osnivanje </w:t>
      </w:r>
      <w:r w:rsidR="00427BAD" w:rsidRPr="006414E6">
        <w:rPr>
          <w:rFonts w:cs="Times New Roman"/>
        </w:rPr>
        <w:t>Fonda za inovacije</w:t>
      </w:r>
      <w:r w:rsidRPr="006414E6">
        <w:rPr>
          <w:rFonts w:cs="Times New Roman"/>
        </w:rPr>
        <w:t xml:space="preserve"> (NER 400)</w:t>
      </w:r>
      <w:r w:rsidR="00755197" w:rsidRPr="006414E6">
        <w:rPr>
          <w:rFonts w:cs="Times New Roman"/>
        </w:rPr>
        <w:t xml:space="preserve">. Sredstva prikupljena u </w:t>
      </w:r>
      <w:r w:rsidR="00E3347F" w:rsidRPr="006414E6">
        <w:rPr>
          <w:rFonts w:cs="Times New Roman"/>
        </w:rPr>
        <w:t xml:space="preserve">ovom </w:t>
      </w:r>
      <w:r w:rsidR="00755197" w:rsidRPr="006414E6">
        <w:rPr>
          <w:rFonts w:cs="Times New Roman"/>
        </w:rPr>
        <w:t>F</w:t>
      </w:r>
      <w:r w:rsidRPr="006414E6">
        <w:rPr>
          <w:rFonts w:cs="Times New Roman"/>
        </w:rPr>
        <w:t>ondu bila bi namijenjena inovacijskim projektima (isključivo „prvima za određenu vrstu tehnologije“) obnovljivih izvora energije, hvatanja i skladištenja ugljikov</w:t>
      </w:r>
      <w:r w:rsidR="009E2619" w:rsidRPr="006414E6">
        <w:rPr>
          <w:rFonts w:cs="Times New Roman"/>
        </w:rPr>
        <w:t>a</w:t>
      </w:r>
      <w:r w:rsidRPr="006414E6">
        <w:rPr>
          <w:rFonts w:cs="Times New Roman"/>
        </w:rPr>
        <w:t xml:space="preserve"> dioksida i energetski intenzivnih industrija. Time bi se nastavilo s primjenom postojećeg mehanizma financiranja projekata, tzv. NER 300. </w:t>
      </w:r>
      <w:r w:rsidR="00B352EF" w:rsidRPr="006414E6">
        <w:rPr>
          <w:rFonts w:cs="Times New Roman"/>
        </w:rPr>
        <w:t>Dodjela sredstava iz Fonda za inovacije biti će putem otvorenih poziva na podnošenje prijedloga projekata koje objavljuje EK.</w:t>
      </w:r>
    </w:p>
    <w:p w14:paraId="7B5099D1" w14:textId="77777777" w:rsidR="000D7054" w:rsidRPr="006414E6" w:rsidRDefault="000D7054" w:rsidP="00350F7A">
      <w:pPr>
        <w:rPr>
          <w:rFonts w:cs="Times New Roman"/>
          <w:u w:val="single"/>
        </w:rPr>
      </w:pPr>
      <w:r w:rsidRPr="006414E6">
        <w:rPr>
          <w:rFonts w:cs="Times New Roman"/>
          <w:u w:val="single"/>
        </w:rPr>
        <w:t>Fond za povezivanje Europe (</w:t>
      </w:r>
      <w:proofErr w:type="spellStart"/>
      <w:r w:rsidRPr="006414E6">
        <w:rPr>
          <w:rFonts w:cs="Times New Roman"/>
          <w:u w:val="single"/>
        </w:rPr>
        <w:t>Co</w:t>
      </w:r>
      <w:r w:rsidR="00642317" w:rsidRPr="006414E6">
        <w:rPr>
          <w:rFonts w:cs="Times New Roman"/>
          <w:u w:val="single"/>
        </w:rPr>
        <w:t>nn</w:t>
      </w:r>
      <w:r w:rsidRPr="006414E6">
        <w:rPr>
          <w:rFonts w:cs="Times New Roman"/>
          <w:u w:val="single"/>
        </w:rPr>
        <w:t>ecting</w:t>
      </w:r>
      <w:proofErr w:type="spellEnd"/>
      <w:r w:rsidRPr="006414E6">
        <w:rPr>
          <w:rFonts w:cs="Times New Roman"/>
          <w:u w:val="single"/>
        </w:rPr>
        <w:t xml:space="preserve"> Europe </w:t>
      </w:r>
      <w:proofErr w:type="spellStart"/>
      <w:r w:rsidRPr="006414E6">
        <w:rPr>
          <w:rFonts w:cs="Times New Roman"/>
          <w:u w:val="single"/>
        </w:rPr>
        <w:t>Facility</w:t>
      </w:r>
      <w:proofErr w:type="spellEnd"/>
      <w:r w:rsidRPr="006414E6">
        <w:rPr>
          <w:rFonts w:cs="Times New Roman"/>
          <w:u w:val="single"/>
        </w:rPr>
        <w:t>)</w:t>
      </w:r>
    </w:p>
    <w:p w14:paraId="0A43DB57" w14:textId="77777777" w:rsidR="000D7054" w:rsidRPr="006414E6" w:rsidRDefault="000D7054" w:rsidP="000D7054">
      <w:pPr>
        <w:rPr>
          <w:rFonts w:cs="Times New Roman"/>
        </w:rPr>
      </w:pPr>
      <w:proofErr w:type="spellStart"/>
      <w:r w:rsidRPr="006414E6">
        <w:rPr>
          <w:rFonts w:cs="Times New Roman"/>
        </w:rPr>
        <w:t>Co</w:t>
      </w:r>
      <w:r w:rsidR="00642317" w:rsidRPr="006414E6">
        <w:rPr>
          <w:rFonts w:cs="Times New Roman"/>
        </w:rPr>
        <w:t>nn</w:t>
      </w:r>
      <w:r w:rsidRPr="006414E6">
        <w:rPr>
          <w:rFonts w:cs="Times New Roman"/>
        </w:rPr>
        <w:t>ecting</w:t>
      </w:r>
      <w:proofErr w:type="spellEnd"/>
      <w:r w:rsidRPr="006414E6">
        <w:rPr>
          <w:rFonts w:cs="Times New Roman"/>
        </w:rPr>
        <w:t xml:space="preserve"> Europe </w:t>
      </w:r>
      <w:proofErr w:type="spellStart"/>
      <w:r w:rsidRPr="006414E6">
        <w:rPr>
          <w:rFonts w:cs="Times New Roman"/>
        </w:rPr>
        <w:t>Facility</w:t>
      </w:r>
      <w:proofErr w:type="spellEnd"/>
      <w:r w:rsidRPr="006414E6">
        <w:rPr>
          <w:rFonts w:cs="Times New Roman"/>
        </w:rPr>
        <w:t xml:space="preserve"> (</w:t>
      </w:r>
      <w:proofErr w:type="spellStart"/>
      <w:r w:rsidRPr="006414E6">
        <w:rPr>
          <w:rFonts w:cs="Times New Roman"/>
        </w:rPr>
        <w:t>CEF</w:t>
      </w:r>
      <w:proofErr w:type="spellEnd"/>
      <w:r w:rsidRPr="006414E6">
        <w:rPr>
          <w:rFonts w:cs="Times New Roman"/>
        </w:rPr>
        <w:t xml:space="preserve">) je važan EU instrument za financiranje s ciljem promocije rasta, novih poslova i konkurentnosti kroz ulaganja u ciljanu infrastrukturu na razini EU. Podupire razvoj visokoučinkovitih i održivih trans-europskih mreža u području prometa, energije i digitalnih usluga. Kao takav značajnim dijelom omogućuje financiranje mjera koje doprinose </w:t>
      </w:r>
      <w:proofErr w:type="spellStart"/>
      <w:r w:rsidRPr="006414E6">
        <w:rPr>
          <w:rFonts w:cs="Times New Roman"/>
        </w:rPr>
        <w:t>niskougljičnom</w:t>
      </w:r>
      <w:proofErr w:type="spellEnd"/>
      <w:r w:rsidRPr="006414E6">
        <w:rPr>
          <w:rFonts w:cs="Times New Roman"/>
        </w:rPr>
        <w:t xml:space="preserve"> razvoju.</w:t>
      </w:r>
      <w:r w:rsidR="00427BAD" w:rsidRPr="006414E6">
        <w:rPr>
          <w:rFonts w:cs="Times New Roman"/>
        </w:rPr>
        <w:t xml:space="preserve"> </w:t>
      </w:r>
      <w:r w:rsidRPr="006414E6">
        <w:rPr>
          <w:rFonts w:cs="Times New Roman"/>
        </w:rPr>
        <w:t>CEF daje bespovratna sredstva, ali i inovativne financijske instrumente kao što su garancije ili projektne obveznice. Na taj način se ostvaruje veći učinak sredstava te se pokreću investicije iz privatnog sektora i ostalih javnih mogućnosti.</w:t>
      </w:r>
    </w:p>
    <w:p w14:paraId="52C0EF8D" w14:textId="77777777" w:rsidR="000D7054" w:rsidRPr="006414E6" w:rsidRDefault="000D7054" w:rsidP="00350F7A">
      <w:pPr>
        <w:rPr>
          <w:rFonts w:cs="Times New Roman"/>
          <w:u w:val="single"/>
        </w:rPr>
      </w:pPr>
      <w:r w:rsidRPr="006414E6">
        <w:rPr>
          <w:rFonts w:cs="Times New Roman"/>
          <w:u w:val="single"/>
        </w:rPr>
        <w:t xml:space="preserve">Europski fond za strateška ulaganja (EFSU) </w:t>
      </w:r>
    </w:p>
    <w:p w14:paraId="3BDD35E4" w14:textId="77777777" w:rsidR="000D7054" w:rsidRPr="006414E6" w:rsidRDefault="000D7054" w:rsidP="00350F7A">
      <w:pPr>
        <w:rPr>
          <w:rFonts w:cs="Times New Roman"/>
        </w:rPr>
      </w:pPr>
      <w:r w:rsidRPr="006414E6">
        <w:rPr>
          <w:rFonts w:cs="Times New Roman"/>
        </w:rPr>
        <w:t>Europski fond za strateška ulaganja (EFSU) ključan je element Plana ulaganja za Europu, čija je svrha poticanje dugoročnog gospodarskog rasta i konkurentnosti u EU. Cilj je tog fonda doprinijeti upotrebi javnih sredstava, među ostalim sredstava iz proračuna EU-a, kako bi se potaknula privatna ulaganja u širok raspon projekata u EU-u. Projektima su među ostalim obuhvaćena područja poput infrastrukture, istraživanja i inovacija, obrazovanja, zdravstva, informacijske i komunikacijske tehnologije.</w:t>
      </w:r>
    </w:p>
    <w:p w14:paraId="517764BB" w14:textId="77777777" w:rsidR="000D7054" w:rsidRPr="00350F7A" w:rsidRDefault="000D7054" w:rsidP="00350F7A">
      <w:pPr>
        <w:rPr>
          <w:rFonts w:cs="Times New Roman"/>
          <w:u w:val="single"/>
        </w:rPr>
      </w:pPr>
      <w:r w:rsidRPr="006414E6">
        <w:rPr>
          <w:rFonts w:cs="Times New Roman"/>
          <w:u w:val="single"/>
        </w:rPr>
        <w:t>Europski energetski program za oporavak</w:t>
      </w:r>
      <w:r w:rsidR="00CB3755" w:rsidRPr="006414E6">
        <w:rPr>
          <w:rFonts w:cs="Times New Roman"/>
          <w:u w:val="single"/>
        </w:rPr>
        <w:t xml:space="preserve"> (EEPR)</w:t>
      </w:r>
      <w:r w:rsidRPr="006414E6">
        <w:rPr>
          <w:rFonts w:cs="Times New Roman"/>
          <w:u w:val="single"/>
        </w:rPr>
        <w:t xml:space="preserve"> i Europski fond za energetsku učinkovitost</w:t>
      </w:r>
      <w:r w:rsidR="00CB3755" w:rsidRPr="006414E6">
        <w:rPr>
          <w:rFonts w:cs="Times New Roman"/>
          <w:u w:val="single"/>
        </w:rPr>
        <w:t xml:space="preserve"> (EEEF)</w:t>
      </w:r>
    </w:p>
    <w:p w14:paraId="45217CE6" w14:textId="77777777" w:rsidR="000D7054" w:rsidRPr="006414E6" w:rsidRDefault="000D7054" w:rsidP="00350F7A">
      <w:pPr>
        <w:rPr>
          <w:rFonts w:cs="Times New Roman"/>
        </w:rPr>
      </w:pPr>
      <w:r w:rsidRPr="006414E6">
        <w:rPr>
          <w:rFonts w:cs="Times New Roman"/>
        </w:rPr>
        <w:t>Europski energetski program za oporavak (EEPR) omogućava odobrenje financijske pomoći u sektoru energetike, posebice za uvođenje međusobno povezanih infrastruktura, proizvodnju energije koja se temelji na obnovljivim izvorima, hvatanje ugljikovog dioksida i promicanje energetske učinkovitosti. Cilj programa je ostvarivanje ušteda u potrošnji primarne energije i smanjenju emisija stakleničkih plinova.</w:t>
      </w:r>
    </w:p>
    <w:p w14:paraId="0539FC97" w14:textId="77777777" w:rsidR="000D7054" w:rsidRPr="006414E6" w:rsidRDefault="000D7054" w:rsidP="000D7054">
      <w:pPr>
        <w:rPr>
          <w:rFonts w:cs="Times New Roman"/>
        </w:rPr>
      </w:pPr>
      <w:r w:rsidRPr="006414E6">
        <w:rPr>
          <w:rFonts w:cs="Times New Roman"/>
        </w:rPr>
        <w:lastRenderedPageBreak/>
        <w:t>U okviru Europskog fonda za energetsku učinkovitost (EEEF) obuhvaćena su namjenska financiranja projekata u područjima energetske učinkovitosti, obnovljivih izvora energije i čistog gradskog prijevoza. Korisnici su lokalna ili regionalna javna tijela ili privatni subjekti koji djeluju u njihovo ime.</w:t>
      </w:r>
    </w:p>
    <w:p w14:paraId="29AD90FF" w14:textId="1ECE461B" w:rsidR="00291539" w:rsidRPr="006414E6" w:rsidRDefault="00291539" w:rsidP="00350F7A">
      <w:pPr>
        <w:rPr>
          <w:rFonts w:cs="Times New Roman"/>
          <w:u w:val="single"/>
        </w:rPr>
      </w:pPr>
      <w:r w:rsidRPr="006414E6">
        <w:rPr>
          <w:rFonts w:cs="Times New Roman"/>
          <w:u w:val="single"/>
        </w:rPr>
        <w:t>Europski socijalni fond (ESF)</w:t>
      </w:r>
      <w:r w:rsidR="00B22A40" w:rsidRPr="006414E6">
        <w:rPr>
          <w:rFonts w:cs="Times New Roman"/>
          <w:u w:val="single"/>
        </w:rPr>
        <w:t xml:space="preserve"> i Europski socijalni fond plus (ESF+)</w:t>
      </w:r>
    </w:p>
    <w:p w14:paraId="0764B8E9" w14:textId="0B1941F4" w:rsidR="00291539" w:rsidRPr="006414E6" w:rsidRDefault="00981ED1" w:rsidP="00350F7A">
      <w:pPr>
        <w:rPr>
          <w:rFonts w:cs="Times New Roman"/>
        </w:rPr>
      </w:pPr>
      <w:r w:rsidRPr="006414E6">
        <w:rPr>
          <w:rFonts w:cs="Times New Roman"/>
        </w:rPr>
        <w:t>Europski socijalni fond (ESF) jedan je od strukturnih fondova Europske unije kojem je temeljni cilj smanjenje razlika u prosperitetu i životnom standardu između država članica EU-a i njihovih regija, te time promicanje gospodarske i socijalne kohezije. ESF-om se doprinosi i drugim tematskim ciljevima, ponajprije pomoću potpore prelaska na okolišno održivo gospodarstvo s niskom razinom CO</w:t>
      </w:r>
      <w:r w:rsidRPr="00350F7A">
        <w:rPr>
          <w:rFonts w:cs="Times New Roman"/>
        </w:rPr>
        <w:t>2</w:t>
      </w:r>
      <w:r w:rsidRPr="006414E6">
        <w:rPr>
          <w:rFonts w:cs="Times New Roman"/>
        </w:rPr>
        <w:t xml:space="preserve">. </w:t>
      </w:r>
    </w:p>
    <w:p w14:paraId="28E9F9FF" w14:textId="3739EA78" w:rsidR="00CE144C" w:rsidRPr="006414E6" w:rsidRDefault="00CE144C" w:rsidP="00CE144C">
      <w:pPr>
        <w:rPr>
          <w:rFonts w:cs="Times New Roman"/>
          <w:szCs w:val="24"/>
        </w:rPr>
      </w:pPr>
      <w:r w:rsidRPr="006414E6">
        <w:rPr>
          <w:rFonts w:cs="Times New Roman"/>
          <w:szCs w:val="24"/>
        </w:rPr>
        <w:t xml:space="preserve">Tijekom 2018. godine EK je predstavila Europski socijalni fond plus (ESF+) za potporu provedbi načela europskog stupa socijalnih prava. U fondu ESF+ bit će spojeni Europski socijalni fond, Inicijativa za zapošljavanje mladih, Fond za europsku pomoć najugroženijima, Program EU-a za zapošljavanje i socijalne inovacije i Europski zdravstveni program. </w:t>
      </w:r>
    </w:p>
    <w:p w14:paraId="68CADDD2" w14:textId="3343E970" w:rsidR="001932C5" w:rsidRPr="006414E6" w:rsidRDefault="001932C5" w:rsidP="00350F7A">
      <w:pPr>
        <w:rPr>
          <w:rFonts w:cs="Times New Roman"/>
          <w:u w:val="single"/>
        </w:rPr>
      </w:pPr>
      <w:r w:rsidRPr="006414E6">
        <w:rPr>
          <w:rFonts w:cs="Times New Roman"/>
          <w:u w:val="single"/>
        </w:rPr>
        <w:t>Europski fond za pomorstvo i ribarstvo (EFPR)</w:t>
      </w:r>
    </w:p>
    <w:p w14:paraId="6B924BF7" w14:textId="68EDB003" w:rsidR="001932C5" w:rsidRPr="006414E6" w:rsidRDefault="001932C5" w:rsidP="00350F7A">
      <w:pPr>
        <w:rPr>
          <w:rFonts w:cs="Times New Roman"/>
        </w:rPr>
      </w:pPr>
      <w:r w:rsidRPr="006414E6">
        <w:rPr>
          <w:rFonts w:cs="Times New Roman"/>
        </w:rPr>
        <w:t xml:space="preserve">Europski fond za pomorstvo i ribarstvo (EFPR) </w:t>
      </w:r>
      <w:r w:rsidR="00981ED1" w:rsidRPr="006414E6">
        <w:rPr>
          <w:rFonts w:cs="Times New Roman"/>
        </w:rPr>
        <w:t xml:space="preserve">osigurava sredstva ribarskoj industriji i priobalnim zajednicama s ciljem njihove prilagodbe promijenjenim uvjetima u sektoru i postizanja gospodarske i ekološke održivosti. Fond je osmišljen tako da osigura održivo ribarstvo i industriju akvakulture (uzgoj ribe, školjkaša i podvodnog bilja). Prioritetno područje se odnosi na poticanje okolišnog održivog, resursno učinkovitog, inovativnog, konkurentnog i na znanju utemeljenog ribarstva. </w:t>
      </w:r>
    </w:p>
    <w:p w14:paraId="087A5660" w14:textId="77777777" w:rsidR="00D85E6F" w:rsidRPr="006414E6" w:rsidRDefault="00D85E6F" w:rsidP="00D85E6F">
      <w:pPr>
        <w:rPr>
          <w:rFonts w:cs="Times New Roman"/>
          <w:u w:val="single"/>
        </w:rPr>
      </w:pPr>
      <w:r w:rsidRPr="006414E6">
        <w:rPr>
          <w:rFonts w:cs="Times New Roman"/>
          <w:u w:val="single"/>
        </w:rPr>
        <w:t>Europski fond za regionalni razvoj (EFRR)</w:t>
      </w:r>
    </w:p>
    <w:p w14:paraId="1D08AF23" w14:textId="77777777" w:rsidR="00D85E6F" w:rsidRPr="006414E6" w:rsidRDefault="00D85E6F" w:rsidP="00D85E6F">
      <w:pPr>
        <w:rPr>
          <w:rFonts w:cs="Times New Roman"/>
        </w:rPr>
      </w:pPr>
      <w:r w:rsidRPr="006414E6">
        <w:rPr>
          <w:rFonts w:cs="Times New Roman"/>
        </w:rPr>
        <w:t xml:space="preserve">U okviru regionalnog razvoja i kohezije za razdoblje od 2021. do 2027. godine prioritet investicija će se dati na razvoj zelenije, </w:t>
      </w:r>
      <w:proofErr w:type="spellStart"/>
      <w:r w:rsidRPr="006414E6">
        <w:rPr>
          <w:rFonts w:cs="Times New Roman"/>
        </w:rPr>
        <w:t>niskougljične</w:t>
      </w:r>
      <w:proofErr w:type="spellEnd"/>
      <w:r w:rsidRPr="006414E6">
        <w:rPr>
          <w:rFonts w:cs="Times New Roman"/>
        </w:rPr>
        <w:t xml:space="preserve"> Europe te poticanje inovacija. Iako ukupni budžet još nije objavljen, plan je da će se 65 do 85% budžeta usmjeriti za navedene ciljeve. Sredstva će se dodjeljivati pojedinim zemljama članicama ovisno o relativnom bogatstvu zemlje. Ostali ciljevi koji će biti podržani od strane EFRR su promet i povezanost, društvo i ljudska prava te lokalni održivi razvoj.</w:t>
      </w:r>
    </w:p>
    <w:p w14:paraId="245DD947" w14:textId="77777777" w:rsidR="00981ED1" w:rsidRPr="006414E6" w:rsidRDefault="00981ED1" w:rsidP="00981ED1">
      <w:pPr>
        <w:rPr>
          <w:rFonts w:cs="Times New Roman"/>
          <w:u w:val="single"/>
        </w:rPr>
      </w:pPr>
      <w:r w:rsidRPr="006414E6">
        <w:rPr>
          <w:rFonts w:cs="Times New Roman"/>
          <w:u w:val="single"/>
        </w:rPr>
        <w:t>Europski poljoprivredni fond za ruralni razvoj (EPFRR)</w:t>
      </w:r>
    </w:p>
    <w:p w14:paraId="4F1E68D6" w14:textId="31D899FD" w:rsidR="00981ED1" w:rsidRPr="006414E6" w:rsidRDefault="00981ED1" w:rsidP="00981ED1">
      <w:pPr>
        <w:rPr>
          <w:rFonts w:cs="Times New Roman"/>
        </w:rPr>
      </w:pPr>
      <w:r w:rsidRPr="006414E6">
        <w:rPr>
          <w:rFonts w:cs="Times New Roman"/>
        </w:rPr>
        <w:t xml:space="preserve">Europski poljoprivredni fond za ruralni razvoj (EPFRR) ima za cilj jačanje europske politike ruralnog razvoja i pojednostavljivanje njezine provedbe. Fond se financira sredstvima Zajedničke poljoprivredne politike i pridonosi ostvarivanju ciljeva strategije Europa 2020 promicanjem održivog ruralnog razvoja u cijeloj Europskoj uniji. </w:t>
      </w:r>
    </w:p>
    <w:p w14:paraId="24F3D7CB" w14:textId="78D8D73A" w:rsidR="000D7054" w:rsidRPr="006414E6" w:rsidRDefault="000D7054" w:rsidP="000D7054">
      <w:pPr>
        <w:rPr>
          <w:rFonts w:cs="Times New Roman"/>
          <w:u w:val="single"/>
        </w:rPr>
      </w:pPr>
      <w:r w:rsidRPr="006414E6">
        <w:rPr>
          <w:rFonts w:cs="Times New Roman"/>
          <w:u w:val="single"/>
        </w:rPr>
        <w:t>Obzor 2020 i Obzor Europa</w:t>
      </w:r>
    </w:p>
    <w:p w14:paraId="530128F2" w14:textId="77777777" w:rsidR="000D7054" w:rsidRPr="006414E6" w:rsidRDefault="000D7054">
      <w:pPr>
        <w:rPr>
          <w:rFonts w:cs="Times New Roman"/>
        </w:rPr>
      </w:pPr>
      <w:r w:rsidRPr="006414E6">
        <w:rPr>
          <w:rFonts w:cs="Times New Roman"/>
        </w:rPr>
        <w:t xml:space="preserve">Obzor 2020 je najveći EU program za istraživanje i razvoj. Tijekom 2018. godine EK je najavila dosad najveći EU program za financiranje istraživanja i inovacija pod nazivom Obzor Europa (eng. </w:t>
      </w:r>
      <w:proofErr w:type="spellStart"/>
      <w:r w:rsidRPr="006414E6">
        <w:rPr>
          <w:rFonts w:cs="Times New Roman"/>
          <w:i/>
        </w:rPr>
        <w:t>Horizon</w:t>
      </w:r>
      <w:proofErr w:type="spellEnd"/>
      <w:r w:rsidRPr="006414E6">
        <w:rPr>
          <w:rFonts w:cs="Times New Roman"/>
          <w:i/>
        </w:rPr>
        <w:t xml:space="preserve"> Europe</w:t>
      </w:r>
      <w:r w:rsidRPr="006414E6">
        <w:rPr>
          <w:rFonts w:cs="Times New Roman"/>
        </w:rPr>
        <w:t xml:space="preserve">). Program se odnosi na razdoblje od 2021. do 2027. godine. Novi će se program oslanjati na dostignuća programa Obzor 2020 sa snažnijim naglaskom na postizanje rezultata iz područja medicine, hrane i klimatskih promjena. </w:t>
      </w:r>
    </w:p>
    <w:p w14:paraId="277D0F3B" w14:textId="77777777" w:rsidR="000D7054" w:rsidRPr="006414E6" w:rsidRDefault="000D7054" w:rsidP="000D7054">
      <w:pPr>
        <w:rPr>
          <w:rFonts w:cs="Times New Roman"/>
          <w:u w:val="single"/>
        </w:rPr>
      </w:pPr>
      <w:r w:rsidRPr="006414E6">
        <w:rPr>
          <w:rFonts w:cs="Times New Roman"/>
          <w:u w:val="single"/>
        </w:rPr>
        <w:t>LIFE program</w:t>
      </w:r>
    </w:p>
    <w:p w14:paraId="2F407196" w14:textId="77777777" w:rsidR="000D7054" w:rsidRPr="006414E6" w:rsidRDefault="000D7054">
      <w:pPr>
        <w:rPr>
          <w:rFonts w:cs="Times New Roman"/>
        </w:rPr>
      </w:pPr>
      <w:r w:rsidRPr="006414E6">
        <w:rPr>
          <w:rFonts w:cs="Times New Roman"/>
        </w:rPr>
        <w:t xml:space="preserve">LIFE program je financijski instrument EU za potporu projektima iz područja zaštite okoliša, očuvanja prirode i klimatske aktivnosti u EU. </w:t>
      </w:r>
    </w:p>
    <w:p w14:paraId="57DF19C2" w14:textId="77777777" w:rsidR="000D7054" w:rsidRPr="006414E6" w:rsidRDefault="000D7054" w:rsidP="00350F7A">
      <w:pPr>
        <w:rPr>
          <w:rFonts w:cs="Times New Roman"/>
          <w:u w:val="single"/>
        </w:rPr>
      </w:pPr>
      <w:proofErr w:type="spellStart"/>
      <w:r w:rsidRPr="006414E6">
        <w:rPr>
          <w:rFonts w:cs="Times New Roman"/>
          <w:u w:val="single"/>
        </w:rPr>
        <w:t>Interreg</w:t>
      </w:r>
      <w:proofErr w:type="spellEnd"/>
      <w:r w:rsidRPr="006414E6">
        <w:rPr>
          <w:rFonts w:cs="Times New Roman"/>
          <w:u w:val="single"/>
        </w:rPr>
        <w:t>: Europska teritorijalna suradnja (ETC)</w:t>
      </w:r>
    </w:p>
    <w:p w14:paraId="10D8259D" w14:textId="77777777" w:rsidR="000D7054" w:rsidRPr="006414E6" w:rsidRDefault="000D7054" w:rsidP="00350F7A">
      <w:pPr>
        <w:rPr>
          <w:rFonts w:cs="Times New Roman"/>
        </w:rPr>
      </w:pPr>
      <w:r w:rsidRPr="006414E6">
        <w:rPr>
          <w:rFonts w:cs="Times New Roman"/>
        </w:rPr>
        <w:lastRenderedPageBreak/>
        <w:t>Program je pokrenut s ciljem jačanja učinaka Kohezijske politike EU u razdoblju od 2014. do 2020. godine. Cilj je smanjiti postojeće nejednakosti između regija EU u pogledu njihovog ekonomskog i društvenog razvoja i održivosti okoliša, pritom uzimajući u obzir njihove specifične prostorne značajke i mogućnosti.</w:t>
      </w:r>
      <w:r w:rsidR="00CB3755" w:rsidRPr="006414E6">
        <w:rPr>
          <w:rFonts w:cs="Times New Roman"/>
        </w:rPr>
        <w:t xml:space="preserve"> Sredstva su namijenjena za 11 investicijskih prioriteta, među kojima su i </w:t>
      </w:r>
      <w:proofErr w:type="spellStart"/>
      <w:r w:rsidR="00CB3755" w:rsidRPr="006414E6">
        <w:rPr>
          <w:rFonts w:cs="Times New Roman"/>
        </w:rPr>
        <w:t>niskougljična</w:t>
      </w:r>
      <w:proofErr w:type="spellEnd"/>
      <w:r w:rsidR="00CB3755" w:rsidRPr="006414E6">
        <w:rPr>
          <w:rFonts w:cs="Times New Roman"/>
        </w:rPr>
        <w:t xml:space="preserve"> ekonomija, ublažavanje klimatskih promjena, okoliš i učinkovitost resursa te održivi transport.</w:t>
      </w:r>
    </w:p>
    <w:p w14:paraId="401F4FEF" w14:textId="77777777" w:rsidR="000D7054" w:rsidRPr="006414E6" w:rsidRDefault="000D7054" w:rsidP="00350F7A">
      <w:pPr>
        <w:rPr>
          <w:rFonts w:cs="Times New Roman"/>
          <w:u w:val="single"/>
        </w:rPr>
      </w:pPr>
      <w:r w:rsidRPr="006414E6">
        <w:rPr>
          <w:rFonts w:cs="Times New Roman"/>
          <w:u w:val="single"/>
        </w:rPr>
        <w:t>Proračun Republike Hrvatske</w:t>
      </w:r>
    </w:p>
    <w:p w14:paraId="1C4890D0" w14:textId="77777777" w:rsidR="000D7054" w:rsidRPr="006414E6" w:rsidRDefault="000D7054" w:rsidP="00350F7A">
      <w:pPr>
        <w:rPr>
          <w:rFonts w:cs="Times New Roman"/>
        </w:rPr>
      </w:pPr>
      <w:r w:rsidRPr="006414E6">
        <w:rPr>
          <w:rFonts w:cs="Times New Roman"/>
        </w:rPr>
        <w:t>Sredstva iz proračuna Republike Hrvatske prvenstveno su namijenjena za troškove administracije te sufinanciranja oko 15% troškova mjera temeljem EU struktu</w:t>
      </w:r>
      <w:r w:rsidR="00A5657C" w:rsidRPr="006414E6">
        <w:rPr>
          <w:rFonts w:cs="Times New Roman"/>
        </w:rPr>
        <w:t>rnih i investicijskih fondova.</w:t>
      </w:r>
    </w:p>
    <w:p w14:paraId="3444A599" w14:textId="77777777" w:rsidR="000D7054" w:rsidRPr="006414E6" w:rsidRDefault="000D7054" w:rsidP="00350F7A">
      <w:pPr>
        <w:rPr>
          <w:rFonts w:cs="Times New Roman"/>
          <w:u w:val="single"/>
        </w:rPr>
      </w:pPr>
      <w:r w:rsidRPr="006414E6">
        <w:rPr>
          <w:rFonts w:cs="Times New Roman"/>
          <w:u w:val="single"/>
        </w:rPr>
        <w:t>Finan</w:t>
      </w:r>
      <w:r w:rsidR="00A5657C" w:rsidRPr="006414E6">
        <w:rPr>
          <w:rFonts w:cs="Times New Roman"/>
          <w:u w:val="single"/>
        </w:rPr>
        <w:t>ciranje provedbe mjera na osnovi</w:t>
      </w:r>
      <w:r w:rsidRPr="006414E6">
        <w:rPr>
          <w:rFonts w:cs="Times New Roman"/>
          <w:u w:val="single"/>
        </w:rPr>
        <w:t xml:space="preserve"> sustava obveze energetske učinkovitosti sukladno Direktivi 2012/27/EU o energetskoj učinkovitosti </w:t>
      </w:r>
    </w:p>
    <w:p w14:paraId="19B8D4C5" w14:textId="77777777" w:rsidR="000D7054" w:rsidRPr="006414E6" w:rsidRDefault="000D7054" w:rsidP="000D7054">
      <w:pPr>
        <w:rPr>
          <w:rFonts w:cs="Times New Roman"/>
        </w:rPr>
      </w:pPr>
      <w:r w:rsidRPr="006414E6">
        <w:rPr>
          <w:rFonts w:cs="Times New Roman"/>
        </w:rPr>
        <w:t>Opskrbljivači energije dužni su provoditi mjere energetske učinkovitosti kod krajnjih potrošača. Ciljevi su zadani Sustavom obveze energetske učinkovitosti. Očekuje se da će se troškovi ovih mjera najvećim dijelom prebaciti  na potrošače. Ukoliko obveznici ne ostvare propisane uštede, plaćati će naknadu u FZOEU. Ovo će biti značajan izvor financiranja.</w:t>
      </w:r>
    </w:p>
    <w:p w14:paraId="13A83C33" w14:textId="77777777" w:rsidR="000D7054" w:rsidRPr="006414E6" w:rsidRDefault="000D7054" w:rsidP="00350F7A">
      <w:pPr>
        <w:rPr>
          <w:rFonts w:cs="Times New Roman"/>
          <w:u w:val="single"/>
        </w:rPr>
      </w:pPr>
      <w:r w:rsidRPr="006414E6">
        <w:rPr>
          <w:rFonts w:cs="Times New Roman"/>
          <w:u w:val="single"/>
        </w:rPr>
        <w:t>Naknada za emisije CO</w:t>
      </w:r>
      <w:r w:rsidRPr="00350F7A">
        <w:rPr>
          <w:rFonts w:cs="Times New Roman"/>
          <w:u w:val="single"/>
        </w:rPr>
        <w:t>2</w:t>
      </w:r>
    </w:p>
    <w:p w14:paraId="61E35DFE" w14:textId="77777777" w:rsidR="000D7054" w:rsidRPr="006414E6" w:rsidRDefault="000D7054" w:rsidP="00350F7A">
      <w:pPr>
        <w:rPr>
          <w:rFonts w:cs="Times New Roman"/>
        </w:rPr>
      </w:pPr>
      <w:r w:rsidRPr="006414E6">
        <w:rPr>
          <w:rFonts w:cs="Times New Roman"/>
        </w:rPr>
        <w:t>U Republici Hrvatskoj postoji naknada na emisije CO</w:t>
      </w:r>
      <w:r w:rsidRPr="00350F7A">
        <w:rPr>
          <w:rFonts w:cs="Times New Roman"/>
        </w:rPr>
        <w:t>2</w:t>
      </w:r>
      <w:r w:rsidRPr="006414E6">
        <w:rPr>
          <w:rFonts w:cs="Times New Roman"/>
        </w:rPr>
        <w:t xml:space="preserve">, za dvije skupine izvora. Naplata postoji za operatere postrojenja uključenih u ETS koji imaju emisije manje od 25 </w:t>
      </w:r>
      <w:proofErr w:type="spellStart"/>
      <w:r w:rsidRPr="006414E6">
        <w:rPr>
          <w:rFonts w:cs="Times New Roman"/>
        </w:rPr>
        <w:t>kt</w:t>
      </w:r>
      <w:proofErr w:type="spellEnd"/>
      <w:r w:rsidRPr="006414E6">
        <w:rPr>
          <w:rFonts w:cs="Times New Roman"/>
        </w:rPr>
        <w:t xml:space="preserve"> godišnje i isključili su se iz ETS-a, ali moraju provoditi mjere za postizanje ekvivalentnog doprinosa smanjenju emisija s verificiranim emisijama.</w:t>
      </w:r>
    </w:p>
    <w:p w14:paraId="29C33FCE" w14:textId="77777777" w:rsidR="000D7054" w:rsidRPr="006414E6" w:rsidRDefault="000D7054" w:rsidP="000D7054">
      <w:pPr>
        <w:rPr>
          <w:rFonts w:cs="Times New Roman"/>
        </w:rPr>
      </w:pPr>
      <w:r w:rsidRPr="006414E6">
        <w:rPr>
          <w:rFonts w:cs="Times New Roman"/>
        </w:rPr>
        <w:t>Uvođenjem opće naknade na emisije CO</w:t>
      </w:r>
      <w:r w:rsidRPr="006414E6">
        <w:rPr>
          <w:rFonts w:cs="Times New Roman"/>
          <w:vertAlign w:val="subscript"/>
        </w:rPr>
        <w:t>2</w:t>
      </w:r>
      <w:r w:rsidRPr="006414E6">
        <w:rPr>
          <w:rFonts w:cs="Times New Roman"/>
        </w:rPr>
        <w:t xml:space="preserve"> za izgaranje fosilnog goriva u sektorima izvan ETS-a moguće je prikupiti značajna sredstva, to bi mogao biti temeljni financijski stup politike vezano za klimatske promjene. </w:t>
      </w:r>
    </w:p>
    <w:p w14:paraId="67E3109F" w14:textId="77777777" w:rsidR="005264F7" w:rsidRPr="006414E6" w:rsidRDefault="005264F7" w:rsidP="005264F7">
      <w:pPr>
        <w:rPr>
          <w:rFonts w:cs="Times New Roman"/>
          <w:u w:val="single"/>
        </w:rPr>
      </w:pPr>
      <w:r w:rsidRPr="006414E6">
        <w:rPr>
          <w:rFonts w:cs="Times New Roman"/>
          <w:u w:val="single"/>
        </w:rPr>
        <w:t xml:space="preserve">Naknada za proizvodnju električne energije iz obnovljivih izvora energije </w:t>
      </w:r>
    </w:p>
    <w:p w14:paraId="107DE91E" w14:textId="77777777" w:rsidR="005264F7" w:rsidRPr="006414E6" w:rsidRDefault="005264F7" w:rsidP="005264F7">
      <w:pPr>
        <w:rPr>
          <w:rFonts w:cs="Times New Roman"/>
          <w:color w:val="000000"/>
        </w:rPr>
      </w:pPr>
      <w:r w:rsidRPr="006414E6">
        <w:rPr>
          <w:rFonts w:cs="Times New Roman"/>
        </w:rPr>
        <w:t xml:space="preserve">Visina naknade za poticanje proizvodnje električne energije iz obnovljivih izvora iznosi 0,1050 kn/kWh + PDV za sve kupce električne energije. Iznimno, za kupce električne energije koji su sukladno Zakonu o </w:t>
      </w:r>
      <w:r w:rsidR="001A72E4" w:rsidRPr="006414E6">
        <w:rPr>
          <w:rFonts w:cs="Times New Roman"/>
        </w:rPr>
        <w:t>klimatskim promjenama i zaštiti ozonskog sloja</w:t>
      </w:r>
      <w:r w:rsidRPr="006414E6">
        <w:rPr>
          <w:rFonts w:cs="Times New Roman"/>
        </w:rPr>
        <w:t xml:space="preserve">, obveznici ishođenja dozvole za emisije stakleničkih plinova, iznosi 0,007 kn/kWh. </w:t>
      </w:r>
      <w:r w:rsidRPr="006414E6">
        <w:rPr>
          <w:rFonts w:cs="Times New Roman"/>
          <w:color w:val="000000"/>
        </w:rPr>
        <w:t xml:space="preserve">Sredstva naknade za poticanje koriste se za isplatu poticajne cijene električne energije povlaštenim proizvođačima koji su u sustavu poticanja proizvodnje električne energije za isporučenu električnu energiju sukladno odredbama tarifnog sustava za proizvodnju električne energije iz obnovljivih izvora energije i visokoučinkovite kogeneracije (tzv. </w:t>
      </w:r>
      <w:proofErr w:type="spellStart"/>
      <w:r w:rsidRPr="006414E6">
        <w:rPr>
          <w:rFonts w:cs="Times New Roman"/>
          <w:color w:val="000000"/>
        </w:rPr>
        <w:t>feed-in</w:t>
      </w:r>
      <w:proofErr w:type="spellEnd"/>
      <w:r w:rsidRPr="006414E6">
        <w:rPr>
          <w:rFonts w:cs="Times New Roman"/>
          <w:color w:val="000000"/>
        </w:rPr>
        <w:t xml:space="preserve"> tarife). </w:t>
      </w:r>
    </w:p>
    <w:p w14:paraId="3BB5DA69" w14:textId="77777777" w:rsidR="000D7054" w:rsidRPr="006414E6" w:rsidRDefault="000D7054" w:rsidP="000D7054">
      <w:pPr>
        <w:rPr>
          <w:rFonts w:cs="Times New Roman"/>
          <w:u w:val="single"/>
        </w:rPr>
      </w:pPr>
      <w:r w:rsidRPr="006414E6">
        <w:rPr>
          <w:rFonts w:cs="Times New Roman"/>
          <w:u w:val="single"/>
        </w:rPr>
        <w:t>Kreditne linije poslovnih banaka</w:t>
      </w:r>
    </w:p>
    <w:p w14:paraId="7C7E1F70" w14:textId="77777777" w:rsidR="000D7054" w:rsidRPr="006414E6" w:rsidRDefault="000D7054" w:rsidP="000D7054">
      <w:pPr>
        <w:rPr>
          <w:rFonts w:cs="Times New Roman"/>
        </w:rPr>
      </w:pPr>
      <w:r w:rsidRPr="006414E6">
        <w:rPr>
          <w:rFonts w:cs="Times New Roman"/>
        </w:rPr>
        <w:t>Brojne poslovne banke su u svoje ponude uvrstile različite kreditne linije i modele financiranja kao temelj za strateško opredjeljenje da ponude financijska rješenja za projekte energetske učinkovitosti i obnovljivih izvora energije te da povećaju sudjelovanje na ovom rastućem tržištu energije.</w:t>
      </w:r>
    </w:p>
    <w:p w14:paraId="5F93E4D0" w14:textId="77777777" w:rsidR="000D7054" w:rsidRPr="006414E6" w:rsidRDefault="000D7054" w:rsidP="000D7054">
      <w:pPr>
        <w:rPr>
          <w:rFonts w:cs="Times New Roman"/>
          <w:u w:val="single"/>
        </w:rPr>
      </w:pPr>
      <w:r w:rsidRPr="006414E6">
        <w:rPr>
          <w:rFonts w:cs="Times New Roman"/>
          <w:u w:val="single"/>
        </w:rPr>
        <w:t>ESCO poduzeća</w:t>
      </w:r>
    </w:p>
    <w:p w14:paraId="5ACE24A1" w14:textId="77777777" w:rsidR="000D7054" w:rsidRPr="006414E6" w:rsidRDefault="000D7054" w:rsidP="000D7054">
      <w:pPr>
        <w:rPr>
          <w:rFonts w:cs="Times New Roman"/>
        </w:rPr>
      </w:pPr>
      <w:proofErr w:type="spellStart"/>
      <w:r w:rsidRPr="006414E6">
        <w:rPr>
          <w:rFonts w:cs="Times New Roman"/>
        </w:rPr>
        <w:t>ESCO</w:t>
      </w:r>
      <w:proofErr w:type="spellEnd"/>
      <w:r w:rsidRPr="006414E6">
        <w:rPr>
          <w:rFonts w:cs="Times New Roman"/>
        </w:rPr>
        <w:t xml:space="preserve"> (eng. </w:t>
      </w:r>
      <w:r w:rsidRPr="006414E6">
        <w:rPr>
          <w:rFonts w:cs="Times New Roman"/>
          <w:i/>
        </w:rPr>
        <w:t>Energy Service Company</w:t>
      </w:r>
      <w:r w:rsidRPr="006414E6">
        <w:rPr>
          <w:rFonts w:cs="Times New Roman"/>
        </w:rPr>
        <w:t>)  je poslovni model u kojem tvrtka ulaže vlastita sredstva, radnu snagu i tehnologiju, a naplaćuje se isključivo iz dijela ostvarene uštede.</w:t>
      </w:r>
    </w:p>
    <w:p w14:paraId="4FDE3DFC" w14:textId="77777777" w:rsidR="000D7054" w:rsidRPr="006414E6" w:rsidRDefault="000D7054" w:rsidP="000D7054">
      <w:pPr>
        <w:rPr>
          <w:rFonts w:cs="Times New Roman"/>
          <w:u w:val="single"/>
        </w:rPr>
      </w:pPr>
      <w:r w:rsidRPr="006414E6">
        <w:rPr>
          <w:rFonts w:cs="Times New Roman"/>
          <w:u w:val="single"/>
        </w:rPr>
        <w:t>Grupno financiranje</w:t>
      </w:r>
    </w:p>
    <w:p w14:paraId="4CB525BB" w14:textId="77777777" w:rsidR="000D7054" w:rsidRPr="006414E6" w:rsidRDefault="000D7054" w:rsidP="002E4854">
      <w:pPr>
        <w:rPr>
          <w:rFonts w:cs="Times New Roman"/>
        </w:rPr>
      </w:pPr>
      <w:r w:rsidRPr="006414E6">
        <w:rPr>
          <w:rFonts w:cs="Times New Roman"/>
        </w:rPr>
        <w:t xml:space="preserve">Grupno financiranje (eng. </w:t>
      </w:r>
      <w:proofErr w:type="spellStart"/>
      <w:r w:rsidRPr="006414E6">
        <w:rPr>
          <w:rFonts w:cs="Times New Roman"/>
          <w:i/>
        </w:rPr>
        <w:t>crowdfunding</w:t>
      </w:r>
      <w:proofErr w:type="spellEnd"/>
      <w:r w:rsidRPr="006414E6">
        <w:rPr>
          <w:rFonts w:cs="Times New Roman"/>
        </w:rPr>
        <w:t xml:space="preserve">) označava financiranje projekata kroz prikupljanje sredstava od velikog broja ljudi koji je postao jednostavan razvojem Interneta, a česte su namjene za društveno </w:t>
      </w:r>
      <w:r w:rsidRPr="006414E6">
        <w:rPr>
          <w:rFonts w:cs="Times New Roman"/>
        </w:rPr>
        <w:lastRenderedPageBreak/>
        <w:t>korisne projekte. Postoje četiri osnove vrste grupnog financiranja s obzirom na povrat uloženoga donatorima, platforme se temelje na donacijama, nagradama, posuđivanju ili vlasničkim udjelima.</w:t>
      </w:r>
      <w:r w:rsidR="00012D16" w:rsidRPr="006414E6">
        <w:rPr>
          <w:rFonts w:cs="Times New Roman"/>
        </w:rPr>
        <w:t xml:space="preserve"> </w:t>
      </w:r>
      <w:r w:rsidRPr="006414E6">
        <w:rPr>
          <w:rFonts w:cs="Times New Roman"/>
        </w:rPr>
        <w:t>U energetskom sektoru grupno financiranje je čest način financiranja projekata energetskih zadruga.</w:t>
      </w:r>
    </w:p>
    <w:p w14:paraId="1A5DFC7A" w14:textId="77777777" w:rsidR="00C60CFD" w:rsidRPr="006414E6" w:rsidRDefault="006F346E" w:rsidP="00F415A7">
      <w:pPr>
        <w:pStyle w:val="Heading3"/>
      </w:pPr>
      <w:bookmarkStart w:id="301" w:name="_Toc39133312"/>
      <w:bookmarkStart w:id="302" w:name="_Hlk38274947"/>
      <w:r w:rsidRPr="006414E6">
        <w:t>7.2.</w:t>
      </w:r>
      <w:r w:rsidR="00012D16" w:rsidRPr="006414E6">
        <w:t>1</w:t>
      </w:r>
      <w:r w:rsidR="00F97946" w:rsidRPr="006414E6">
        <w:t>.</w:t>
      </w:r>
      <w:r w:rsidRPr="006414E6">
        <w:t xml:space="preserve"> </w:t>
      </w:r>
      <w:r w:rsidR="000E5653" w:rsidRPr="006414E6">
        <w:tab/>
      </w:r>
      <w:r w:rsidR="00747CF6" w:rsidRPr="006414E6">
        <w:t>Nove f</w:t>
      </w:r>
      <w:r w:rsidRPr="006414E6">
        <w:t>ina</w:t>
      </w:r>
      <w:r w:rsidR="00747CF6" w:rsidRPr="006414E6">
        <w:t>ncijske perspektive</w:t>
      </w:r>
      <w:r w:rsidRPr="006414E6">
        <w:t xml:space="preserve"> Europskog zelenog plana</w:t>
      </w:r>
      <w:bookmarkEnd w:id="301"/>
    </w:p>
    <w:p w14:paraId="43ED1612" w14:textId="37587EBE" w:rsidR="002C7601" w:rsidRPr="006414E6" w:rsidRDefault="004E1377" w:rsidP="002C7601">
      <w:pPr>
        <w:pStyle w:val="NormalWeb"/>
        <w:rPr>
          <w:rFonts w:eastAsia="Times New Roman" w:cs="Times New Roman"/>
          <w:color w:val="000000"/>
          <w:szCs w:val="24"/>
          <w:lang w:eastAsia="hr-HR"/>
        </w:rPr>
      </w:pPr>
      <w:r w:rsidRPr="006414E6">
        <w:rPr>
          <w:rFonts w:cs="Times New Roman"/>
        </w:rPr>
        <w:t>E</w:t>
      </w:r>
      <w:r w:rsidR="00BE536C" w:rsidRPr="006414E6">
        <w:rPr>
          <w:rFonts w:cs="Times New Roman"/>
        </w:rPr>
        <w:t>K</w:t>
      </w:r>
      <w:r w:rsidRPr="006414E6">
        <w:rPr>
          <w:rFonts w:cs="Times New Roman"/>
        </w:rPr>
        <w:t xml:space="preserve"> </w:t>
      </w:r>
      <w:r w:rsidR="002C7601" w:rsidRPr="006414E6">
        <w:rPr>
          <w:rFonts w:cs="Times New Roman"/>
        </w:rPr>
        <w:t xml:space="preserve">je početkom 2020. godine predstavila </w:t>
      </w:r>
      <w:r w:rsidRPr="006414E6">
        <w:rPr>
          <w:rFonts w:cs="Times New Roman"/>
        </w:rPr>
        <w:t xml:space="preserve">Plan ulaganja za održivu Europu kako bi pomogla osigurati potrebna dodatna financijska sredstva. </w:t>
      </w:r>
      <w:r w:rsidR="002C7601" w:rsidRPr="006414E6">
        <w:rPr>
          <w:rFonts w:cs="Times New Roman"/>
        </w:rPr>
        <w:t xml:space="preserve">Planom ulaganja za europski zeleni plan mobilizirat će se sredstva EU-a i stvoriti okvir za olakšavanje i stimuliranje javnih i privatnih ulaganja koja su potrebna za tranziciju prema klimatski neutralnom, zelenom, konkurentnom i </w:t>
      </w:r>
      <w:proofErr w:type="spellStart"/>
      <w:r w:rsidR="002C7601" w:rsidRPr="006414E6">
        <w:rPr>
          <w:rFonts w:cs="Times New Roman"/>
        </w:rPr>
        <w:t>uključivom</w:t>
      </w:r>
      <w:proofErr w:type="spellEnd"/>
      <w:r w:rsidR="002C7601" w:rsidRPr="006414E6">
        <w:rPr>
          <w:rFonts w:cs="Times New Roman"/>
        </w:rPr>
        <w:t xml:space="preserve"> </w:t>
      </w:r>
      <w:r w:rsidR="002C7601" w:rsidRPr="006414E6">
        <w:rPr>
          <w:rFonts w:cs="Times New Roman"/>
          <w:szCs w:val="24"/>
        </w:rPr>
        <w:t xml:space="preserve">gospodarstvu. </w:t>
      </w:r>
      <w:r w:rsidR="002C7601" w:rsidRPr="006414E6">
        <w:rPr>
          <w:rFonts w:eastAsia="Times New Roman" w:cs="Times New Roman"/>
          <w:color w:val="000000"/>
          <w:szCs w:val="24"/>
          <w:lang w:eastAsia="hr-HR"/>
        </w:rPr>
        <w:t>Plan dopunjuje druge inicijative najavljene u okviru zelenog plana, a obuhvaća tri dimenzije:</w:t>
      </w:r>
    </w:p>
    <w:p w14:paraId="797479D1" w14:textId="77777777" w:rsidR="002C7601" w:rsidRPr="006414E6" w:rsidRDefault="002C7601" w:rsidP="008C2A8A">
      <w:pPr>
        <w:numPr>
          <w:ilvl w:val="0"/>
          <w:numId w:val="91"/>
        </w:numPr>
        <w:spacing w:before="100" w:beforeAutospacing="1" w:after="100" w:afterAutospacing="1" w:line="240" w:lineRule="auto"/>
        <w:rPr>
          <w:rFonts w:eastAsia="Times New Roman" w:cs="Times New Roman"/>
          <w:color w:val="000000"/>
          <w:szCs w:val="24"/>
          <w:lang w:eastAsia="hr-HR"/>
        </w:rPr>
      </w:pPr>
      <w:r w:rsidRPr="006414E6">
        <w:rPr>
          <w:rFonts w:eastAsia="Times New Roman" w:cs="Times New Roman"/>
          <w:color w:val="000000"/>
          <w:szCs w:val="24"/>
          <w:lang w:eastAsia="hr-HR"/>
        </w:rPr>
        <w:t>Financiranje: tijekom sljedećeg desetljeća mobilizirat će se održiva ulaganja u vrijednosti od najmanje bilijun eura. Za djelovanja u području okoliša i klime izdvojit će se dosad najveći iznos iz proračuna EU-a, što bi trebalo privući i privatna ulaganja, a glavnu ulogu imat će Europska investicijska banka.</w:t>
      </w:r>
    </w:p>
    <w:p w14:paraId="0472397F" w14:textId="77777777" w:rsidR="002C7601" w:rsidRPr="006414E6" w:rsidRDefault="002C7601" w:rsidP="008C2A8A">
      <w:pPr>
        <w:numPr>
          <w:ilvl w:val="0"/>
          <w:numId w:val="91"/>
        </w:numPr>
        <w:spacing w:before="100" w:beforeAutospacing="1" w:after="100" w:afterAutospacing="1" w:line="240" w:lineRule="auto"/>
        <w:rPr>
          <w:rFonts w:eastAsia="Times New Roman" w:cs="Times New Roman"/>
          <w:color w:val="000000"/>
          <w:szCs w:val="24"/>
          <w:lang w:eastAsia="hr-HR"/>
        </w:rPr>
      </w:pPr>
      <w:r w:rsidRPr="006414E6">
        <w:rPr>
          <w:rFonts w:eastAsia="Times New Roman" w:cs="Times New Roman"/>
          <w:color w:val="000000"/>
          <w:szCs w:val="24"/>
          <w:lang w:eastAsia="hr-HR"/>
        </w:rPr>
        <w:t>Pogodni uvjeti: davat će se poticaji za privlačenje i preusmjeravanje ulaganja iz javnog i privatnog sektora. EU će pomoći ulagateljima tako što će davati prednost održivom financiranju, a javnim će tijelima olakšati održiva ulaganja poticanjem izrade zelenog proračuna i zelene javne nabave. Osim toga, pojednostavnit će postupke za odobravanje državne potpore za regije u kojima je potrebno osigurati pravednu tranziciju.</w:t>
      </w:r>
    </w:p>
    <w:p w14:paraId="2D146646" w14:textId="77777777" w:rsidR="002C7601" w:rsidRPr="006414E6" w:rsidRDefault="002C7601" w:rsidP="008C2A8A">
      <w:pPr>
        <w:numPr>
          <w:ilvl w:val="0"/>
          <w:numId w:val="91"/>
        </w:numPr>
        <w:spacing w:before="100" w:beforeAutospacing="1" w:after="100" w:afterAutospacing="1" w:line="240" w:lineRule="auto"/>
        <w:rPr>
          <w:rFonts w:eastAsia="Times New Roman" w:cs="Times New Roman"/>
          <w:color w:val="000000"/>
          <w:szCs w:val="24"/>
          <w:lang w:eastAsia="hr-HR"/>
        </w:rPr>
      </w:pPr>
      <w:r w:rsidRPr="006414E6">
        <w:rPr>
          <w:rFonts w:eastAsia="Times New Roman" w:cs="Times New Roman"/>
          <w:color w:val="000000"/>
          <w:szCs w:val="24"/>
          <w:lang w:eastAsia="hr-HR"/>
        </w:rPr>
        <w:t>Praktična potpora: Komisija će pomoći javnim tijelima i nositeljima projekata u planiranju, osmišljavanju i realizaciji održivih projekata.</w:t>
      </w:r>
    </w:p>
    <w:p w14:paraId="1F6A6897" w14:textId="77777777" w:rsidR="002C7601" w:rsidRPr="006414E6" w:rsidRDefault="002C7601" w:rsidP="008C2A8A">
      <w:pPr>
        <w:spacing w:before="100" w:beforeAutospacing="1" w:after="100" w:afterAutospacing="1" w:line="240" w:lineRule="auto"/>
        <w:rPr>
          <w:rFonts w:eastAsia="Times New Roman" w:cs="Times New Roman"/>
          <w:color w:val="000000"/>
          <w:szCs w:val="24"/>
          <w:lang w:eastAsia="hr-HR"/>
        </w:rPr>
      </w:pPr>
      <w:r w:rsidRPr="006414E6">
        <w:rPr>
          <w:rFonts w:eastAsia="Times New Roman" w:cs="Times New Roman"/>
          <w:color w:val="000000"/>
          <w:szCs w:val="24"/>
          <w:lang w:eastAsia="hr-HR"/>
        </w:rPr>
        <w:t>Mehanizam za pravednu tranziciju najvažniji je alat za pravednu tranziciju prema klimatski neutralnom gospodarstvu pri kojoj nitko neće biti zapostavljen. Iako će svim regijama trebati financijska pomoć, što je i predviđeno planom ulaganja za europski zeleni plan, u okviru mehanizma u razdoblju 2021. – 2027</w:t>
      </w:r>
      <w:r w:rsidR="00CA30ED" w:rsidRPr="006414E6">
        <w:rPr>
          <w:rFonts w:eastAsia="Times New Roman" w:cs="Times New Roman"/>
          <w:color w:val="000000"/>
          <w:szCs w:val="24"/>
          <w:lang w:eastAsia="hr-HR"/>
        </w:rPr>
        <w:t>.</w:t>
      </w:r>
      <w:r w:rsidRPr="006414E6">
        <w:rPr>
          <w:rFonts w:eastAsia="Times New Roman" w:cs="Times New Roman"/>
          <w:color w:val="000000"/>
          <w:szCs w:val="24"/>
          <w:lang w:eastAsia="hr-HR"/>
        </w:rPr>
        <w:t xml:space="preserve"> mobilizirat će se najmanje 100 milijardi eura u obliku ciljane potpore za ublažavanje socioekonomskih posljedica tranzicije u </w:t>
      </w:r>
      <w:proofErr w:type="spellStart"/>
      <w:r w:rsidRPr="006414E6">
        <w:rPr>
          <w:rFonts w:eastAsia="Times New Roman" w:cs="Times New Roman"/>
          <w:color w:val="000000"/>
          <w:szCs w:val="24"/>
          <w:lang w:eastAsia="hr-HR"/>
        </w:rPr>
        <w:t>najpogođenijim</w:t>
      </w:r>
      <w:proofErr w:type="spellEnd"/>
      <w:r w:rsidRPr="006414E6">
        <w:rPr>
          <w:rFonts w:eastAsia="Times New Roman" w:cs="Times New Roman"/>
          <w:color w:val="000000"/>
          <w:szCs w:val="24"/>
          <w:lang w:eastAsia="hr-HR"/>
        </w:rPr>
        <w:t xml:space="preserve"> regijama. Mehanizmom će se potaknuti potrebna ulaganja kako bi se pomoglo zajednicama koje ovise o industriji fosilnih goriva.</w:t>
      </w:r>
    </w:p>
    <w:p w14:paraId="503B2459" w14:textId="77777777" w:rsidR="002C7601" w:rsidRPr="006414E6" w:rsidRDefault="002C7601" w:rsidP="002C7601">
      <w:pPr>
        <w:spacing w:before="100" w:beforeAutospacing="1" w:after="100" w:afterAutospacing="1" w:line="240" w:lineRule="auto"/>
        <w:jc w:val="left"/>
        <w:rPr>
          <w:rFonts w:eastAsia="Times New Roman" w:cs="Times New Roman"/>
          <w:color w:val="000000"/>
          <w:szCs w:val="24"/>
          <w:lang w:eastAsia="hr-HR"/>
        </w:rPr>
      </w:pPr>
      <w:r w:rsidRPr="006414E6">
        <w:rPr>
          <w:rFonts w:eastAsia="Times New Roman" w:cs="Times New Roman"/>
          <w:color w:val="000000"/>
          <w:szCs w:val="24"/>
          <w:lang w:eastAsia="hr-HR"/>
        </w:rPr>
        <w:t>Mehanizam za pravednu tranziciju obuhvaćat će tri glavna izvora financiranja:</w:t>
      </w:r>
    </w:p>
    <w:p w14:paraId="07EE5A5B" w14:textId="565BE317" w:rsidR="002C7601" w:rsidRPr="006414E6" w:rsidRDefault="00BE3EF1" w:rsidP="008C2A8A">
      <w:pPr>
        <w:spacing w:before="100" w:beforeAutospacing="1" w:after="100" w:afterAutospacing="1" w:line="240" w:lineRule="auto"/>
        <w:rPr>
          <w:rFonts w:eastAsia="Times New Roman" w:cs="Times New Roman"/>
          <w:color w:val="000000"/>
          <w:szCs w:val="24"/>
          <w:lang w:eastAsia="hr-HR"/>
        </w:rPr>
      </w:pPr>
      <w:r>
        <w:rPr>
          <w:rFonts w:eastAsia="Times New Roman" w:cs="Times New Roman"/>
          <w:b/>
          <w:bCs/>
          <w:color w:val="000000"/>
          <w:szCs w:val="24"/>
          <w:lang w:eastAsia="hr-HR"/>
        </w:rPr>
        <w:t xml:space="preserve">1. </w:t>
      </w:r>
      <w:r w:rsidR="002C7601" w:rsidRPr="006414E6">
        <w:rPr>
          <w:rFonts w:eastAsia="Times New Roman" w:cs="Times New Roman"/>
          <w:b/>
          <w:bCs/>
          <w:color w:val="000000"/>
          <w:szCs w:val="24"/>
          <w:lang w:eastAsia="hr-HR"/>
        </w:rPr>
        <w:t>Fond za pravednu tranziciju</w:t>
      </w:r>
      <w:r w:rsidR="002C7601" w:rsidRPr="006414E6">
        <w:rPr>
          <w:rFonts w:eastAsia="Times New Roman" w:cs="Times New Roman"/>
          <w:color w:val="000000"/>
          <w:szCs w:val="24"/>
          <w:lang w:eastAsia="hr-HR"/>
        </w:rPr>
        <w:t xml:space="preserve">, za koji će se izdvojiti nova sredstva EU-a u iznosu od 7,5 milijardi eura i koji je jedan od prioriteta iz prijedloga </w:t>
      </w:r>
      <w:r w:rsidR="00CA30ED" w:rsidRPr="006414E6">
        <w:rPr>
          <w:rFonts w:eastAsia="Times New Roman" w:cs="Times New Roman"/>
          <w:color w:val="000000"/>
          <w:szCs w:val="24"/>
          <w:lang w:eastAsia="hr-HR"/>
        </w:rPr>
        <w:t>E</w:t>
      </w:r>
      <w:r w:rsidR="002C7601" w:rsidRPr="006414E6">
        <w:rPr>
          <w:rFonts w:eastAsia="Times New Roman" w:cs="Times New Roman"/>
          <w:color w:val="000000"/>
          <w:szCs w:val="24"/>
          <w:lang w:eastAsia="hr-HR"/>
        </w:rPr>
        <w:t>K za sljedeći dugoročni proračun EU-a. Kako bi mogle povući svoj dio sredstava iz Fonda</w:t>
      </w:r>
      <w:r w:rsidR="00CA30ED" w:rsidRPr="006414E6">
        <w:rPr>
          <w:rFonts w:eastAsia="Times New Roman" w:cs="Times New Roman"/>
          <w:color w:val="000000"/>
          <w:szCs w:val="24"/>
          <w:lang w:eastAsia="hr-HR"/>
        </w:rPr>
        <w:t xml:space="preserve"> za pravednu tranziciju</w:t>
      </w:r>
      <w:r w:rsidR="002C7601" w:rsidRPr="006414E6">
        <w:rPr>
          <w:rFonts w:eastAsia="Times New Roman" w:cs="Times New Roman"/>
          <w:color w:val="000000"/>
          <w:szCs w:val="24"/>
          <w:lang w:eastAsia="hr-HR"/>
        </w:rPr>
        <w:t xml:space="preserve">, države članice moraju u dijalogu s </w:t>
      </w:r>
      <w:r w:rsidR="00CA30ED" w:rsidRPr="006414E6">
        <w:rPr>
          <w:rFonts w:eastAsia="Times New Roman" w:cs="Times New Roman"/>
          <w:color w:val="000000"/>
          <w:szCs w:val="24"/>
          <w:lang w:eastAsia="hr-HR"/>
        </w:rPr>
        <w:t>E</w:t>
      </w:r>
      <w:r w:rsidR="002C7601" w:rsidRPr="006414E6">
        <w:rPr>
          <w:rFonts w:eastAsia="Times New Roman" w:cs="Times New Roman"/>
          <w:color w:val="000000"/>
          <w:szCs w:val="24"/>
          <w:lang w:eastAsia="hr-HR"/>
        </w:rPr>
        <w:t>K</w:t>
      </w:r>
      <w:r w:rsidR="00CA30ED" w:rsidRPr="006414E6">
        <w:rPr>
          <w:rFonts w:eastAsia="Times New Roman" w:cs="Times New Roman"/>
          <w:color w:val="000000"/>
          <w:szCs w:val="24"/>
          <w:lang w:eastAsia="hr-HR"/>
        </w:rPr>
        <w:t xml:space="preserve"> </w:t>
      </w:r>
      <w:r w:rsidR="002C7601" w:rsidRPr="006414E6">
        <w:rPr>
          <w:rFonts w:eastAsia="Times New Roman" w:cs="Times New Roman"/>
          <w:color w:val="000000"/>
          <w:szCs w:val="24"/>
          <w:lang w:eastAsia="hr-HR"/>
        </w:rPr>
        <w:t>izraditi teritorijalne planove za pravednu tranziciju te u njima utvrditi teritorije kojima je potrebna pomoć. Bespovratna sredstva iz Fonda za pravednu tranziciju prvenstveno su namijenjena regijama. Konkretno, davat će se potpora za razvoj vještina i kompetencija za tržište rada budućnosti</w:t>
      </w:r>
      <w:r w:rsidR="00CA30ED" w:rsidRPr="006414E6">
        <w:rPr>
          <w:rFonts w:eastAsia="Times New Roman" w:cs="Times New Roman"/>
          <w:color w:val="000000"/>
          <w:szCs w:val="24"/>
          <w:lang w:eastAsia="hr-HR"/>
        </w:rPr>
        <w:t xml:space="preserve"> te će se </w:t>
      </w:r>
      <w:r w:rsidR="002C7601" w:rsidRPr="006414E6">
        <w:rPr>
          <w:rFonts w:eastAsia="Times New Roman" w:cs="Times New Roman"/>
          <w:color w:val="000000"/>
          <w:szCs w:val="24"/>
          <w:lang w:eastAsia="hr-HR"/>
        </w:rPr>
        <w:t>pomoći u stvaranju novih gospodarskih prilika u tim regijama. Podupirat će se i ulaganja u prelazak na čistu energiju, primjerice ulaganja u energetsku učinkovitost.</w:t>
      </w:r>
    </w:p>
    <w:p w14:paraId="5E0CF760" w14:textId="77777777" w:rsidR="002C7601" w:rsidRPr="006414E6" w:rsidRDefault="002C7601" w:rsidP="008C2A8A">
      <w:pPr>
        <w:spacing w:before="100" w:beforeAutospacing="1" w:after="100" w:afterAutospacing="1" w:line="240" w:lineRule="auto"/>
        <w:rPr>
          <w:rFonts w:eastAsia="Times New Roman" w:cs="Times New Roman"/>
          <w:color w:val="000000"/>
          <w:szCs w:val="24"/>
          <w:lang w:eastAsia="hr-HR"/>
        </w:rPr>
      </w:pPr>
      <w:r w:rsidRPr="006414E6">
        <w:rPr>
          <w:rFonts w:eastAsia="Times New Roman" w:cs="Times New Roman"/>
          <w:b/>
          <w:bCs/>
          <w:color w:val="000000"/>
          <w:szCs w:val="24"/>
          <w:lang w:eastAsia="hr-HR"/>
        </w:rPr>
        <w:t xml:space="preserve">2. Poseban program za pravednu tranziciju u okviru programa </w:t>
      </w:r>
      <w:proofErr w:type="spellStart"/>
      <w:r w:rsidRPr="006414E6">
        <w:rPr>
          <w:rFonts w:eastAsia="Times New Roman" w:cs="Times New Roman"/>
          <w:b/>
          <w:bCs/>
          <w:color w:val="000000"/>
          <w:szCs w:val="24"/>
          <w:lang w:eastAsia="hr-HR"/>
        </w:rPr>
        <w:t>InvestEU</w:t>
      </w:r>
      <w:proofErr w:type="spellEnd"/>
      <w:r w:rsidRPr="006414E6">
        <w:rPr>
          <w:rFonts w:eastAsia="Times New Roman" w:cs="Times New Roman"/>
          <w:color w:val="000000"/>
          <w:szCs w:val="24"/>
          <w:lang w:eastAsia="hr-HR"/>
        </w:rPr>
        <w:t>, kojim će se mobilizirati ulaganja u vrijednosti do 45 milijardi eura. Cilj je privući ulaganja iz privatnog sektora, uključujući ulaganja u održivu energiju i promet, kako bi se gospodarstvima u tim regijama osigurali novi izvori rasta. </w:t>
      </w:r>
    </w:p>
    <w:p w14:paraId="327AFF0F" w14:textId="5C313739" w:rsidR="002C7601" w:rsidRPr="006414E6" w:rsidRDefault="00BE3EF1" w:rsidP="008C2A8A">
      <w:pPr>
        <w:spacing w:before="100" w:beforeAutospacing="1" w:after="100" w:afterAutospacing="1" w:line="240" w:lineRule="auto"/>
        <w:rPr>
          <w:rFonts w:eastAsia="Times New Roman" w:cs="Times New Roman"/>
          <w:color w:val="000000"/>
          <w:szCs w:val="24"/>
          <w:lang w:eastAsia="hr-HR"/>
        </w:rPr>
      </w:pPr>
      <w:r>
        <w:rPr>
          <w:rFonts w:eastAsia="Times New Roman" w:cs="Times New Roman"/>
          <w:b/>
          <w:bCs/>
          <w:color w:val="000000"/>
          <w:szCs w:val="24"/>
          <w:lang w:eastAsia="hr-HR"/>
        </w:rPr>
        <w:t xml:space="preserve">3. </w:t>
      </w:r>
      <w:r w:rsidR="002C7601" w:rsidRPr="006414E6">
        <w:rPr>
          <w:rFonts w:eastAsia="Times New Roman" w:cs="Times New Roman"/>
          <w:b/>
          <w:bCs/>
          <w:color w:val="000000"/>
          <w:szCs w:val="24"/>
          <w:lang w:eastAsia="hr-HR"/>
        </w:rPr>
        <w:t>Instrument za kreditiranje u javnom sektoru uz uključivanje Europske investicijske banke koji se podupire iz proračuna EU-a</w:t>
      </w:r>
      <w:r w:rsidR="002C7601" w:rsidRPr="006414E6">
        <w:rPr>
          <w:rFonts w:eastAsia="Times New Roman" w:cs="Times New Roman"/>
          <w:color w:val="000000"/>
          <w:szCs w:val="24"/>
          <w:lang w:eastAsia="hr-HR"/>
        </w:rPr>
        <w:t xml:space="preserve"> omogućit će mobilizaciju ulaganja u iznosu 25 – 30 milijardi eura. Tim će se instrumentom osigurati zajmovi za javni sektor, primjerice za ulaganja u mreže centraliziranoga grijanja i obnovu zgrada. </w:t>
      </w:r>
    </w:p>
    <w:p w14:paraId="3397AC7B" w14:textId="77777777" w:rsidR="002C7601" w:rsidRPr="006414E6" w:rsidRDefault="002C7601" w:rsidP="008C2A8A">
      <w:pPr>
        <w:spacing w:before="100" w:beforeAutospacing="1" w:after="100" w:afterAutospacing="1" w:line="240" w:lineRule="auto"/>
        <w:rPr>
          <w:rFonts w:eastAsia="Times New Roman" w:cs="Times New Roman"/>
          <w:color w:val="000000"/>
          <w:szCs w:val="24"/>
          <w:lang w:eastAsia="hr-HR"/>
        </w:rPr>
      </w:pPr>
      <w:r w:rsidRPr="006414E6">
        <w:rPr>
          <w:rFonts w:eastAsia="Times New Roman" w:cs="Times New Roman"/>
          <w:color w:val="000000"/>
          <w:szCs w:val="24"/>
          <w:lang w:eastAsia="hr-HR"/>
        </w:rPr>
        <w:lastRenderedPageBreak/>
        <w:t xml:space="preserve">Mehanizam za pravednu tranziciju ne nudi samo financijska sredstva: preko platforme za pravednu tranziciju </w:t>
      </w:r>
      <w:r w:rsidR="00803117" w:rsidRPr="006414E6">
        <w:rPr>
          <w:rFonts w:eastAsia="Times New Roman" w:cs="Times New Roman"/>
          <w:color w:val="000000"/>
          <w:szCs w:val="24"/>
          <w:lang w:eastAsia="hr-HR"/>
        </w:rPr>
        <w:t>E</w:t>
      </w:r>
      <w:r w:rsidRPr="006414E6">
        <w:rPr>
          <w:rFonts w:eastAsia="Times New Roman" w:cs="Times New Roman"/>
          <w:color w:val="000000"/>
          <w:szCs w:val="24"/>
          <w:lang w:eastAsia="hr-HR"/>
        </w:rPr>
        <w:t>K će davati tehničku podršku državama članicama i ulagateljima te uključiti relevantne zajednice, lokalna tijela, socijalne partnere i nevladine organizacije. Mehanizam za pravednu tranziciju uključivat će snažan okvir za upravljanje koji će se temeljiti na teritorijalnim planovima za pravednu tranziciju.</w:t>
      </w:r>
    </w:p>
    <w:p w14:paraId="0F04E176" w14:textId="77777777" w:rsidR="00F97946" w:rsidRPr="006414E6" w:rsidRDefault="004330FD" w:rsidP="006B211F">
      <w:pPr>
        <w:rPr>
          <w:rFonts w:cs="Times New Roman"/>
        </w:rPr>
      </w:pPr>
      <w:r w:rsidRPr="006414E6">
        <w:rPr>
          <w:rFonts w:cs="Times New Roman"/>
        </w:rPr>
        <w:t>Republik</w:t>
      </w:r>
      <w:r w:rsidR="00BE536C" w:rsidRPr="006414E6">
        <w:rPr>
          <w:rFonts w:cs="Times New Roman"/>
        </w:rPr>
        <w:t>a</w:t>
      </w:r>
      <w:r w:rsidRPr="006414E6">
        <w:rPr>
          <w:rFonts w:cs="Times New Roman"/>
        </w:rPr>
        <w:t xml:space="preserve"> Hrvatska treba pojačati administrativne kapacitete za implementaciju novih instrumenata financiranja, to uključuje i pravodobno i kvalitetno planiranje</w:t>
      </w:r>
      <w:r w:rsidR="00101C53" w:rsidRPr="006414E6">
        <w:rPr>
          <w:rFonts w:cs="Times New Roman"/>
        </w:rPr>
        <w:t xml:space="preserve"> i programiranje fondova i programa financiranja,</w:t>
      </w:r>
      <w:r w:rsidRPr="006414E6">
        <w:rPr>
          <w:rFonts w:cs="Times New Roman"/>
        </w:rPr>
        <w:t xml:space="preserve"> na svim razinama kako bi se raspoloživa</w:t>
      </w:r>
      <w:r w:rsidR="00101C53" w:rsidRPr="006414E6">
        <w:rPr>
          <w:rFonts w:cs="Times New Roman"/>
        </w:rPr>
        <w:t xml:space="preserve"> sredstva koristila učinkovito i namjenski za realizaciju postavljenih ciljeva. Republika Hrvatska ima nedostatak kapaciteta za pripremu projekata, potrebno </w:t>
      </w:r>
      <w:r w:rsidR="00095F64" w:rsidRPr="006414E6">
        <w:rPr>
          <w:rFonts w:cs="Times New Roman"/>
        </w:rPr>
        <w:t>osigurati financiranja pripremnih faza</w:t>
      </w:r>
      <w:r w:rsidR="00101C53" w:rsidRPr="006414E6">
        <w:rPr>
          <w:rFonts w:cs="Times New Roman"/>
        </w:rPr>
        <w:t xml:space="preserve"> projekata temeljem iskustva dobre prakse u svijetu.</w:t>
      </w:r>
    </w:p>
    <w:p w14:paraId="3A45744A" w14:textId="77777777" w:rsidR="00B60964" w:rsidRPr="006414E6" w:rsidRDefault="00B60964" w:rsidP="006B211F">
      <w:pPr>
        <w:rPr>
          <w:rFonts w:cs="Times New Roman"/>
        </w:rPr>
      </w:pPr>
      <w:r w:rsidRPr="006414E6">
        <w:rPr>
          <w:rFonts w:cs="Times New Roman"/>
        </w:rPr>
        <w:t>Ključno će za financiranje u razdoblju do 2030. godine biti u kojoj mjeri će klimatske aktivnosti biti zastupljene u Partnerskom sporazumu Republike Hrvatske i operativnim programima za korištenje EU fondova, za financijsko razdoblje 2021.-2027. godine.</w:t>
      </w:r>
      <w:r w:rsidR="00A81A90" w:rsidRPr="006414E6">
        <w:rPr>
          <w:rFonts w:cs="Times New Roman"/>
        </w:rPr>
        <w:t xml:space="preserve"> </w:t>
      </w:r>
    </w:p>
    <w:p w14:paraId="7D6E81E4" w14:textId="07B9E166" w:rsidR="009A2FAA" w:rsidRPr="006414E6" w:rsidRDefault="00967FA8" w:rsidP="00F415A7">
      <w:pPr>
        <w:pStyle w:val="Heading1"/>
      </w:pPr>
      <w:bookmarkStart w:id="303" w:name="_Toc20841314"/>
      <w:bookmarkStart w:id="304" w:name="_Toc20841420"/>
      <w:bookmarkStart w:id="305" w:name="_Toc39133313"/>
      <w:bookmarkEnd w:id="290"/>
      <w:bookmarkEnd w:id="302"/>
      <w:r w:rsidRPr="006414E6">
        <w:t>8</w:t>
      </w:r>
      <w:r w:rsidR="0038415A" w:rsidRPr="006414E6">
        <w:t xml:space="preserve">. </w:t>
      </w:r>
      <w:r w:rsidR="00C51945" w:rsidRPr="006414E6">
        <w:tab/>
      </w:r>
      <w:r w:rsidR="0038415A" w:rsidRPr="006414E6">
        <w:t>UTJECAJ SCENARIJA NA OKOLIŠ, GOSPODARSTVO I DRUŠTVO</w:t>
      </w:r>
      <w:bookmarkEnd w:id="303"/>
      <w:bookmarkEnd w:id="304"/>
      <w:bookmarkEnd w:id="305"/>
    </w:p>
    <w:p w14:paraId="4970C53A" w14:textId="770B4F6C" w:rsidR="00482258" w:rsidRPr="006414E6" w:rsidRDefault="00967FA8" w:rsidP="00F415A7">
      <w:pPr>
        <w:pStyle w:val="Heading2"/>
      </w:pPr>
      <w:bookmarkStart w:id="306" w:name="_Toc20841315"/>
      <w:bookmarkStart w:id="307" w:name="_Toc20841421"/>
      <w:bookmarkStart w:id="308" w:name="_Toc39133314"/>
      <w:r w:rsidRPr="006414E6">
        <w:t>8</w:t>
      </w:r>
      <w:r w:rsidR="00482258" w:rsidRPr="006414E6">
        <w:t xml:space="preserve">.1. </w:t>
      </w:r>
      <w:r w:rsidR="000E5653" w:rsidRPr="006414E6">
        <w:tab/>
      </w:r>
      <w:r w:rsidR="00482258" w:rsidRPr="006414E6">
        <w:t>UTJECAJ NA OKOLIŠ I PRIRODU</w:t>
      </w:r>
      <w:bookmarkEnd w:id="306"/>
      <w:bookmarkEnd w:id="307"/>
      <w:bookmarkEnd w:id="308"/>
    </w:p>
    <w:p w14:paraId="08108720" w14:textId="77777777" w:rsidR="00CE62FD" w:rsidRPr="006414E6" w:rsidRDefault="00CE62FD" w:rsidP="00BE3EF1">
      <w:pPr>
        <w:rPr>
          <w:rFonts w:cs="Times New Roman"/>
        </w:rPr>
      </w:pPr>
      <w:r w:rsidRPr="006414E6">
        <w:rPr>
          <w:rFonts w:cs="Times New Roman"/>
        </w:rPr>
        <w:t xml:space="preserve">Iako provedba </w:t>
      </w:r>
      <w:proofErr w:type="spellStart"/>
      <w:r w:rsidRPr="006414E6">
        <w:rPr>
          <w:rFonts w:cs="Times New Roman"/>
        </w:rPr>
        <w:t>Niskougljične</w:t>
      </w:r>
      <w:proofErr w:type="spellEnd"/>
      <w:r w:rsidRPr="006414E6">
        <w:rPr>
          <w:rFonts w:cs="Times New Roman"/>
        </w:rPr>
        <w:t xml:space="preserve"> strategije ima pozitivan učinak na smanjenje emisij</w:t>
      </w:r>
      <w:r w:rsidR="00C052BB" w:rsidRPr="006414E6">
        <w:rPr>
          <w:rFonts w:cs="Times New Roman"/>
        </w:rPr>
        <w:t>a</w:t>
      </w:r>
      <w:r w:rsidRPr="006414E6">
        <w:rPr>
          <w:rFonts w:cs="Times New Roman"/>
        </w:rPr>
        <w:t xml:space="preserve"> stakleničkih plinova, neki aspekti </w:t>
      </w:r>
      <w:proofErr w:type="spellStart"/>
      <w:r w:rsidRPr="006414E6">
        <w:rPr>
          <w:rFonts w:cs="Times New Roman"/>
        </w:rPr>
        <w:t>niskougljičnog</w:t>
      </w:r>
      <w:proofErr w:type="spellEnd"/>
      <w:r w:rsidRPr="006414E6">
        <w:rPr>
          <w:rFonts w:cs="Times New Roman"/>
        </w:rPr>
        <w:t xml:space="preserve"> razvoja predstavljaju potencijalnu prijetnju za pojedine sastavnice okoliša i prirodu. Primjeri su: korištenje obnovljivih izvora energije za proizvodnju električne energije i/ili topline i izgradnja </w:t>
      </w:r>
      <w:proofErr w:type="spellStart"/>
      <w:r w:rsidRPr="006414E6">
        <w:rPr>
          <w:rFonts w:cs="Times New Roman"/>
        </w:rPr>
        <w:t>kogeneracijskih</w:t>
      </w:r>
      <w:proofErr w:type="spellEnd"/>
      <w:r w:rsidRPr="006414E6">
        <w:rPr>
          <w:rFonts w:cs="Times New Roman"/>
        </w:rPr>
        <w:t xml:space="preserve"> postrojenja, trajno skladištenje ugljikovog dioksida te aktivnosti koje mogu dovesti do neposredne ili posredne promjene u korištenju i/ili iskorištavanju poljoprivrednog i šumskog zemljišta i prostora u cjelini (smanjenje udjela </w:t>
      </w:r>
      <w:proofErr w:type="spellStart"/>
      <w:r w:rsidRPr="006414E6">
        <w:rPr>
          <w:rFonts w:cs="Times New Roman"/>
        </w:rPr>
        <w:t>klinkera</w:t>
      </w:r>
      <w:proofErr w:type="spellEnd"/>
      <w:r w:rsidRPr="006414E6">
        <w:rPr>
          <w:rFonts w:cs="Times New Roman"/>
        </w:rPr>
        <w:t xml:space="preserve"> u proizvodnji cementa, korištenje alternativnih goriva - biogoriva u prijevozu, uvođenje novih poljoprivrednih kultura, uključivo i sadnju energetskih usjeva, realizacija </w:t>
      </w:r>
      <w:proofErr w:type="spellStart"/>
      <w:r w:rsidRPr="006414E6">
        <w:rPr>
          <w:rFonts w:cs="Times New Roman"/>
        </w:rPr>
        <w:t>hidromelioracijskih</w:t>
      </w:r>
      <w:proofErr w:type="spellEnd"/>
      <w:r w:rsidRPr="006414E6">
        <w:rPr>
          <w:rFonts w:cs="Times New Roman"/>
        </w:rPr>
        <w:t xml:space="preserve"> zahvata i sustava zaštite od nepogoda te dr.). </w:t>
      </w:r>
    </w:p>
    <w:p w14:paraId="4B66738E" w14:textId="77777777" w:rsidR="00CE62FD" w:rsidRPr="006414E6" w:rsidRDefault="00CE62FD" w:rsidP="00CE62FD">
      <w:pPr>
        <w:rPr>
          <w:rFonts w:cs="Times New Roman"/>
        </w:rPr>
      </w:pPr>
      <w:r w:rsidRPr="006414E6">
        <w:rPr>
          <w:rFonts w:cs="Times New Roman"/>
        </w:rPr>
        <w:t xml:space="preserve">Sukladno propisima koji uređuju zaštitu okoliša, za </w:t>
      </w:r>
      <w:proofErr w:type="spellStart"/>
      <w:r w:rsidRPr="006414E6">
        <w:rPr>
          <w:rFonts w:cs="Times New Roman"/>
        </w:rPr>
        <w:t>Niskougljičnu</w:t>
      </w:r>
      <w:proofErr w:type="spellEnd"/>
      <w:r w:rsidRPr="006414E6">
        <w:rPr>
          <w:rFonts w:cs="Times New Roman"/>
        </w:rPr>
        <w:t xml:space="preserve"> strategiju provodi se postupak strateške procjene utjecaja na okoliš, u kojem se, između ostaloga, procjenjuju vjerojatno značajni utjecaji na okoliš koji mogu nastati provedbom </w:t>
      </w:r>
      <w:proofErr w:type="spellStart"/>
      <w:r w:rsidRPr="006414E6">
        <w:rPr>
          <w:rFonts w:cs="Times New Roman"/>
        </w:rPr>
        <w:t>Niskougljične</w:t>
      </w:r>
      <w:proofErr w:type="spellEnd"/>
      <w:r w:rsidRPr="006414E6">
        <w:rPr>
          <w:rFonts w:cs="Times New Roman"/>
        </w:rPr>
        <w:t xml:space="preserve"> strategije. Sukladno provedenom postupku prethodne ocjene prihvatljivosti za ekološku mrežu, u okviru strateške procjene provodi se i glavna ocjena prihvatljivosti </w:t>
      </w:r>
      <w:proofErr w:type="spellStart"/>
      <w:r w:rsidRPr="006414E6">
        <w:rPr>
          <w:rFonts w:cs="Times New Roman"/>
        </w:rPr>
        <w:t>Niskougljične</w:t>
      </w:r>
      <w:proofErr w:type="spellEnd"/>
      <w:r w:rsidRPr="006414E6">
        <w:rPr>
          <w:rFonts w:cs="Times New Roman"/>
        </w:rPr>
        <w:t xml:space="preserve"> strategije za ekološku mrežu. Strateška procjena provodi se tijekom izrade nacrta prijedloga </w:t>
      </w:r>
      <w:proofErr w:type="spellStart"/>
      <w:r w:rsidRPr="006414E6">
        <w:rPr>
          <w:rFonts w:cs="Times New Roman"/>
        </w:rPr>
        <w:t>Niskougljične</w:t>
      </w:r>
      <w:proofErr w:type="spellEnd"/>
      <w:r w:rsidRPr="006414E6">
        <w:rPr>
          <w:rFonts w:cs="Times New Roman"/>
        </w:rPr>
        <w:t xml:space="preserve"> strategije, prije utvrđivanja njenog konačnog prijedloga i upućivanja u postupak donošenja, kako bi se osiguralo da se bitni elementi zaštite okoliše i prirode uključe u </w:t>
      </w:r>
      <w:proofErr w:type="spellStart"/>
      <w:r w:rsidRPr="006414E6">
        <w:rPr>
          <w:rFonts w:cs="Times New Roman"/>
        </w:rPr>
        <w:t>Niskougljičnu</w:t>
      </w:r>
      <w:proofErr w:type="spellEnd"/>
      <w:r w:rsidRPr="006414E6">
        <w:rPr>
          <w:rFonts w:cs="Times New Roman"/>
        </w:rPr>
        <w:t xml:space="preserve"> strategiju. Mjere zaštite okoliša i mjere ublažavanja utjecaja na ekološku mrežu iz postupka strateške procjene uključene su u </w:t>
      </w:r>
      <w:proofErr w:type="spellStart"/>
      <w:r w:rsidRPr="006414E6">
        <w:rPr>
          <w:rFonts w:cs="Times New Roman"/>
        </w:rPr>
        <w:t>Niskougl</w:t>
      </w:r>
      <w:r w:rsidR="00C052BB" w:rsidRPr="006414E6">
        <w:rPr>
          <w:rFonts w:cs="Times New Roman"/>
        </w:rPr>
        <w:t>jičnu</w:t>
      </w:r>
      <w:proofErr w:type="spellEnd"/>
      <w:r w:rsidR="00C052BB" w:rsidRPr="006414E6">
        <w:rPr>
          <w:rFonts w:cs="Times New Roman"/>
        </w:rPr>
        <w:t xml:space="preserve"> strategiju i navedene su P</w:t>
      </w:r>
      <w:r w:rsidRPr="006414E6">
        <w:rPr>
          <w:rFonts w:cs="Times New Roman"/>
        </w:rPr>
        <w:t>oglavlju 1</w:t>
      </w:r>
      <w:r w:rsidR="00C45598" w:rsidRPr="006414E6">
        <w:rPr>
          <w:rFonts w:cs="Times New Roman"/>
        </w:rPr>
        <w:t>4.4</w:t>
      </w:r>
      <w:r w:rsidRPr="006414E6">
        <w:rPr>
          <w:rFonts w:cs="Times New Roman"/>
        </w:rPr>
        <w:t>.</w:t>
      </w:r>
    </w:p>
    <w:p w14:paraId="2CE296B3" w14:textId="77777777" w:rsidR="00CC338B" w:rsidRPr="006414E6" w:rsidRDefault="00CE62FD" w:rsidP="00313063">
      <w:pPr>
        <w:rPr>
          <w:rFonts w:cs="Times New Roman"/>
        </w:rPr>
      </w:pPr>
      <w:r w:rsidRPr="006414E6">
        <w:rPr>
          <w:rFonts w:cs="Times New Roman"/>
        </w:rPr>
        <w:t>Vezano uz konkretne projekte</w:t>
      </w:r>
      <w:r w:rsidR="00C052BB" w:rsidRPr="006414E6">
        <w:rPr>
          <w:rFonts w:cs="Times New Roman"/>
        </w:rPr>
        <w:t xml:space="preserve"> – </w:t>
      </w:r>
      <w:r w:rsidRPr="006414E6">
        <w:rPr>
          <w:rFonts w:cs="Times New Roman"/>
        </w:rPr>
        <w:t xml:space="preserve">zahvate, planove i programe koji će proizaći provedbom </w:t>
      </w:r>
      <w:proofErr w:type="spellStart"/>
      <w:r w:rsidRPr="006414E6">
        <w:rPr>
          <w:rFonts w:cs="Times New Roman"/>
        </w:rPr>
        <w:t>Niskougljične</w:t>
      </w:r>
      <w:proofErr w:type="spellEnd"/>
      <w:r w:rsidRPr="006414E6">
        <w:rPr>
          <w:rFonts w:cs="Times New Roman"/>
        </w:rPr>
        <w:t xml:space="preserve"> strategije, propisima s područja zaštite okoliša i prirode određeno je u kojim slučajevima se provode postupci u kojima se razmatraju pitanja zaštite okoliša i prirode, na osnovu detaljnijih podataka o zahvatima, planovima i programima i značajkama lokacija na kojima se oni planiraju. Osim tih postupaka, zaštita okoliša i prirode provodi se i kroz uvjete niza drugih propisa kao što su primjerice propisi koji uređuju prostorno planiranje, gradnju, zaštitu poljoprivrednog zemljišta</w:t>
      </w:r>
      <w:r w:rsidR="00EE240D" w:rsidRPr="006414E6">
        <w:rPr>
          <w:rFonts w:cs="Times New Roman"/>
        </w:rPr>
        <w:t>, zaštitu kulturnih dobara</w:t>
      </w:r>
      <w:r w:rsidRPr="006414E6">
        <w:rPr>
          <w:rFonts w:cs="Times New Roman"/>
        </w:rPr>
        <w:t xml:space="preserve"> i dr. Dakle, utjecaji na okoliš i prirodu koji proizlaze iz provedbe </w:t>
      </w:r>
      <w:proofErr w:type="spellStart"/>
      <w:r w:rsidRPr="006414E6">
        <w:rPr>
          <w:rFonts w:cs="Times New Roman"/>
        </w:rPr>
        <w:t>Niskougljične</w:t>
      </w:r>
      <w:proofErr w:type="spellEnd"/>
      <w:r w:rsidRPr="006414E6">
        <w:rPr>
          <w:rFonts w:cs="Times New Roman"/>
        </w:rPr>
        <w:t xml:space="preserve"> strategije neće se samo jednokratno razmatrati u strateškoj procjeni utjecaja na okoliš, već će se isto razmatrati i provoditi i dalje, kroz niz postupaka i obveza koji proizlaze iz propisa koji uređuju zaštitu okoliša i prirode te druga područja.</w:t>
      </w:r>
    </w:p>
    <w:p w14:paraId="4A587441" w14:textId="77777777" w:rsidR="00482258" w:rsidRPr="006414E6" w:rsidRDefault="00967FA8" w:rsidP="00F415A7">
      <w:pPr>
        <w:pStyle w:val="Heading2"/>
      </w:pPr>
      <w:bookmarkStart w:id="309" w:name="_Toc20841316"/>
      <w:bookmarkStart w:id="310" w:name="_Toc20841422"/>
      <w:bookmarkStart w:id="311" w:name="_Toc39133315"/>
      <w:r w:rsidRPr="006414E6">
        <w:lastRenderedPageBreak/>
        <w:t>8</w:t>
      </w:r>
      <w:r w:rsidR="000E5653" w:rsidRPr="006414E6">
        <w:t>.2.</w:t>
      </w:r>
      <w:r w:rsidR="00C51945" w:rsidRPr="006414E6">
        <w:tab/>
      </w:r>
      <w:r w:rsidR="00482258" w:rsidRPr="006414E6">
        <w:t>UTJECAJ NA GOSPODARSTVO</w:t>
      </w:r>
      <w:bookmarkEnd w:id="309"/>
      <w:bookmarkEnd w:id="310"/>
      <w:bookmarkEnd w:id="311"/>
    </w:p>
    <w:p w14:paraId="06EDD624" w14:textId="77777777" w:rsidR="00230056" w:rsidRPr="006414E6" w:rsidRDefault="00230056" w:rsidP="00230056">
      <w:pPr>
        <w:rPr>
          <w:rFonts w:cs="Times New Roman"/>
        </w:rPr>
      </w:pPr>
      <w:r w:rsidRPr="006414E6">
        <w:rPr>
          <w:rFonts w:cs="Times New Roman"/>
        </w:rPr>
        <w:t xml:space="preserve">Utjecaj na gospodarstvo očituje se kroz složene strukturne promjene. S pozitivne strane, rastu ekonomska aktivnost, zaposlenost i inovacije u sektorima koji proizvode čistu energiju, ulažu u energetsku učinkovitost, kao i u dijelovima gospodarstva koji će aktivno sudjelovati u održivom gospodarenju otpadom i kružnoj ekonomiji. S time su povezane i značajne dugoročne investicije koje imaju i multiplikativne učinke. S negativne strane, dolazi do određenog rasta troškova energije i s time povezanog pada gospodarske aktivnosti te postupno dolazi do manje zaposlenosti u sektorima i aktivnostima koji koriste tradicionalne tehnologije zasnovane na fosilnim gorivima. </w:t>
      </w:r>
    </w:p>
    <w:p w14:paraId="54A638BC" w14:textId="77777777" w:rsidR="00910158" w:rsidRPr="006414E6" w:rsidRDefault="00230056" w:rsidP="00230056">
      <w:pPr>
        <w:rPr>
          <w:rFonts w:cs="Times New Roman"/>
        </w:rPr>
      </w:pPr>
      <w:r w:rsidRPr="006414E6">
        <w:rPr>
          <w:rFonts w:cs="Times New Roman"/>
        </w:rPr>
        <w:t xml:space="preserve">Važno je uzeti u obzir da Republika Hrvatska ostvaruje značajna financijska sredstva od europskih strukturnih i investicijskih fondova te mehanizama u okviru ETS-a. Općenito, prihodi koje može ostvariti </w:t>
      </w:r>
      <w:r w:rsidR="00910158" w:rsidRPr="006414E6">
        <w:rPr>
          <w:rFonts w:cs="Times New Roman"/>
        </w:rPr>
        <w:t>Republika Hrvatska</w:t>
      </w:r>
      <w:r w:rsidRPr="006414E6">
        <w:rPr>
          <w:rFonts w:cs="Times New Roman"/>
        </w:rPr>
        <w:t xml:space="preserve"> iz EU fondova nadmašuju davanja za proračun EU. Svi ovi prihodi pomažu gospodarskom rastu bez potrebe za rastom zaduženosti, a sredstva se ulažu u održive projekte koji vraćaju uložene investicije. </w:t>
      </w:r>
    </w:p>
    <w:p w14:paraId="09660BF9" w14:textId="77777777" w:rsidR="009944AA" w:rsidRPr="006414E6" w:rsidRDefault="009944AA" w:rsidP="00230056">
      <w:pPr>
        <w:rPr>
          <w:rFonts w:cs="Times New Roman"/>
        </w:rPr>
      </w:pPr>
      <w:r w:rsidRPr="006414E6">
        <w:rPr>
          <w:rFonts w:cs="Times New Roman"/>
        </w:rPr>
        <w:t xml:space="preserve">Sadašnje strategije pametne specijalizacije, industrijskog razvoja i poticanja inovacija pokrivaju razdoblje do 2020. Nove politike </w:t>
      </w:r>
      <w:proofErr w:type="spellStart"/>
      <w:r w:rsidRPr="006414E6">
        <w:rPr>
          <w:rFonts w:cs="Times New Roman"/>
        </w:rPr>
        <w:t>niskougljičnog</w:t>
      </w:r>
      <w:proofErr w:type="spellEnd"/>
      <w:r w:rsidRPr="006414E6">
        <w:rPr>
          <w:rFonts w:cs="Times New Roman"/>
        </w:rPr>
        <w:t xml:space="preserve">, energetskog i industrijskog razvoja, pametne specijalizacije kao i sve ostale, treba uskladiti kako bi hrvatska poduzeća ostvarila konkurentnost potrebnu za proizvodnju opreme i uređaja te pružanje usluga vezanih uz </w:t>
      </w:r>
      <w:proofErr w:type="spellStart"/>
      <w:r w:rsidRPr="006414E6">
        <w:rPr>
          <w:rFonts w:cs="Times New Roman"/>
        </w:rPr>
        <w:t>niskougljični</w:t>
      </w:r>
      <w:proofErr w:type="spellEnd"/>
      <w:r w:rsidRPr="006414E6">
        <w:rPr>
          <w:rFonts w:cs="Times New Roman"/>
        </w:rPr>
        <w:t xml:space="preserve"> razvoj na našem i međunarodnom tržištu.</w:t>
      </w:r>
    </w:p>
    <w:p w14:paraId="53A12CCA" w14:textId="77777777" w:rsidR="00230056" w:rsidRPr="006414E6" w:rsidRDefault="00230056" w:rsidP="00230056">
      <w:pPr>
        <w:rPr>
          <w:rFonts w:cs="Times New Roman"/>
          <w:u w:val="single"/>
        </w:rPr>
      </w:pPr>
      <w:r w:rsidRPr="006414E6">
        <w:rPr>
          <w:rFonts w:cs="Times New Roman"/>
          <w:u w:val="single"/>
        </w:rPr>
        <w:t>Energetskom tranzicijom težište troškova prelazi s troškova za gorivo na investicije</w:t>
      </w:r>
    </w:p>
    <w:p w14:paraId="5E6388B8" w14:textId="5D983D2D" w:rsidR="00230056" w:rsidRPr="006414E6" w:rsidRDefault="00230056" w:rsidP="00230056">
      <w:pPr>
        <w:rPr>
          <w:rFonts w:cs="Times New Roman"/>
        </w:rPr>
      </w:pPr>
      <w:proofErr w:type="spellStart"/>
      <w:r w:rsidRPr="006414E6">
        <w:rPr>
          <w:rFonts w:cs="Times New Roman"/>
        </w:rPr>
        <w:t>Niskougljičnim</w:t>
      </w:r>
      <w:proofErr w:type="spellEnd"/>
      <w:r w:rsidRPr="006414E6">
        <w:rPr>
          <w:rFonts w:cs="Times New Roman"/>
        </w:rPr>
        <w:t xml:space="preserve"> razvojem u energetskom sustavu težište troškova se premješta s troškova za nabavu goriva na investicijske troškove. Bit će potrebne kontinuirane investicije kako bi se u dužem roku ostvario troškovno učinkovit </w:t>
      </w:r>
      <w:proofErr w:type="spellStart"/>
      <w:r w:rsidRPr="006414E6">
        <w:rPr>
          <w:rFonts w:cs="Times New Roman"/>
        </w:rPr>
        <w:t>niskougljični</w:t>
      </w:r>
      <w:proofErr w:type="spellEnd"/>
      <w:r w:rsidRPr="006414E6">
        <w:rPr>
          <w:rFonts w:cs="Times New Roman"/>
        </w:rPr>
        <w:t xml:space="preserve"> razvoj. Investicije se prvenstveno moraju pokrenuti u sektorima neposredne potrošnje energije – kućanstvima, uslugama, prometu i industriji. S obzirom na razvoj konkurentnosti </w:t>
      </w:r>
      <w:r w:rsidR="001A0C44" w:rsidRPr="006414E6">
        <w:rPr>
          <w:rFonts w:cs="Times New Roman"/>
        </w:rPr>
        <w:t>obnovljivih izvora energije</w:t>
      </w:r>
      <w:r w:rsidRPr="006414E6">
        <w:rPr>
          <w:rFonts w:cs="Times New Roman"/>
        </w:rPr>
        <w:t xml:space="preserve"> te utjecaj mjera u neposrednoj potrošnji na manju potražnju</w:t>
      </w:r>
      <w:r w:rsidR="001A0C44" w:rsidRPr="006414E6">
        <w:rPr>
          <w:rFonts w:cs="Times New Roman"/>
        </w:rPr>
        <w:t xml:space="preserve"> za energijom</w:t>
      </w:r>
      <w:r w:rsidRPr="006414E6">
        <w:rPr>
          <w:rFonts w:cs="Times New Roman"/>
        </w:rPr>
        <w:t xml:space="preserve">, troškovi u sektoru energetskih transformacija mogu biti i manji nego u </w:t>
      </w:r>
      <w:r w:rsidR="001A0C44" w:rsidRPr="006414E6">
        <w:rPr>
          <w:rFonts w:cs="Times New Roman"/>
        </w:rPr>
        <w:t xml:space="preserve">NUR </w:t>
      </w:r>
      <w:r w:rsidRPr="006414E6">
        <w:rPr>
          <w:rFonts w:cs="Times New Roman"/>
        </w:rPr>
        <w:t>scenariju jer dolazi do ušteda u sektoru nafte i plina (značajnije nakon 2030. godine) te manje potrošnje električne energije</w:t>
      </w:r>
      <w:r w:rsidR="00642788" w:rsidRPr="006414E6">
        <w:rPr>
          <w:rFonts w:cs="Times New Roman"/>
        </w:rPr>
        <w:t>. Troškovi mogu b</w:t>
      </w:r>
      <w:r w:rsidRPr="006414E6">
        <w:rPr>
          <w:rFonts w:cs="Times New Roman"/>
        </w:rPr>
        <w:t>iti i značajno veći u slučaju snažne elektrifikacije u sektoru prometa i veće potrošnje električne energije.</w:t>
      </w:r>
    </w:p>
    <w:p w14:paraId="0991420F" w14:textId="77777777" w:rsidR="00230056" w:rsidRPr="006414E6" w:rsidRDefault="00CA0657" w:rsidP="00230056">
      <w:pPr>
        <w:rPr>
          <w:rFonts w:cs="Times New Roman"/>
          <w:u w:val="single"/>
        </w:rPr>
      </w:pPr>
      <w:r w:rsidRPr="006414E6">
        <w:rPr>
          <w:rFonts w:cs="Times New Roman"/>
          <w:u w:val="single"/>
        </w:rPr>
        <w:t>R</w:t>
      </w:r>
      <w:r w:rsidR="00230056" w:rsidRPr="006414E6">
        <w:rPr>
          <w:rFonts w:cs="Times New Roman"/>
          <w:u w:val="single"/>
        </w:rPr>
        <w:t>ast jediničnih troškova energije</w:t>
      </w:r>
      <w:r w:rsidRPr="006414E6">
        <w:rPr>
          <w:rFonts w:cs="Times New Roman"/>
          <w:u w:val="single"/>
        </w:rPr>
        <w:t xml:space="preserve"> te smanjenje </w:t>
      </w:r>
      <w:r w:rsidR="00230056" w:rsidRPr="006414E6">
        <w:rPr>
          <w:rFonts w:cs="Times New Roman"/>
          <w:u w:val="single"/>
        </w:rPr>
        <w:t>potrošnj</w:t>
      </w:r>
      <w:r w:rsidRPr="006414E6">
        <w:rPr>
          <w:rFonts w:cs="Times New Roman"/>
          <w:u w:val="single"/>
        </w:rPr>
        <w:t>e energije</w:t>
      </w:r>
    </w:p>
    <w:p w14:paraId="267F0FB4" w14:textId="77777777" w:rsidR="00230056" w:rsidRPr="006414E6" w:rsidRDefault="00230056" w:rsidP="00230056">
      <w:pPr>
        <w:rPr>
          <w:rFonts w:cs="Times New Roman"/>
        </w:rPr>
      </w:pPr>
      <w:r w:rsidRPr="006414E6">
        <w:rPr>
          <w:rFonts w:cs="Times New Roman"/>
        </w:rPr>
        <w:t>Rast cijena energije fosilnih goriva u pravilu negativno utječe na gospodarstvo ovisno o uvozu</w:t>
      </w:r>
      <w:r w:rsidR="00CA0657" w:rsidRPr="006414E6">
        <w:rPr>
          <w:rFonts w:cs="Times New Roman"/>
        </w:rPr>
        <w:t xml:space="preserve">, </w:t>
      </w:r>
      <w:r w:rsidRPr="006414E6">
        <w:rPr>
          <w:rFonts w:cs="Times New Roman"/>
        </w:rPr>
        <w:t xml:space="preserve">no potiče primjenu mjera energetske učinkovitosti i </w:t>
      </w:r>
      <w:r w:rsidR="00CA0657" w:rsidRPr="006414E6">
        <w:rPr>
          <w:rFonts w:cs="Times New Roman"/>
        </w:rPr>
        <w:t xml:space="preserve">korištenja </w:t>
      </w:r>
      <w:r w:rsidRPr="006414E6">
        <w:rPr>
          <w:rFonts w:cs="Times New Roman"/>
        </w:rPr>
        <w:t>OIE te se energetskom tranzicijom smanjuje osjetljivost gospodarstva na uvozne cijene fosilnog goriva.</w:t>
      </w:r>
    </w:p>
    <w:p w14:paraId="1682077A" w14:textId="77777777" w:rsidR="00230056" w:rsidRPr="006414E6" w:rsidRDefault="00230056" w:rsidP="00230056">
      <w:pPr>
        <w:rPr>
          <w:rFonts w:cs="Times New Roman"/>
        </w:rPr>
      </w:pPr>
      <w:r w:rsidRPr="006414E6">
        <w:rPr>
          <w:rFonts w:cs="Times New Roman"/>
        </w:rPr>
        <w:t xml:space="preserve">Rast cijena energije za krajnje kupce ima negativan utjecaj na osobnu potrošnju građana, ali će dodatno potaknuti mjere energetske učinkovitosti i razvoj malih integriranih fotonaponskih sustava za vlastitu potrošnju. </w:t>
      </w:r>
    </w:p>
    <w:p w14:paraId="73E286EA" w14:textId="77777777" w:rsidR="00230056" w:rsidRPr="006414E6" w:rsidRDefault="00230056" w:rsidP="00230056">
      <w:pPr>
        <w:rPr>
          <w:rFonts w:cs="Times New Roman"/>
        </w:rPr>
      </w:pPr>
      <w:r w:rsidRPr="006414E6">
        <w:rPr>
          <w:rFonts w:cs="Times New Roman"/>
        </w:rPr>
        <w:t>Potrebno je identificirati energetski intenzivnu industriju osjetljivu na rast cijena energije i ugrožene kupce energije (energetsko siromaštvo) te razraditi programe za smanjivanje tereta i jačanje otpornosti za industriju i za ugrožene kupce. Težište mjera treba biti na primjeni mjera energetske učinkovitosti i OIE za vlastitu potrošnju</w:t>
      </w:r>
      <w:r w:rsidR="00D33E21" w:rsidRPr="006414E6">
        <w:rPr>
          <w:rFonts w:cs="Times New Roman"/>
        </w:rPr>
        <w:t>,</w:t>
      </w:r>
      <w:r w:rsidRPr="006414E6">
        <w:rPr>
          <w:rFonts w:cs="Times New Roman"/>
        </w:rPr>
        <w:t xml:space="preserve"> kako bi se smanjila osjetljivost o tržišnim cijenama.</w:t>
      </w:r>
    </w:p>
    <w:p w14:paraId="51A68EB1" w14:textId="77777777" w:rsidR="00230056" w:rsidRPr="006414E6" w:rsidRDefault="00230056" w:rsidP="00BE3EF1">
      <w:pPr>
        <w:rPr>
          <w:rFonts w:cs="Times New Roman"/>
          <w:u w:val="single"/>
        </w:rPr>
      </w:pPr>
      <w:r w:rsidRPr="006414E6">
        <w:rPr>
          <w:rFonts w:cs="Times New Roman"/>
          <w:u w:val="single"/>
        </w:rPr>
        <w:t>Održivim gospodarenjem otpadom i kružnim gospodarstvom dolazi do ušteda sirovina</w:t>
      </w:r>
    </w:p>
    <w:p w14:paraId="55D3EDE5" w14:textId="77777777" w:rsidR="00230056" w:rsidRPr="006414E6" w:rsidRDefault="00230056" w:rsidP="00BE3EF1">
      <w:pPr>
        <w:rPr>
          <w:rFonts w:cs="Times New Roman"/>
        </w:rPr>
      </w:pPr>
      <w:r w:rsidRPr="006414E6">
        <w:rPr>
          <w:rFonts w:cs="Times New Roman"/>
        </w:rPr>
        <w:lastRenderedPageBreak/>
        <w:t xml:space="preserve">Prema dosadašnjoj praksi gospodarenja otpadom preko </w:t>
      </w:r>
      <w:r w:rsidR="00642788" w:rsidRPr="006414E6">
        <w:rPr>
          <w:rFonts w:cs="Times New Roman"/>
        </w:rPr>
        <w:t>72</w:t>
      </w:r>
      <w:r w:rsidRPr="006414E6">
        <w:rPr>
          <w:rFonts w:cs="Times New Roman"/>
        </w:rPr>
        <w:t xml:space="preserve">% otpada se </w:t>
      </w:r>
      <w:r w:rsidR="00CA0657" w:rsidRPr="006414E6">
        <w:rPr>
          <w:rFonts w:cs="Times New Roman"/>
        </w:rPr>
        <w:t xml:space="preserve">odlagalo </w:t>
      </w:r>
      <w:r w:rsidRPr="006414E6">
        <w:rPr>
          <w:rFonts w:cs="Times New Roman"/>
        </w:rPr>
        <w:t xml:space="preserve">na odlagališta. Postoje procjene da se time u samo deset godina bacilo sirovine poput stakla, papira, plastike i metala vrijednih preko 5 </w:t>
      </w:r>
      <w:proofErr w:type="spellStart"/>
      <w:r w:rsidRPr="006414E6">
        <w:rPr>
          <w:rFonts w:cs="Times New Roman"/>
        </w:rPr>
        <w:t>mlrd</w:t>
      </w:r>
      <w:proofErr w:type="spellEnd"/>
      <w:r w:rsidRPr="006414E6">
        <w:rPr>
          <w:rFonts w:cs="Times New Roman"/>
        </w:rPr>
        <w:t>. kuna.</w:t>
      </w:r>
    </w:p>
    <w:p w14:paraId="29A5A4EC" w14:textId="77777777" w:rsidR="00C700B7" w:rsidRPr="006414E6" w:rsidRDefault="00CA0657" w:rsidP="00CA0657">
      <w:pPr>
        <w:rPr>
          <w:rFonts w:cs="Times New Roman"/>
          <w:szCs w:val="24"/>
        </w:rPr>
      </w:pPr>
      <w:r w:rsidRPr="006414E6">
        <w:rPr>
          <w:rFonts w:cs="Times New Roman"/>
          <w:szCs w:val="24"/>
        </w:rPr>
        <w:t>Gospodarenje otpadom predviđ</w:t>
      </w:r>
      <w:r w:rsidR="000A2808" w:rsidRPr="006414E6">
        <w:rPr>
          <w:rFonts w:cs="Times New Roman"/>
          <w:szCs w:val="24"/>
        </w:rPr>
        <w:t xml:space="preserve">a </w:t>
      </w:r>
      <w:r w:rsidRPr="006414E6">
        <w:rPr>
          <w:rFonts w:cs="Times New Roman"/>
          <w:szCs w:val="24"/>
        </w:rPr>
        <w:t>sustav recikliranja u kućanstvima</w:t>
      </w:r>
      <w:r w:rsidR="000A2808" w:rsidRPr="006414E6">
        <w:rPr>
          <w:rFonts w:cs="Times New Roman"/>
          <w:szCs w:val="24"/>
        </w:rPr>
        <w:t xml:space="preserve"> te </w:t>
      </w:r>
      <w:r w:rsidRPr="006414E6">
        <w:rPr>
          <w:rFonts w:cs="Times New Roman"/>
          <w:szCs w:val="24"/>
        </w:rPr>
        <w:t xml:space="preserve">centre za gospodarenje otpadom (CGO) </w:t>
      </w:r>
      <w:r w:rsidR="000A2808" w:rsidRPr="006414E6">
        <w:rPr>
          <w:rFonts w:cs="Times New Roman"/>
          <w:szCs w:val="24"/>
        </w:rPr>
        <w:t xml:space="preserve">u kojima nastaju proizvodi koji </w:t>
      </w:r>
      <w:r w:rsidRPr="006414E6">
        <w:rPr>
          <w:rFonts w:cs="Times New Roman"/>
          <w:szCs w:val="24"/>
        </w:rPr>
        <w:t>mogu poslužiti kao energetska i materijalna sirovina u proizvodnji energije i novih sirovina, a također i kao sirovina z</w:t>
      </w:r>
      <w:r w:rsidR="00C700B7" w:rsidRPr="006414E6">
        <w:rPr>
          <w:rFonts w:cs="Times New Roman"/>
          <w:szCs w:val="24"/>
        </w:rPr>
        <w:t>a proizvodnju naprednih goriva.</w:t>
      </w:r>
    </w:p>
    <w:p w14:paraId="7AFE6E93" w14:textId="734A6C01" w:rsidR="000A2808" w:rsidRPr="006414E6" w:rsidRDefault="000A2808" w:rsidP="00C700B7">
      <w:pPr>
        <w:rPr>
          <w:rFonts w:cs="Times New Roman"/>
        </w:rPr>
      </w:pPr>
      <w:r w:rsidRPr="006414E6">
        <w:rPr>
          <w:rFonts w:cs="Times New Roman"/>
        </w:rPr>
        <w:t>Gospodarenje proizvodnim otpadom, u skladu sa zakonodavst</w:t>
      </w:r>
      <w:r w:rsidR="002019AF" w:rsidRPr="006414E6">
        <w:rPr>
          <w:rFonts w:cs="Times New Roman"/>
        </w:rPr>
        <w:t>vom Republike Hrvatske</w:t>
      </w:r>
      <w:r w:rsidRPr="006414E6">
        <w:rPr>
          <w:rFonts w:cs="Times New Roman"/>
        </w:rPr>
        <w:t xml:space="preserve"> i EU-a te u skladu s načelima kružnog gospodarstva i </w:t>
      </w:r>
      <w:proofErr w:type="spellStart"/>
      <w:r w:rsidRPr="006414E6">
        <w:rPr>
          <w:rFonts w:cs="Times New Roman"/>
        </w:rPr>
        <w:t>biogospodarstva</w:t>
      </w:r>
      <w:proofErr w:type="spellEnd"/>
      <w:r w:rsidRPr="006414E6">
        <w:rPr>
          <w:rFonts w:cs="Times New Roman"/>
        </w:rPr>
        <w:t>, otvara brojne mogućnosti energetske (ali i materijalne) oporabe otpada za industrijski sektor koji može koristiti vlastiti otpad kao izvor energije (sirovine) za svoje proizvodne procese.</w:t>
      </w:r>
    </w:p>
    <w:p w14:paraId="6DF4EB88" w14:textId="1919F79D" w:rsidR="00A235F6" w:rsidRPr="006414E6" w:rsidRDefault="00A235F6" w:rsidP="00C700B7">
      <w:pPr>
        <w:rPr>
          <w:rFonts w:cs="Times New Roman"/>
        </w:rPr>
      </w:pPr>
      <w:r w:rsidRPr="006414E6">
        <w:rPr>
          <w:rFonts w:cs="Times New Roman"/>
        </w:rPr>
        <w:t>Kružno gospodarenje prostorom i zgradama, prema kojemu postojeći prostori i zgrade predstavljaju bitne resurse, omogućava zadržavanje njihove vrijednosti jer se prostor i zgrade učinkovito i neprekidno koriste, optimizira se odnos primarnih i sekundarnih resursa, radikalno se smanjuje količina otpada, racionalizira se potrošnja energije i uporaba materijala, sprječavanje stvaranja otpada, recikliranje i smanjenje opasnih kemikalija, te se razvijaju novi materijali i tehnologije. Posljedično se očekuje da će mjere osigurati gospodarsku stabilnost temeljem neovisnosti od primamih sirovina, ekonomski rast temeljem veće vrijednosti materijala i povećanje stope zaposlenosti.</w:t>
      </w:r>
    </w:p>
    <w:p w14:paraId="230A8A44" w14:textId="77777777" w:rsidR="00230056" w:rsidRPr="006414E6" w:rsidRDefault="00230056" w:rsidP="00230056">
      <w:pPr>
        <w:rPr>
          <w:rFonts w:cs="Times New Roman"/>
          <w:u w:val="single"/>
        </w:rPr>
      </w:pPr>
      <w:r w:rsidRPr="006414E6">
        <w:rPr>
          <w:rFonts w:cs="Times New Roman"/>
          <w:u w:val="single"/>
        </w:rPr>
        <w:t>Prilike za inovacije i razvoj industrije</w:t>
      </w:r>
    </w:p>
    <w:p w14:paraId="1DEB5044" w14:textId="77777777" w:rsidR="00230056" w:rsidRPr="006414E6" w:rsidRDefault="00230056" w:rsidP="00230056">
      <w:pPr>
        <w:rPr>
          <w:rFonts w:cs="Times New Roman"/>
        </w:rPr>
      </w:pPr>
      <w:proofErr w:type="spellStart"/>
      <w:r w:rsidRPr="006414E6">
        <w:rPr>
          <w:rFonts w:cs="Times New Roman"/>
        </w:rPr>
        <w:t>Niskougljičnim</w:t>
      </w:r>
      <w:proofErr w:type="spellEnd"/>
      <w:r w:rsidRPr="006414E6">
        <w:rPr>
          <w:rFonts w:cs="Times New Roman"/>
        </w:rPr>
        <w:t xml:space="preserve"> razvojem otvaraju se nove tržišne niše. Uključivanje domaće industrije u nova razvojna područja </w:t>
      </w:r>
      <w:r w:rsidR="00D33E21" w:rsidRPr="006414E6">
        <w:rPr>
          <w:rFonts w:cs="Times New Roman"/>
        </w:rPr>
        <w:t>je</w:t>
      </w:r>
      <w:r w:rsidRPr="006414E6">
        <w:rPr>
          <w:rFonts w:cs="Times New Roman"/>
        </w:rPr>
        <w:t xml:space="preserve"> prilika za razvoj inovacija, konkurentnosti i industrijski razvoj koji može biti snažan generator rasta BDP-a i zaposlenosti. </w:t>
      </w:r>
    </w:p>
    <w:p w14:paraId="44108C37" w14:textId="77777777" w:rsidR="002E7E49" w:rsidRPr="006414E6" w:rsidRDefault="002E7E49" w:rsidP="00230056">
      <w:pPr>
        <w:rPr>
          <w:rFonts w:cs="Times New Roman"/>
        </w:rPr>
      </w:pPr>
      <w:r w:rsidRPr="006414E6">
        <w:rPr>
          <w:rFonts w:cs="Times New Roman"/>
        </w:rPr>
        <w:t xml:space="preserve">Sadašnje strategija pametne specijalizacije, industrijskog razvoja i poticanja inovacija pokrivaju razdoblje </w:t>
      </w:r>
      <w:r w:rsidR="00283635" w:rsidRPr="006414E6">
        <w:rPr>
          <w:rFonts w:cs="Times New Roman"/>
        </w:rPr>
        <w:t xml:space="preserve">do </w:t>
      </w:r>
      <w:r w:rsidRPr="006414E6">
        <w:rPr>
          <w:rFonts w:cs="Times New Roman"/>
        </w:rPr>
        <w:t xml:space="preserve">2020. </w:t>
      </w:r>
      <w:r w:rsidR="00283635" w:rsidRPr="006414E6">
        <w:rPr>
          <w:rFonts w:cs="Times New Roman"/>
        </w:rPr>
        <w:t xml:space="preserve">godine. </w:t>
      </w:r>
      <w:r w:rsidRPr="006414E6">
        <w:rPr>
          <w:rFonts w:cs="Times New Roman"/>
        </w:rPr>
        <w:t xml:space="preserve">Nove politike </w:t>
      </w:r>
      <w:proofErr w:type="spellStart"/>
      <w:r w:rsidRPr="006414E6">
        <w:rPr>
          <w:rFonts w:cs="Times New Roman"/>
        </w:rPr>
        <w:t>niskougljičnog</w:t>
      </w:r>
      <w:proofErr w:type="spellEnd"/>
      <w:r w:rsidRPr="006414E6">
        <w:rPr>
          <w:rFonts w:cs="Times New Roman"/>
        </w:rPr>
        <w:t xml:space="preserve">, energetskog i industrijskog razvoja, pametne specijalizacije kao i sve ostale, treba uskladiti kako bi hrvatska poduzeća ostvarila konkurentnost potrebnu za proizvodnju opreme i uređaja te pružanje usluga vezanih uz </w:t>
      </w:r>
      <w:proofErr w:type="spellStart"/>
      <w:r w:rsidRPr="006414E6">
        <w:rPr>
          <w:rFonts w:cs="Times New Roman"/>
        </w:rPr>
        <w:t>niskougljični</w:t>
      </w:r>
      <w:proofErr w:type="spellEnd"/>
      <w:r w:rsidRPr="006414E6">
        <w:rPr>
          <w:rFonts w:cs="Times New Roman"/>
        </w:rPr>
        <w:t xml:space="preserve"> razvoj na našem i međunarodnom tržištu.</w:t>
      </w:r>
    </w:p>
    <w:p w14:paraId="2D85C8E3" w14:textId="77777777" w:rsidR="00230056" w:rsidRPr="006414E6" w:rsidRDefault="00910158" w:rsidP="00230056">
      <w:pPr>
        <w:rPr>
          <w:rFonts w:cs="Times New Roman"/>
          <w:u w:val="single"/>
        </w:rPr>
      </w:pPr>
      <w:r w:rsidRPr="006414E6">
        <w:rPr>
          <w:rFonts w:cs="Times New Roman"/>
          <w:u w:val="single"/>
        </w:rPr>
        <w:t xml:space="preserve">Utjecaj </w:t>
      </w:r>
      <w:r w:rsidR="00230056" w:rsidRPr="006414E6">
        <w:rPr>
          <w:rFonts w:cs="Times New Roman"/>
          <w:u w:val="single"/>
        </w:rPr>
        <w:t xml:space="preserve">ciljeva ETS-a </w:t>
      </w:r>
    </w:p>
    <w:p w14:paraId="29F91931" w14:textId="77777777" w:rsidR="00230056" w:rsidRPr="006414E6" w:rsidRDefault="00230056" w:rsidP="00230056">
      <w:pPr>
        <w:rPr>
          <w:rFonts w:cs="Times New Roman"/>
        </w:rPr>
      </w:pPr>
      <w:r w:rsidRPr="006414E6">
        <w:rPr>
          <w:rFonts w:cs="Times New Roman"/>
        </w:rPr>
        <w:t xml:space="preserve">Mehanizam održavanja stabilnosti tržišta (eng. </w:t>
      </w:r>
      <w:r w:rsidRPr="006414E6">
        <w:rPr>
          <w:rFonts w:cs="Times New Roman"/>
          <w:i/>
        </w:rPr>
        <w:t xml:space="preserve">Market </w:t>
      </w:r>
      <w:proofErr w:type="spellStart"/>
      <w:r w:rsidRPr="006414E6">
        <w:rPr>
          <w:rFonts w:cs="Times New Roman"/>
          <w:i/>
        </w:rPr>
        <w:t>Stability</w:t>
      </w:r>
      <w:proofErr w:type="spellEnd"/>
      <w:r w:rsidRPr="006414E6">
        <w:rPr>
          <w:rFonts w:cs="Times New Roman"/>
          <w:i/>
        </w:rPr>
        <w:t xml:space="preserve"> </w:t>
      </w:r>
      <w:proofErr w:type="spellStart"/>
      <w:r w:rsidRPr="006414E6">
        <w:rPr>
          <w:rFonts w:cs="Times New Roman"/>
          <w:i/>
        </w:rPr>
        <w:t>Reserve</w:t>
      </w:r>
      <w:proofErr w:type="spellEnd"/>
      <w:r w:rsidRPr="006414E6">
        <w:rPr>
          <w:rFonts w:cs="Times New Roman"/>
          <w:i/>
        </w:rPr>
        <w:t xml:space="preserve"> – MSR</w:t>
      </w:r>
      <w:r w:rsidRPr="006414E6">
        <w:rPr>
          <w:rFonts w:cs="Times New Roman"/>
        </w:rPr>
        <w:t xml:space="preserve">) koji uvodi EU doprinosi predvidivosti cijena emisijskih jedinica, što će ubrzati primjenu mjera za smanjenje emisija stakleničkih plinova. Troškovi za emisijske jedinice u razdoblju od 2020. do 2030. godine utjecati će na konkurentnost hrvatskih operatera, a mogli bi doseći 0,5% BDP-a u 2030. godini, ako cijena jedinica bude </w:t>
      </w:r>
      <w:r w:rsidR="00AF7EAD" w:rsidRPr="006414E6">
        <w:rPr>
          <w:rFonts w:cs="Times New Roman"/>
        </w:rPr>
        <w:t xml:space="preserve">viša od </w:t>
      </w:r>
      <w:r w:rsidRPr="006414E6">
        <w:rPr>
          <w:rFonts w:cs="Times New Roman"/>
        </w:rPr>
        <w:t>3</w:t>
      </w:r>
      <w:r w:rsidR="00AF7EAD" w:rsidRPr="006414E6">
        <w:rPr>
          <w:rFonts w:cs="Times New Roman"/>
        </w:rPr>
        <w:t>0</w:t>
      </w:r>
      <w:r w:rsidRPr="006414E6">
        <w:rPr>
          <w:rFonts w:cs="Times New Roman"/>
        </w:rPr>
        <w:t xml:space="preserve"> EUR/tCO</w:t>
      </w:r>
      <w:r w:rsidRPr="006414E6">
        <w:rPr>
          <w:rFonts w:cs="Times New Roman"/>
          <w:vertAlign w:val="subscript"/>
        </w:rPr>
        <w:t>2</w:t>
      </w:r>
      <w:r w:rsidRPr="006414E6">
        <w:rPr>
          <w:rFonts w:cs="Times New Roman"/>
        </w:rPr>
        <w:t>e. Industrija u ETS-u može primijeniti niz troškovno učinkovitih mjera, što će biti isplativije od kupovanja emisijskih jedinica, budući većina mjera ima troškove manje od 3</w:t>
      </w:r>
      <w:r w:rsidR="00AF7EAD" w:rsidRPr="006414E6">
        <w:rPr>
          <w:rFonts w:cs="Times New Roman"/>
        </w:rPr>
        <w:t>0</w:t>
      </w:r>
      <w:r w:rsidRPr="006414E6">
        <w:rPr>
          <w:rFonts w:cs="Times New Roman"/>
        </w:rPr>
        <w:t xml:space="preserve"> EUR/tCO</w:t>
      </w:r>
      <w:r w:rsidRPr="006414E6">
        <w:rPr>
          <w:rFonts w:cs="Times New Roman"/>
          <w:vertAlign w:val="subscript"/>
        </w:rPr>
        <w:t>2</w:t>
      </w:r>
      <w:r w:rsidRPr="006414E6">
        <w:rPr>
          <w:rFonts w:cs="Times New Roman"/>
        </w:rPr>
        <w:t>e.</w:t>
      </w:r>
    </w:p>
    <w:p w14:paraId="7194983A" w14:textId="77777777" w:rsidR="00230056" w:rsidRPr="006414E6" w:rsidRDefault="00AF7EAD" w:rsidP="00313063">
      <w:pPr>
        <w:rPr>
          <w:rFonts w:cs="Times New Roman"/>
        </w:rPr>
      </w:pPr>
      <w:r w:rsidRPr="006414E6">
        <w:rPr>
          <w:rFonts w:cs="Times New Roman"/>
        </w:rPr>
        <w:t>P</w:t>
      </w:r>
      <w:r w:rsidR="00230056" w:rsidRPr="006414E6">
        <w:rPr>
          <w:rFonts w:cs="Times New Roman"/>
        </w:rPr>
        <w:t>otrebno</w:t>
      </w:r>
      <w:r w:rsidRPr="006414E6">
        <w:rPr>
          <w:rFonts w:cs="Times New Roman"/>
        </w:rPr>
        <w:t xml:space="preserve"> je</w:t>
      </w:r>
      <w:r w:rsidR="00230056" w:rsidRPr="006414E6">
        <w:rPr>
          <w:rFonts w:cs="Times New Roman"/>
        </w:rPr>
        <w:t xml:space="preserve"> što prije započeti s primjenom mjera, modernizacijom postrojenja, snižavanjem ukupne energetske potrošnje i primjenom obnovljivih izvora energije. Postojeći poticaji i mehanizmi poticanja nisu dostatni. Potpore industriji su ograničene pravilima o dodjeljivanju državnih potpora. Potrebno je formirati programe poticanja za smanjenje emisije koji će potaknuti i mobilizirati industriju na poduzimanje mjera te pripremiti sheme financiranja za korištenje sredstava iz Fonda za modernizaciju (dio rezerviran iz dražbovnih prava ETS-a).</w:t>
      </w:r>
    </w:p>
    <w:p w14:paraId="276E236B" w14:textId="77777777" w:rsidR="00482258" w:rsidRPr="006414E6" w:rsidRDefault="00967FA8" w:rsidP="00F415A7">
      <w:pPr>
        <w:pStyle w:val="Heading2"/>
      </w:pPr>
      <w:bookmarkStart w:id="312" w:name="_Toc20841317"/>
      <w:bookmarkStart w:id="313" w:name="_Toc20841423"/>
      <w:bookmarkStart w:id="314" w:name="_Toc39133316"/>
      <w:r w:rsidRPr="006414E6">
        <w:lastRenderedPageBreak/>
        <w:t>8</w:t>
      </w:r>
      <w:r w:rsidR="000E5653" w:rsidRPr="006414E6">
        <w:t>.3.</w:t>
      </w:r>
      <w:r w:rsidR="00C51945" w:rsidRPr="006414E6">
        <w:tab/>
      </w:r>
      <w:r w:rsidR="00482258" w:rsidRPr="006414E6">
        <w:t>UTJECAJ NA DRUŠTVO</w:t>
      </w:r>
      <w:bookmarkEnd w:id="312"/>
      <w:bookmarkEnd w:id="313"/>
      <w:bookmarkEnd w:id="314"/>
    </w:p>
    <w:p w14:paraId="1FFE72BE" w14:textId="77777777" w:rsidR="00CF43A4" w:rsidRPr="006414E6" w:rsidRDefault="00CF43A4" w:rsidP="00BE3EF1">
      <w:pPr>
        <w:rPr>
          <w:rFonts w:cs="Times New Roman"/>
        </w:rPr>
      </w:pPr>
      <w:r w:rsidRPr="006414E6">
        <w:rPr>
          <w:rFonts w:cs="Times New Roman"/>
        </w:rPr>
        <w:t>Sociološki utjecaj se primarno odnosi na zapošljavanje, pozitivni utjecaj javnih prihoda koji se ostvaruju naknadama na emisije CO</w:t>
      </w:r>
      <w:r w:rsidRPr="00BE3EF1">
        <w:rPr>
          <w:rFonts w:cs="Times New Roman"/>
        </w:rPr>
        <w:t>2</w:t>
      </w:r>
      <w:r w:rsidRPr="006414E6">
        <w:rPr>
          <w:rFonts w:cs="Times New Roman"/>
        </w:rPr>
        <w:t xml:space="preserve"> te na opterećenje kućnog proračuna zbog troškova energije i novih naknada na emisiju CO</w:t>
      </w:r>
      <w:r w:rsidRPr="00BE3EF1">
        <w:rPr>
          <w:rFonts w:cs="Times New Roman"/>
        </w:rPr>
        <w:t>2</w:t>
      </w:r>
      <w:r w:rsidRPr="006414E6">
        <w:rPr>
          <w:rFonts w:cs="Times New Roman"/>
        </w:rPr>
        <w:t>. Koristi po društvo su izbjegnuti štetni učinci na zdravlje zbog smanjene emisije SO</w:t>
      </w:r>
      <w:r w:rsidRPr="00BE3EF1">
        <w:rPr>
          <w:rFonts w:cs="Times New Roman"/>
        </w:rPr>
        <w:t>2</w:t>
      </w:r>
      <w:r w:rsidRPr="006414E6">
        <w:rPr>
          <w:rFonts w:cs="Times New Roman"/>
        </w:rPr>
        <w:t>, NO</w:t>
      </w:r>
      <w:r w:rsidRPr="00BE3EF1">
        <w:rPr>
          <w:rFonts w:cs="Times New Roman"/>
        </w:rPr>
        <w:t>x</w:t>
      </w:r>
      <w:r w:rsidRPr="006414E6">
        <w:rPr>
          <w:rFonts w:cs="Times New Roman"/>
        </w:rPr>
        <w:t xml:space="preserve"> i čestica. </w:t>
      </w:r>
    </w:p>
    <w:p w14:paraId="1C2702D5" w14:textId="77777777" w:rsidR="006A0631" w:rsidRPr="006414E6" w:rsidRDefault="006A0631" w:rsidP="00BE3EF1">
      <w:pPr>
        <w:rPr>
          <w:rFonts w:cs="Times New Roman"/>
          <w:u w:val="single"/>
        </w:rPr>
      </w:pPr>
      <w:r w:rsidRPr="006414E6">
        <w:rPr>
          <w:rFonts w:cs="Times New Roman"/>
          <w:u w:val="single"/>
        </w:rPr>
        <w:t>Radna mjesta</w:t>
      </w:r>
    </w:p>
    <w:p w14:paraId="7E22A48A" w14:textId="77777777" w:rsidR="00CF43A4" w:rsidRPr="006414E6" w:rsidRDefault="00CF43A4" w:rsidP="00BE3EF1">
      <w:pPr>
        <w:rPr>
          <w:rFonts w:cs="Times New Roman"/>
        </w:rPr>
      </w:pPr>
      <w:r w:rsidRPr="006414E6">
        <w:rPr>
          <w:rFonts w:cs="Times New Roman"/>
        </w:rPr>
        <w:t xml:space="preserve">Primjenom </w:t>
      </w:r>
      <w:proofErr w:type="spellStart"/>
      <w:r w:rsidRPr="006414E6">
        <w:rPr>
          <w:rFonts w:cs="Times New Roman"/>
        </w:rPr>
        <w:t>niskougljičnih</w:t>
      </w:r>
      <w:proofErr w:type="spellEnd"/>
      <w:r w:rsidRPr="006414E6">
        <w:rPr>
          <w:rFonts w:cs="Times New Roman"/>
        </w:rPr>
        <w:t xml:space="preserve"> tehnologija otvaraju se tzv. 'zelena' radna mjesta. To su nova i postojeća radna mjesta koja će se preorijentirati na 'zelene' poslove. </w:t>
      </w:r>
      <w:r w:rsidR="00A551D5" w:rsidRPr="006414E6">
        <w:rPr>
          <w:rFonts w:cs="Times New Roman"/>
        </w:rPr>
        <w:t>Određeni p</w:t>
      </w:r>
      <w:r w:rsidRPr="006414E6">
        <w:rPr>
          <w:rFonts w:cs="Times New Roman"/>
        </w:rPr>
        <w:t xml:space="preserve">ostojeći kapaciteti </w:t>
      </w:r>
      <w:r w:rsidR="00A551D5" w:rsidRPr="006414E6">
        <w:rPr>
          <w:rFonts w:cs="Times New Roman"/>
        </w:rPr>
        <w:t>(iz</w:t>
      </w:r>
      <w:r w:rsidR="00AF7EAD" w:rsidRPr="006414E6">
        <w:rPr>
          <w:rFonts w:cs="Times New Roman"/>
        </w:rPr>
        <w:t xml:space="preserve"> primjerice,</w:t>
      </w:r>
      <w:r w:rsidRPr="006414E6">
        <w:rPr>
          <w:rFonts w:cs="Times New Roman"/>
        </w:rPr>
        <w:t xml:space="preserve"> građevinskih i montažerskih radova</w:t>
      </w:r>
      <w:r w:rsidR="00A551D5" w:rsidRPr="006414E6">
        <w:rPr>
          <w:rFonts w:cs="Times New Roman"/>
        </w:rPr>
        <w:t>)</w:t>
      </w:r>
      <w:r w:rsidRPr="006414E6">
        <w:rPr>
          <w:rFonts w:cs="Times New Roman"/>
        </w:rPr>
        <w:t xml:space="preserve"> mogu se relativno lako preorijentirati na zelene poslove, dok će u </w:t>
      </w:r>
      <w:r w:rsidR="00AF7EAD" w:rsidRPr="006414E6">
        <w:rPr>
          <w:rFonts w:cs="Times New Roman"/>
        </w:rPr>
        <w:t xml:space="preserve">nekim </w:t>
      </w:r>
      <w:r w:rsidRPr="006414E6">
        <w:rPr>
          <w:rFonts w:cs="Times New Roman"/>
        </w:rPr>
        <w:t xml:space="preserve">područjima biti potrebna nova znanja i specijalizacije.  </w:t>
      </w:r>
    </w:p>
    <w:p w14:paraId="6CD8815A" w14:textId="77777777" w:rsidR="00A551D5" w:rsidRPr="006414E6" w:rsidRDefault="00260489" w:rsidP="00A551D5">
      <w:pPr>
        <w:rPr>
          <w:rFonts w:cs="Times New Roman"/>
          <w:szCs w:val="24"/>
        </w:rPr>
      </w:pPr>
      <w:r w:rsidRPr="006414E6">
        <w:rPr>
          <w:rFonts w:cs="Times New Roman"/>
          <w:szCs w:val="24"/>
        </w:rPr>
        <w:t>P</w:t>
      </w:r>
      <w:r w:rsidR="00A551D5" w:rsidRPr="006414E6">
        <w:rPr>
          <w:rFonts w:cs="Times New Roman"/>
          <w:szCs w:val="24"/>
        </w:rPr>
        <w:t xml:space="preserve">redviđene investicije u </w:t>
      </w:r>
      <w:proofErr w:type="spellStart"/>
      <w:r w:rsidR="00A551D5" w:rsidRPr="006414E6">
        <w:rPr>
          <w:rFonts w:cs="Times New Roman"/>
          <w:szCs w:val="24"/>
        </w:rPr>
        <w:t>niskougljični</w:t>
      </w:r>
      <w:proofErr w:type="spellEnd"/>
      <w:r w:rsidR="00A551D5" w:rsidRPr="006414E6">
        <w:rPr>
          <w:rFonts w:cs="Times New Roman"/>
          <w:szCs w:val="24"/>
        </w:rPr>
        <w:t xml:space="preserve"> razvoj najveći utjecaj će imati na rast građevinarstva, industrije i </w:t>
      </w:r>
      <w:r w:rsidR="00351828" w:rsidRPr="006414E6">
        <w:rPr>
          <w:rFonts w:cs="Times New Roman"/>
          <w:szCs w:val="24"/>
        </w:rPr>
        <w:t xml:space="preserve">uslužnih </w:t>
      </w:r>
      <w:r w:rsidR="00A551D5" w:rsidRPr="006414E6">
        <w:rPr>
          <w:rFonts w:cs="Times New Roman"/>
          <w:szCs w:val="24"/>
        </w:rPr>
        <w:t xml:space="preserve">djelatnosti. </w:t>
      </w:r>
      <w:r w:rsidR="00351828" w:rsidRPr="006414E6">
        <w:rPr>
          <w:rFonts w:cs="Times New Roman"/>
          <w:szCs w:val="24"/>
        </w:rPr>
        <w:t>U p</w:t>
      </w:r>
      <w:r w:rsidR="00642788" w:rsidRPr="006414E6">
        <w:rPr>
          <w:rFonts w:cs="Times New Roman"/>
          <w:szCs w:val="24"/>
        </w:rPr>
        <w:t>očetnim godinama očekuje se oko 40</w:t>
      </w:r>
      <w:r w:rsidR="00351828" w:rsidRPr="006414E6">
        <w:rPr>
          <w:rFonts w:cs="Times New Roman"/>
          <w:szCs w:val="24"/>
        </w:rPr>
        <w:t>.000</w:t>
      </w:r>
      <w:r w:rsidR="00A551D5" w:rsidRPr="006414E6">
        <w:rPr>
          <w:rFonts w:cs="Times New Roman"/>
          <w:szCs w:val="24"/>
        </w:rPr>
        <w:t xml:space="preserve"> novozaposlenih</w:t>
      </w:r>
      <w:r w:rsidR="00642788" w:rsidRPr="006414E6">
        <w:rPr>
          <w:rFonts w:cs="Times New Roman"/>
          <w:szCs w:val="24"/>
        </w:rPr>
        <w:t>, od čega oko 44</w:t>
      </w:r>
      <w:r w:rsidR="00351828" w:rsidRPr="006414E6">
        <w:rPr>
          <w:rFonts w:cs="Times New Roman"/>
          <w:szCs w:val="24"/>
        </w:rPr>
        <w:t>%</w:t>
      </w:r>
      <w:r w:rsidR="00A551D5" w:rsidRPr="006414E6">
        <w:rPr>
          <w:rFonts w:cs="Times New Roman"/>
          <w:szCs w:val="24"/>
        </w:rPr>
        <w:t xml:space="preserve"> u djelatnosti građevinarstva, oko 3</w:t>
      </w:r>
      <w:r w:rsidR="00642788" w:rsidRPr="006414E6">
        <w:rPr>
          <w:rFonts w:cs="Times New Roman"/>
          <w:szCs w:val="24"/>
        </w:rPr>
        <w:t>3</w:t>
      </w:r>
      <w:r w:rsidR="00351828" w:rsidRPr="006414E6">
        <w:rPr>
          <w:rFonts w:cs="Times New Roman"/>
          <w:szCs w:val="24"/>
        </w:rPr>
        <w:t>%</w:t>
      </w:r>
      <w:r w:rsidR="00A551D5" w:rsidRPr="006414E6">
        <w:rPr>
          <w:rFonts w:cs="Times New Roman"/>
          <w:szCs w:val="24"/>
        </w:rPr>
        <w:t xml:space="preserve"> u industriji, a ostatak od oko 2</w:t>
      </w:r>
      <w:r w:rsidR="00642788" w:rsidRPr="006414E6">
        <w:rPr>
          <w:rFonts w:cs="Times New Roman"/>
          <w:szCs w:val="24"/>
        </w:rPr>
        <w:t>3</w:t>
      </w:r>
      <w:r w:rsidR="00351828" w:rsidRPr="006414E6">
        <w:rPr>
          <w:rFonts w:cs="Times New Roman"/>
          <w:szCs w:val="24"/>
        </w:rPr>
        <w:t>%</w:t>
      </w:r>
      <w:r w:rsidR="00A551D5" w:rsidRPr="006414E6">
        <w:rPr>
          <w:rFonts w:cs="Times New Roman"/>
          <w:szCs w:val="24"/>
        </w:rPr>
        <w:t xml:space="preserve"> u </w:t>
      </w:r>
      <w:r w:rsidR="00351828" w:rsidRPr="006414E6">
        <w:rPr>
          <w:rFonts w:cs="Times New Roman"/>
          <w:szCs w:val="24"/>
        </w:rPr>
        <w:t xml:space="preserve">uslužnim </w:t>
      </w:r>
      <w:r w:rsidR="00A551D5" w:rsidRPr="006414E6">
        <w:rPr>
          <w:rFonts w:cs="Times New Roman"/>
          <w:szCs w:val="24"/>
        </w:rPr>
        <w:t>djelatnostima. Za očekivati je da rast zaposlenosti neće imati istu dinamiku u idućim godinama zbog rasta produktivnosti radnika, primjene novih tehnologija, premještanja radnika sa završenih radova na nove radove i sl.</w:t>
      </w:r>
    </w:p>
    <w:p w14:paraId="6B20A460" w14:textId="77777777" w:rsidR="00CF43A4" w:rsidRPr="006414E6" w:rsidRDefault="00CF43A4" w:rsidP="00BE3EF1">
      <w:pPr>
        <w:rPr>
          <w:rFonts w:cs="Times New Roman"/>
          <w:u w:val="single"/>
        </w:rPr>
      </w:pPr>
      <w:r w:rsidRPr="006414E6">
        <w:rPr>
          <w:rFonts w:cs="Times New Roman"/>
          <w:u w:val="single"/>
        </w:rPr>
        <w:t xml:space="preserve">Dostupnost energije </w:t>
      </w:r>
    </w:p>
    <w:p w14:paraId="148F416E" w14:textId="77777777" w:rsidR="006E76D5" w:rsidRPr="006414E6" w:rsidRDefault="00CF43A4" w:rsidP="00313063">
      <w:pPr>
        <w:rPr>
          <w:rFonts w:cs="Times New Roman"/>
        </w:rPr>
      </w:pPr>
      <w:r w:rsidRPr="006414E6">
        <w:rPr>
          <w:rFonts w:cs="Times New Roman"/>
        </w:rPr>
        <w:t xml:space="preserve">Prema </w:t>
      </w:r>
      <w:r w:rsidR="006E76D5" w:rsidRPr="006414E6">
        <w:rPr>
          <w:rFonts w:cs="Times New Roman"/>
        </w:rPr>
        <w:t>analizama potrošnje</w:t>
      </w:r>
      <w:r w:rsidRPr="006414E6">
        <w:rPr>
          <w:rFonts w:cs="Times New Roman"/>
        </w:rPr>
        <w:t xml:space="preserve"> kućanstava, </w:t>
      </w:r>
      <w:r w:rsidR="006E76D5" w:rsidRPr="006414E6">
        <w:rPr>
          <w:rFonts w:cs="Times New Roman"/>
        </w:rPr>
        <w:t xml:space="preserve">gotovo 20% </w:t>
      </w:r>
      <w:r w:rsidRPr="006414E6">
        <w:rPr>
          <w:rFonts w:cs="Times New Roman"/>
        </w:rPr>
        <w:t xml:space="preserve">kućanstava u </w:t>
      </w:r>
      <w:r w:rsidR="002019AF" w:rsidRPr="006414E6">
        <w:rPr>
          <w:rFonts w:cs="Times New Roman"/>
        </w:rPr>
        <w:t>Republici Hrvatskoj</w:t>
      </w:r>
      <w:r w:rsidR="006E76D5" w:rsidRPr="006414E6">
        <w:rPr>
          <w:rFonts w:cs="Times New Roman"/>
        </w:rPr>
        <w:t xml:space="preserve"> </w:t>
      </w:r>
      <w:r w:rsidRPr="006414E6">
        <w:rPr>
          <w:rFonts w:cs="Times New Roman"/>
        </w:rPr>
        <w:t xml:space="preserve">troši znatno više od 10% ukupnih izdataka za osobnu potrošnju na energente (električnu energiju, plin i kruta goriva). </w:t>
      </w:r>
      <w:proofErr w:type="spellStart"/>
      <w:r w:rsidRPr="006414E6">
        <w:rPr>
          <w:rFonts w:cs="Times New Roman"/>
        </w:rPr>
        <w:t>Socio</w:t>
      </w:r>
      <w:proofErr w:type="spellEnd"/>
      <w:r w:rsidRPr="006414E6">
        <w:rPr>
          <w:rFonts w:cs="Times New Roman"/>
        </w:rPr>
        <w:t xml:space="preserve">-ekonomska slika i životni uvjeti ovih kućanstava upućuju na mogućnost da se energetskim uštedama bitno utječe na smanjenje energetskog siromaštva. </w:t>
      </w:r>
      <w:r w:rsidR="006E76D5" w:rsidRPr="006414E6">
        <w:rPr>
          <w:rFonts w:cs="Times New Roman"/>
        </w:rPr>
        <w:t xml:space="preserve">Potrebno je programe provedbe pojedinih mjera energetske politike i primjenu novih tehničkih i tehnoloških rješenja povezati s mjerama smanjenja energetskog siromaštva te je u tom smislu potrebno izraditi, usvojiti i primjenjivati program za suzbijanje energetskog siromaštva. Na taj način bi se omogućilo trajno smanjenje troškova za energiju u energetski siromašnim kućanstvima, poboljšali </w:t>
      </w:r>
      <w:r w:rsidR="002C1F2C" w:rsidRPr="006414E6">
        <w:rPr>
          <w:rFonts w:cs="Times New Roman"/>
        </w:rPr>
        <w:t xml:space="preserve">bi se </w:t>
      </w:r>
      <w:r w:rsidR="006E76D5" w:rsidRPr="006414E6">
        <w:rPr>
          <w:rFonts w:cs="Times New Roman"/>
        </w:rPr>
        <w:t>njihovi životni uvjeti te bi se smanjila potrebna izdvajanja za pružanje pomoći takvim kućanstvima.</w:t>
      </w:r>
    </w:p>
    <w:p w14:paraId="3098D151" w14:textId="77777777" w:rsidR="00482258" w:rsidRPr="006414E6" w:rsidRDefault="00967FA8" w:rsidP="00F415A7">
      <w:pPr>
        <w:pStyle w:val="Heading2"/>
      </w:pPr>
      <w:bookmarkStart w:id="315" w:name="_Toc20841318"/>
      <w:bookmarkStart w:id="316" w:name="_Toc20841424"/>
      <w:bookmarkStart w:id="317" w:name="_Toc39133317"/>
      <w:r w:rsidRPr="006414E6">
        <w:t>8</w:t>
      </w:r>
      <w:r w:rsidR="000E5653" w:rsidRPr="006414E6">
        <w:t>.4.</w:t>
      </w:r>
      <w:r w:rsidR="00C51945" w:rsidRPr="006414E6">
        <w:tab/>
      </w:r>
      <w:r w:rsidR="00482258" w:rsidRPr="006414E6">
        <w:t>PROCJENA KORISTI NISKOUGLJIČNOG RAZVOJA</w:t>
      </w:r>
      <w:bookmarkEnd w:id="315"/>
      <w:bookmarkEnd w:id="316"/>
      <w:bookmarkEnd w:id="317"/>
    </w:p>
    <w:p w14:paraId="10D9F1B3" w14:textId="77777777" w:rsidR="002B267B" w:rsidRPr="006414E6" w:rsidRDefault="002B267B" w:rsidP="002B267B">
      <w:pPr>
        <w:rPr>
          <w:rFonts w:cs="Times New Roman"/>
        </w:rPr>
      </w:pPr>
      <w:proofErr w:type="spellStart"/>
      <w:r w:rsidRPr="006414E6">
        <w:rPr>
          <w:rFonts w:cs="Times New Roman"/>
        </w:rPr>
        <w:t>Niskougljičnim</w:t>
      </w:r>
      <w:proofErr w:type="spellEnd"/>
      <w:r w:rsidRPr="006414E6">
        <w:rPr>
          <w:rFonts w:cs="Times New Roman"/>
        </w:rPr>
        <w:t xml:space="preserve"> razvojem doći će do promjena u gospodarstvu i društvu u odnosu na razvoj prema referentnom scenariju. U tablici 8-</w:t>
      </w:r>
      <w:r w:rsidR="00F4431C" w:rsidRPr="006414E6">
        <w:rPr>
          <w:rFonts w:cs="Times New Roman"/>
        </w:rPr>
        <w:t>1</w:t>
      </w:r>
      <w:r w:rsidRPr="006414E6">
        <w:rPr>
          <w:rFonts w:cs="Times New Roman"/>
        </w:rPr>
        <w:t xml:space="preserve"> navedene su glavne koristi i izazovi vezani za utjecaje na okoliš, gospodarstvo i društvo uslijed </w:t>
      </w:r>
      <w:proofErr w:type="spellStart"/>
      <w:r w:rsidRPr="006414E6">
        <w:rPr>
          <w:rFonts w:cs="Times New Roman"/>
        </w:rPr>
        <w:t>niskougljičnog</w:t>
      </w:r>
      <w:proofErr w:type="spellEnd"/>
      <w:r w:rsidRPr="006414E6">
        <w:rPr>
          <w:rFonts w:cs="Times New Roman"/>
        </w:rPr>
        <w:t xml:space="preserve"> razvoja.</w:t>
      </w:r>
    </w:p>
    <w:p w14:paraId="47BB89EA" w14:textId="77777777" w:rsidR="002B267B" w:rsidRPr="00932561" w:rsidRDefault="002B267B" w:rsidP="00932561">
      <w:pPr>
        <w:rPr>
          <w:i/>
        </w:rPr>
      </w:pPr>
      <w:bookmarkStart w:id="318" w:name="_Toc484158412"/>
      <w:bookmarkStart w:id="319" w:name="_Toc33417120"/>
      <w:r w:rsidRPr="00932561">
        <w:rPr>
          <w:i/>
        </w:rPr>
        <w:t>Tablica 8-</w:t>
      </w:r>
      <w:r w:rsidR="00F4431C" w:rsidRPr="00932561">
        <w:rPr>
          <w:i/>
        </w:rPr>
        <w:t>1</w:t>
      </w:r>
      <w:r w:rsidRPr="00932561">
        <w:rPr>
          <w:i/>
        </w:rPr>
        <w:t xml:space="preserve">: Glavni pozitivni i negativni utjecaji </w:t>
      </w:r>
      <w:proofErr w:type="spellStart"/>
      <w:r w:rsidRPr="00932561">
        <w:rPr>
          <w:i/>
        </w:rPr>
        <w:t>niskougljičnog</w:t>
      </w:r>
      <w:proofErr w:type="spellEnd"/>
      <w:r w:rsidRPr="00932561">
        <w:rPr>
          <w:i/>
        </w:rPr>
        <w:t xml:space="preserve"> razvoja</w:t>
      </w:r>
      <w:bookmarkEnd w:id="318"/>
      <w:bookmarkEnd w:id="319"/>
    </w:p>
    <w:tbl>
      <w:tblPr>
        <w:tblStyle w:val="TableGrid"/>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685"/>
        <w:gridCol w:w="3402"/>
      </w:tblGrid>
      <w:tr w:rsidR="002B267B" w:rsidRPr="006414E6" w14:paraId="0DB01C51" w14:textId="77777777" w:rsidTr="006B211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Borders>
              <w:bottom w:val="none" w:sz="0" w:space="0" w:color="auto"/>
              <w:right w:val="none" w:sz="0" w:space="0" w:color="auto"/>
            </w:tcBorders>
            <w:shd w:val="clear" w:color="auto" w:fill="F2F2F2" w:themeFill="background1" w:themeFillShade="F2"/>
            <w:noWrap/>
            <w:hideMark/>
          </w:tcPr>
          <w:p w14:paraId="00A6AF1A" w14:textId="77777777" w:rsidR="002B267B" w:rsidRPr="006414E6" w:rsidRDefault="002B267B" w:rsidP="00932561">
            <w:pPr>
              <w:kinsoku w:val="0"/>
              <w:overflowPunct w:val="0"/>
              <w:autoSpaceDE w:val="0"/>
              <w:autoSpaceDN w:val="0"/>
              <w:adjustRightInd w:val="0"/>
              <w:jc w:val="left"/>
              <w:rPr>
                <w:rFonts w:cs="Times New Roman"/>
                <w:b/>
                <w:sz w:val="22"/>
              </w:rPr>
            </w:pPr>
            <w:r w:rsidRPr="00932561">
              <w:rPr>
                <w:rFonts w:cs="Times New Roman"/>
                <w:b/>
                <w:bCs/>
                <w:spacing w:val="-1"/>
                <w:sz w:val="22"/>
              </w:rPr>
              <w:t>Sektor\Utjecaj</w:t>
            </w:r>
          </w:p>
        </w:tc>
        <w:tc>
          <w:tcPr>
            <w:tcW w:w="3685" w:type="dxa"/>
            <w:tcBorders>
              <w:left w:val="none" w:sz="0" w:space="0" w:color="auto"/>
              <w:right w:val="none" w:sz="0" w:space="0" w:color="auto"/>
            </w:tcBorders>
            <w:shd w:val="clear" w:color="auto" w:fill="F2F2F2" w:themeFill="background1" w:themeFillShade="F2"/>
            <w:hideMark/>
          </w:tcPr>
          <w:p w14:paraId="15982ACD" w14:textId="77777777" w:rsidR="002B267B" w:rsidRPr="006414E6" w:rsidRDefault="002B267B" w:rsidP="003E188B">
            <w:pPr>
              <w:keepNext/>
              <w:cnfStyle w:val="100000000000" w:firstRow="1" w:lastRow="0" w:firstColumn="0" w:lastColumn="0" w:oddVBand="0" w:evenVBand="0" w:oddHBand="0" w:evenHBand="0" w:firstRowFirstColumn="0" w:firstRowLastColumn="0" w:lastRowFirstColumn="0" w:lastRowLastColumn="0"/>
              <w:rPr>
                <w:rFonts w:cs="Times New Roman"/>
                <w:b/>
                <w:sz w:val="22"/>
              </w:rPr>
            </w:pPr>
            <w:r w:rsidRPr="006414E6">
              <w:rPr>
                <w:rFonts w:cs="Times New Roman"/>
                <w:b/>
                <w:sz w:val="22"/>
              </w:rPr>
              <w:t>Koristi</w:t>
            </w:r>
          </w:p>
        </w:tc>
        <w:tc>
          <w:tcPr>
            <w:tcW w:w="3402" w:type="dxa"/>
            <w:tcBorders>
              <w:left w:val="none" w:sz="0" w:space="0" w:color="auto"/>
            </w:tcBorders>
            <w:shd w:val="clear" w:color="auto" w:fill="F2F2F2" w:themeFill="background1" w:themeFillShade="F2"/>
            <w:noWrap/>
            <w:hideMark/>
          </w:tcPr>
          <w:p w14:paraId="09AEB05A" w14:textId="77777777" w:rsidR="002B267B" w:rsidRPr="006414E6" w:rsidRDefault="002B267B" w:rsidP="003E188B">
            <w:pPr>
              <w:keepNext/>
              <w:cnfStyle w:val="100000000000" w:firstRow="1" w:lastRow="0" w:firstColumn="0" w:lastColumn="0" w:oddVBand="0" w:evenVBand="0" w:oddHBand="0" w:evenHBand="0" w:firstRowFirstColumn="0" w:firstRowLastColumn="0" w:lastRowFirstColumn="0" w:lastRowLastColumn="0"/>
              <w:rPr>
                <w:rFonts w:cs="Times New Roman"/>
                <w:b/>
                <w:sz w:val="22"/>
              </w:rPr>
            </w:pPr>
            <w:r w:rsidRPr="006414E6">
              <w:rPr>
                <w:rFonts w:cs="Times New Roman"/>
                <w:b/>
                <w:sz w:val="22"/>
              </w:rPr>
              <w:t>Izazovi</w:t>
            </w:r>
          </w:p>
        </w:tc>
      </w:tr>
      <w:tr w:rsidR="002B267B" w:rsidRPr="006414E6" w14:paraId="5EB31C7C" w14:textId="77777777" w:rsidTr="006B211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tcBorders>
            <w:shd w:val="clear" w:color="auto" w:fill="F2F2F2" w:themeFill="background1" w:themeFillShade="F2"/>
            <w:noWrap/>
            <w:vAlign w:val="center"/>
            <w:hideMark/>
          </w:tcPr>
          <w:p w14:paraId="383B0051" w14:textId="77777777" w:rsidR="002B267B" w:rsidRPr="006414E6" w:rsidRDefault="002B267B" w:rsidP="00932561">
            <w:r w:rsidRPr="006414E6">
              <w:t>Okoliš</w:t>
            </w:r>
          </w:p>
        </w:tc>
        <w:tc>
          <w:tcPr>
            <w:tcW w:w="3685" w:type="dxa"/>
            <w:shd w:val="clear" w:color="auto" w:fill="auto"/>
            <w:hideMark/>
          </w:tcPr>
          <w:p w14:paraId="4A87FE0D" w14:textId="77777777" w:rsidR="002B267B" w:rsidRPr="006414E6" w:rsidRDefault="002B267B" w:rsidP="003E188B">
            <w:pPr>
              <w:pStyle w:val="ListParagraph"/>
              <w:keepNext/>
              <w:numPr>
                <w:ilvl w:val="0"/>
                <w:numId w:val="41"/>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Smanjenje emisija onečišćujućih tvari</w:t>
            </w:r>
          </w:p>
          <w:p w14:paraId="5E2A19FA" w14:textId="77777777" w:rsidR="002B267B" w:rsidRPr="006414E6" w:rsidRDefault="002B267B" w:rsidP="003E188B">
            <w:pPr>
              <w:pStyle w:val="ListParagraph"/>
              <w:keepNext/>
              <w:numPr>
                <w:ilvl w:val="0"/>
                <w:numId w:val="41"/>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Smanjenje odlaganja otpada</w:t>
            </w:r>
          </w:p>
        </w:tc>
        <w:tc>
          <w:tcPr>
            <w:tcW w:w="3402" w:type="dxa"/>
            <w:shd w:val="clear" w:color="auto" w:fill="auto"/>
            <w:hideMark/>
          </w:tcPr>
          <w:p w14:paraId="1033832F" w14:textId="77777777" w:rsidR="002B267B" w:rsidRPr="006414E6" w:rsidRDefault="00260489" w:rsidP="003E188B">
            <w:pPr>
              <w:pStyle w:val="ListParagraph"/>
              <w:keepNext/>
              <w:numPr>
                <w:ilvl w:val="0"/>
                <w:numId w:val="43"/>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 xml:space="preserve">Utjecaj na okoliš </w:t>
            </w:r>
            <w:r w:rsidR="002B267B" w:rsidRPr="006414E6">
              <w:rPr>
                <w:rFonts w:cs="Times New Roman"/>
                <w:sz w:val="22"/>
              </w:rPr>
              <w:t>OIE</w:t>
            </w:r>
          </w:p>
          <w:p w14:paraId="233C631D" w14:textId="77777777" w:rsidR="002B267B" w:rsidRPr="006414E6" w:rsidRDefault="002B267B" w:rsidP="003E188B">
            <w:pPr>
              <w:pStyle w:val="ListParagraph"/>
              <w:keepNext/>
              <w:numPr>
                <w:ilvl w:val="0"/>
                <w:numId w:val="43"/>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 xml:space="preserve">Nove vrste i količine otpada </w:t>
            </w:r>
          </w:p>
        </w:tc>
      </w:tr>
      <w:tr w:rsidR="002B267B" w:rsidRPr="006414E6" w14:paraId="5CCA7419" w14:textId="77777777" w:rsidTr="006B211F">
        <w:trPr>
          <w:trHeight w:val="397"/>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tcBorders>
            <w:shd w:val="clear" w:color="auto" w:fill="F2F2F2" w:themeFill="background1" w:themeFillShade="F2"/>
            <w:noWrap/>
            <w:vAlign w:val="center"/>
            <w:hideMark/>
          </w:tcPr>
          <w:p w14:paraId="1858AFCB" w14:textId="77777777" w:rsidR="002B267B" w:rsidRPr="006414E6" w:rsidRDefault="002B267B" w:rsidP="00932561">
            <w:pPr>
              <w:rPr>
                <w:rFonts w:cs="Times New Roman"/>
                <w:sz w:val="22"/>
              </w:rPr>
            </w:pPr>
            <w:r w:rsidRPr="00932561">
              <w:lastRenderedPageBreak/>
              <w:t>Gospodarstvo</w:t>
            </w:r>
          </w:p>
        </w:tc>
        <w:tc>
          <w:tcPr>
            <w:tcW w:w="3685" w:type="dxa"/>
            <w:shd w:val="clear" w:color="auto" w:fill="auto"/>
            <w:hideMark/>
          </w:tcPr>
          <w:p w14:paraId="1D5CC40F" w14:textId="77777777" w:rsidR="0016458D" w:rsidRPr="006414E6" w:rsidRDefault="002B267B" w:rsidP="003E188B">
            <w:pPr>
              <w:pStyle w:val="ListParagraph"/>
              <w:keepNext/>
              <w:numPr>
                <w:ilvl w:val="0"/>
                <w:numId w:val="42"/>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 xml:space="preserve">Pokretanje investicija u </w:t>
            </w:r>
            <w:proofErr w:type="spellStart"/>
            <w:r w:rsidRPr="006414E6">
              <w:rPr>
                <w:rFonts w:cs="Times New Roman"/>
                <w:sz w:val="22"/>
              </w:rPr>
              <w:t>niskougljične</w:t>
            </w:r>
            <w:proofErr w:type="spellEnd"/>
            <w:r w:rsidRPr="006414E6">
              <w:rPr>
                <w:rFonts w:cs="Times New Roman"/>
                <w:sz w:val="22"/>
              </w:rPr>
              <w:t xml:space="preserve"> mjere</w:t>
            </w:r>
          </w:p>
          <w:p w14:paraId="0ADA279A" w14:textId="77777777" w:rsidR="0016458D" w:rsidRPr="006414E6" w:rsidRDefault="002B267B" w:rsidP="003E188B">
            <w:pPr>
              <w:pStyle w:val="ListParagraph"/>
              <w:keepNext/>
              <w:numPr>
                <w:ilvl w:val="0"/>
                <w:numId w:val="42"/>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Korištenje sredstva EU fondova za investicije</w:t>
            </w:r>
          </w:p>
          <w:p w14:paraId="6E2E029A" w14:textId="77777777" w:rsidR="0016458D" w:rsidRPr="006414E6" w:rsidRDefault="002B267B" w:rsidP="003E188B">
            <w:pPr>
              <w:pStyle w:val="ListParagraph"/>
              <w:keepNext/>
              <w:numPr>
                <w:ilvl w:val="0"/>
                <w:numId w:val="42"/>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Smanjenje uvoza energenata</w:t>
            </w:r>
          </w:p>
          <w:p w14:paraId="7626CEF8" w14:textId="77777777" w:rsidR="0016458D" w:rsidRPr="006414E6" w:rsidRDefault="002B267B" w:rsidP="003E188B">
            <w:pPr>
              <w:pStyle w:val="ListParagraph"/>
              <w:keepNext/>
              <w:numPr>
                <w:ilvl w:val="0"/>
                <w:numId w:val="42"/>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Manja potrošnja resursa uslijed održivog gospodarenja otpadom</w:t>
            </w:r>
          </w:p>
          <w:p w14:paraId="49DEF834" w14:textId="77777777" w:rsidR="0016458D" w:rsidRPr="006414E6" w:rsidRDefault="002B267B" w:rsidP="003E188B">
            <w:pPr>
              <w:pStyle w:val="ListParagraph"/>
              <w:keepNext/>
              <w:numPr>
                <w:ilvl w:val="0"/>
                <w:numId w:val="42"/>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Otvaranje novih „zelenih“ radnih mjesta</w:t>
            </w:r>
          </w:p>
          <w:p w14:paraId="09E4C354" w14:textId="77777777" w:rsidR="0016458D" w:rsidRPr="006414E6" w:rsidRDefault="002B267B" w:rsidP="003E188B">
            <w:pPr>
              <w:pStyle w:val="ListParagraph"/>
              <w:keepNext/>
              <w:numPr>
                <w:ilvl w:val="0"/>
                <w:numId w:val="42"/>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Poticaji za tehnološki razvoj i inovacije</w:t>
            </w:r>
          </w:p>
          <w:p w14:paraId="2826183A" w14:textId="77777777" w:rsidR="0016458D" w:rsidRPr="006414E6" w:rsidRDefault="0016458D" w:rsidP="003E188B">
            <w:pPr>
              <w:pStyle w:val="ListParagraph"/>
              <w:keepNext/>
              <w:numPr>
                <w:ilvl w:val="0"/>
                <w:numId w:val="42"/>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I</w:t>
            </w:r>
            <w:r w:rsidR="002B267B" w:rsidRPr="006414E6">
              <w:rPr>
                <w:rFonts w:cs="Times New Roman"/>
                <w:sz w:val="22"/>
              </w:rPr>
              <w:t>zbjegavanje onečišćenja zraka i povezane koristi za zdravlje</w:t>
            </w:r>
          </w:p>
          <w:p w14:paraId="587C3113" w14:textId="77777777" w:rsidR="002B267B" w:rsidRPr="006414E6" w:rsidRDefault="002B267B" w:rsidP="003E188B">
            <w:pPr>
              <w:pStyle w:val="ListParagraph"/>
              <w:keepNext/>
              <w:numPr>
                <w:ilvl w:val="0"/>
                <w:numId w:val="42"/>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Ublažavanje klimatskih promjena i vezanih posljedica</w:t>
            </w:r>
          </w:p>
        </w:tc>
        <w:tc>
          <w:tcPr>
            <w:tcW w:w="3402" w:type="dxa"/>
            <w:shd w:val="clear" w:color="auto" w:fill="auto"/>
            <w:hideMark/>
          </w:tcPr>
          <w:p w14:paraId="2F739519" w14:textId="77777777" w:rsidR="00513984" w:rsidRPr="006414E6" w:rsidRDefault="002B267B" w:rsidP="003E188B">
            <w:pPr>
              <w:pStyle w:val="ListParagraph"/>
              <w:keepNext/>
              <w:numPr>
                <w:ilvl w:val="0"/>
                <w:numId w:val="43"/>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 xml:space="preserve">Troškovi za subvencioniranje određenih investicija u </w:t>
            </w:r>
            <w:proofErr w:type="spellStart"/>
            <w:r w:rsidRPr="006414E6">
              <w:rPr>
                <w:rFonts w:cs="Times New Roman"/>
                <w:sz w:val="22"/>
              </w:rPr>
              <w:t>niskougljične</w:t>
            </w:r>
            <w:proofErr w:type="spellEnd"/>
            <w:r w:rsidRPr="006414E6">
              <w:rPr>
                <w:rFonts w:cs="Times New Roman"/>
                <w:sz w:val="22"/>
              </w:rPr>
              <w:t xml:space="preserve"> mjere</w:t>
            </w:r>
          </w:p>
          <w:p w14:paraId="002BA8D7" w14:textId="77777777" w:rsidR="00513984" w:rsidRPr="006414E6" w:rsidRDefault="002B267B" w:rsidP="003E188B">
            <w:pPr>
              <w:pStyle w:val="ListParagraph"/>
              <w:keepNext/>
              <w:numPr>
                <w:ilvl w:val="0"/>
                <w:numId w:val="43"/>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 xml:space="preserve">Trošak za </w:t>
            </w:r>
            <w:r w:rsidR="002B240A" w:rsidRPr="006414E6">
              <w:rPr>
                <w:rFonts w:cs="Times New Roman"/>
                <w:sz w:val="22"/>
              </w:rPr>
              <w:t>postrojenja - izvore</w:t>
            </w:r>
            <w:r w:rsidRPr="006414E6">
              <w:rPr>
                <w:rFonts w:cs="Times New Roman"/>
                <w:sz w:val="22"/>
              </w:rPr>
              <w:t xml:space="preserve"> emisija stakleničkih plinova te djelatnosti osjetljive na porast troškova njihovih proizvoda</w:t>
            </w:r>
          </w:p>
          <w:p w14:paraId="25F901E5" w14:textId="77777777" w:rsidR="002B267B" w:rsidRPr="006414E6" w:rsidRDefault="002B267B" w:rsidP="003E188B">
            <w:pPr>
              <w:pStyle w:val="ListParagraph"/>
              <w:keepNext/>
              <w:numPr>
                <w:ilvl w:val="0"/>
                <w:numId w:val="43"/>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U dužem roku manje investicija u sektore vezane za potrošnju fosilnog goriva</w:t>
            </w:r>
          </w:p>
        </w:tc>
      </w:tr>
      <w:tr w:rsidR="002B267B" w:rsidRPr="006414E6" w14:paraId="6A33FC77" w14:textId="77777777" w:rsidTr="006B211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tcBorders>
            <w:shd w:val="clear" w:color="auto" w:fill="F2F2F2" w:themeFill="background1" w:themeFillShade="F2"/>
            <w:noWrap/>
            <w:vAlign w:val="center"/>
            <w:hideMark/>
          </w:tcPr>
          <w:p w14:paraId="5DD4DD5D" w14:textId="77777777" w:rsidR="002B267B" w:rsidRPr="006414E6" w:rsidRDefault="002B267B" w:rsidP="00932561">
            <w:pPr>
              <w:rPr>
                <w:rFonts w:cs="Times New Roman"/>
                <w:sz w:val="22"/>
              </w:rPr>
            </w:pPr>
            <w:r w:rsidRPr="00932561">
              <w:t>Društvo</w:t>
            </w:r>
          </w:p>
        </w:tc>
        <w:tc>
          <w:tcPr>
            <w:tcW w:w="3685" w:type="dxa"/>
            <w:shd w:val="clear" w:color="auto" w:fill="auto"/>
            <w:hideMark/>
          </w:tcPr>
          <w:p w14:paraId="4A3D2368" w14:textId="77777777" w:rsidR="0016458D" w:rsidRPr="006414E6" w:rsidRDefault="002B267B" w:rsidP="003E188B">
            <w:pPr>
              <w:pStyle w:val="ListParagraph"/>
              <w:keepNext/>
              <w:numPr>
                <w:ilvl w:val="0"/>
                <w:numId w:val="40"/>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 xml:space="preserve">Smanjenje zdravstvenih problema zbog manjih emisija </w:t>
            </w:r>
            <w:r w:rsidR="0016458D" w:rsidRPr="006414E6">
              <w:rPr>
                <w:rFonts w:cs="Times New Roman"/>
                <w:sz w:val="22"/>
              </w:rPr>
              <w:t>o</w:t>
            </w:r>
            <w:r w:rsidRPr="006414E6">
              <w:rPr>
                <w:rFonts w:cs="Times New Roman"/>
                <w:sz w:val="22"/>
              </w:rPr>
              <w:t>nečišćujućih tvari</w:t>
            </w:r>
          </w:p>
          <w:p w14:paraId="268438D4" w14:textId="77777777" w:rsidR="0016458D" w:rsidRPr="006414E6" w:rsidRDefault="002B267B" w:rsidP="003E188B">
            <w:pPr>
              <w:pStyle w:val="ListParagraph"/>
              <w:keepNext/>
              <w:numPr>
                <w:ilvl w:val="0"/>
                <w:numId w:val="40"/>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Otvaranje novih "zelenih" radnih mjesta</w:t>
            </w:r>
          </w:p>
          <w:p w14:paraId="3984F402" w14:textId="77777777" w:rsidR="002B267B" w:rsidRPr="006414E6" w:rsidRDefault="002B267B" w:rsidP="003E188B">
            <w:pPr>
              <w:pStyle w:val="ListParagraph"/>
              <w:keepNext/>
              <w:numPr>
                <w:ilvl w:val="0"/>
                <w:numId w:val="40"/>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Mogućnost aktivnog sudjelovanja građana kao kupca i proizvođača</w:t>
            </w:r>
            <w:r w:rsidR="0016458D" w:rsidRPr="006414E6">
              <w:rPr>
                <w:rFonts w:cs="Times New Roman"/>
                <w:sz w:val="22"/>
              </w:rPr>
              <w:t xml:space="preserve"> </w:t>
            </w:r>
            <w:r w:rsidRPr="006414E6">
              <w:rPr>
                <w:rFonts w:cs="Times New Roman"/>
                <w:sz w:val="22"/>
              </w:rPr>
              <w:t>energije</w:t>
            </w:r>
          </w:p>
          <w:p w14:paraId="3C91C625" w14:textId="77777777" w:rsidR="002B267B" w:rsidRPr="006414E6" w:rsidRDefault="002B267B" w:rsidP="003E188B">
            <w:pPr>
              <w:pStyle w:val="ListParagraph"/>
              <w:keepNext/>
              <w:numPr>
                <w:ilvl w:val="0"/>
                <w:numId w:val="40"/>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Razvoj načina mišljenja i djelovanja s ciljem smanjenja ugljičnog otiska</w:t>
            </w:r>
          </w:p>
        </w:tc>
        <w:tc>
          <w:tcPr>
            <w:tcW w:w="3402" w:type="dxa"/>
            <w:shd w:val="clear" w:color="auto" w:fill="auto"/>
            <w:hideMark/>
          </w:tcPr>
          <w:p w14:paraId="3F6B55FA" w14:textId="77777777" w:rsidR="00513984" w:rsidRPr="006414E6" w:rsidRDefault="002B267B" w:rsidP="003E188B">
            <w:pPr>
              <w:pStyle w:val="ListParagraph"/>
              <w:keepNext/>
              <w:numPr>
                <w:ilvl w:val="0"/>
                <w:numId w:val="43"/>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U dužem roku manje radnih mjesta u sektorima vezanim za fosilna goriva</w:t>
            </w:r>
          </w:p>
          <w:p w14:paraId="13CE3E2D" w14:textId="77777777" w:rsidR="002B267B" w:rsidRPr="006414E6" w:rsidRDefault="002B267B" w:rsidP="003E188B">
            <w:pPr>
              <w:pStyle w:val="ListParagraph"/>
              <w:keepNext/>
              <w:numPr>
                <w:ilvl w:val="0"/>
                <w:numId w:val="43"/>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Rizik od energetskog siromaštva uslijed rasta troškova za energiju</w:t>
            </w:r>
          </w:p>
        </w:tc>
      </w:tr>
    </w:tbl>
    <w:p w14:paraId="51138DC3" w14:textId="77777777" w:rsidR="00BE60B5" w:rsidRPr="006414E6" w:rsidRDefault="00BE60B5" w:rsidP="00BE60B5">
      <w:pPr>
        <w:rPr>
          <w:rFonts w:cs="Times New Roman"/>
        </w:rPr>
      </w:pPr>
      <w:r w:rsidRPr="006414E6">
        <w:rPr>
          <w:rFonts w:cs="Times New Roman"/>
        </w:rPr>
        <w:t>Ukupne očekivane koristi za društvo (uzimajući u obzir eksterne troškove) su pozitivne i rezultiraju ukupno manjim društvenim troškom. Osnovni izazov provedbe i dinamike promjena je potreba visokih ulaganja koja mogu predstavljati značajan izazov za pojedine segmente gospodarstva i/ili kupaca. Ograničavajući čimbenik ubrzane tranzicije može biti sposobnost gospodarstva, društva i pojedinaca da pravovremeno sudjeluju u procesima zbog velikih početnih ulaganja, bez obzira što procesi tranzicije donose dugoročnu korist društvu i okolišu.</w:t>
      </w:r>
    </w:p>
    <w:p w14:paraId="044BAFD7" w14:textId="77777777" w:rsidR="002B267B" w:rsidRPr="006414E6" w:rsidRDefault="002B267B" w:rsidP="002B267B">
      <w:pPr>
        <w:rPr>
          <w:rFonts w:cs="Times New Roman"/>
        </w:rPr>
      </w:pPr>
      <w:r w:rsidRPr="006414E6">
        <w:rPr>
          <w:rFonts w:cs="Times New Roman"/>
        </w:rPr>
        <w:t>Za osiguravanje ukupnih neto koristi te istovremenog smanjenja emisija i pot</w:t>
      </w:r>
      <w:r w:rsidR="002019AF" w:rsidRPr="006414E6">
        <w:rPr>
          <w:rFonts w:cs="Times New Roman"/>
        </w:rPr>
        <w:t>icanja gospodarskog razvoja u Republici Hrvatskoj</w:t>
      </w:r>
      <w:r w:rsidRPr="006414E6">
        <w:rPr>
          <w:rFonts w:cs="Times New Roman"/>
        </w:rPr>
        <w:t>, ključno će biti:</w:t>
      </w:r>
    </w:p>
    <w:p w14:paraId="77EA154C" w14:textId="77777777" w:rsidR="002B267B" w:rsidRPr="006414E6" w:rsidRDefault="002B267B" w:rsidP="003A2F37">
      <w:pPr>
        <w:pStyle w:val="ListParagraph"/>
        <w:numPr>
          <w:ilvl w:val="0"/>
          <w:numId w:val="31"/>
        </w:numPr>
        <w:rPr>
          <w:rFonts w:cs="Times New Roman"/>
        </w:rPr>
      </w:pPr>
      <w:r w:rsidRPr="006414E6">
        <w:rPr>
          <w:rFonts w:cs="Times New Roman"/>
        </w:rPr>
        <w:t xml:space="preserve">maksimalno </w:t>
      </w:r>
      <w:r w:rsidR="00260489" w:rsidRPr="006414E6">
        <w:rPr>
          <w:rFonts w:cs="Times New Roman"/>
        </w:rPr>
        <w:t xml:space="preserve">iskoristiti raspoloživa sredstva </w:t>
      </w:r>
      <w:r w:rsidRPr="006414E6">
        <w:rPr>
          <w:rFonts w:cs="Times New Roman"/>
        </w:rPr>
        <w:t>iz EU fondova</w:t>
      </w:r>
    </w:p>
    <w:p w14:paraId="6A3FE9D6" w14:textId="77777777" w:rsidR="002B267B" w:rsidRPr="006414E6" w:rsidRDefault="002B267B" w:rsidP="003A2F37">
      <w:pPr>
        <w:pStyle w:val="ListParagraph"/>
        <w:numPr>
          <w:ilvl w:val="0"/>
          <w:numId w:val="31"/>
        </w:numPr>
        <w:rPr>
          <w:rFonts w:cs="Times New Roman"/>
        </w:rPr>
      </w:pPr>
      <w:r w:rsidRPr="006414E6">
        <w:rPr>
          <w:rFonts w:cs="Times New Roman"/>
        </w:rPr>
        <w:t>poticanje istraživanja, inovacija, tehnološkog razvoja i sudjelovanja domaće industrije</w:t>
      </w:r>
    </w:p>
    <w:p w14:paraId="30FA9FDE" w14:textId="77777777" w:rsidR="002B267B" w:rsidRPr="006414E6" w:rsidRDefault="002B267B" w:rsidP="003A2F37">
      <w:pPr>
        <w:pStyle w:val="ListParagraph"/>
        <w:numPr>
          <w:ilvl w:val="0"/>
          <w:numId w:val="31"/>
        </w:numPr>
        <w:rPr>
          <w:rFonts w:cs="Times New Roman"/>
        </w:rPr>
      </w:pPr>
      <w:r w:rsidRPr="006414E6">
        <w:rPr>
          <w:rFonts w:cs="Times New Roman"/>
        </w:rPr>
        <w:t>obrazovanje i promjene u načinu mišljenja i djelovanja te aktivno uključivanje građana</w:t>
      </w:r>
    </w:p>
    <w:p w14:paraId="19D3DB6C" w14:textId="77777777" w:rsidR="002B267B" w:rsidRPr="006414E6" w:rsidRDefault="002B267B" w:rsidP="003A2F37">
      <w:pPr>
        <w:pStyle w:val="ListParagraph"/>
        <w:numPr>
          <w:ilvl w:val="0"/>
          <w:numId w:val="31"/>
        </w:numPr>
        <w:rPr>
          <w:rFonts w:cs="Times New Roman"/>
        </w:rPr>
      </w:pPr>
      <w:r w:rsidRPr="006414E6">
        <w:rPr>
          <w:rFonts w:cs="Times New Roman"/>
        </w:rPr>
        <w:t>inovativnim modelima financiranja maksimizirati učinke dostupnih sredstava.</w:t>
      </w:r>
    </w:p>
    <w:p w14:paraId="53A55FE0" w14:textId="77777777" w:rsidR="002B267B" w:rsidRPr="006414E6" w:rsidRDefault="002B267B" w:rsidP="00A5657C">
      <w:pPr>
        <w:spacing w:line="240" w:lineRule="auto"/>
        <w:rPr>
          <w:rFonts w:cs="Times New Roman"/>
          <w:b/>
        </w:rPr>
      </w:pPr>
      <w:proofErr w:type="spellStart"/>
      <w:r w:rsidRPr="006414E6">
        <w:rPr>
          <w:rFonts w:cs="Times New Roman"/>
          <w:b/>
        </w:rPr>
        <w:t>Niskougljičnim</w:t>
      </w:r>
      <w:proofErr w:type="spellEnd"/>
      <w:r w:rsidRPr="006414E6">
        <w:rPr>
          <w:rFonts w:cs="Times New Roman"/>
          <w:b/>
        </w:rPr>
        <w:t xml:space="preserve"> razvojem mogu se ostvariti neto koristi za društvo, ali su za provedbu mjera potrebna dodatna sredstva, odnosno bez odgovarajuće politike i mjera tranzicija se neće dogoditi u potrebnom opsegu.</w:t>
      </w:r>
    </w:p>
    <w:p w14:paraId="77B6564D" w14:textId="77777777" w:rsidR="009A2FAA" w:rsidRPr="006414E6" w:rsidRDefault="00626D49" w:rsidP="00F415A7">
      <w:pPr>
        <w:pStyle w:val="Heading1"/>
      </w:pPr>
      <w:bookmarkStart w:id="320" w:name="_Toc39133318"/>
      <w:bookmarkStart w:id="321" w:name="_Toc20841320"/>
      <w:bookmarkStart w:id="322" w:name="_Toc20841426"/>
      <w:r w:rsidRPr="006414E6">
        <w:t>9</w:t>
      </w:r>
      <w:r w:rsidR="00744DDD" w:rsidRPr="006414E6">
        <w:t xml:space="preserve">. </w:t>
      </w:r>
      <w:r w:rsidRPr="006414E6">
        <w:tab/>
      </w:r>
      <w:r w:rsidR="002A3073" w:rsidRPr="006414E6">
        <w:t>OBRAZOVANJE I AKTIVNO UKLJUČIVANJE GRAĐANA U NISKOUGLJIČNI RAZVOJ</w:t>
      </w:r>
      <w:bookmarkEnd w:id="320"/>
      <w:r w:rsidR="002A3073" w:rsidRPr="006414E6">
        <w:t xml:space="preserve"> </w:t>
      </w:r>
      <w:bookmarkEnd w:id="321"/>
      <w:bookmarkEnd w:id="322"/>
    </w:p>
    <w:p w14:paraId="5E719FF7" w14:textId="13CDD8F0" w:rsidR="002A3073" w:rsidRPr="006414E6" w:rsidRDefault="002A3073" w:rsidP="00A5657C">
      <w:pPr>
        <w:spacing w:line="240" w:lineRule="auto"/>
        <w:rPr>
          <w:rFonts w:cs="Times New Roman"/>
          <w:u w:val="single"/>
        </w:rPr>
      </w:pPr>
      <w:r w:rsidRPr="006414E6">
        <w:rPr>
          <w:rFonts w:cs="Times New Roman"/>
          <w:u w:val="single"/>
        </w:rPr>
        <w:t xml:space="preserve">Obrazovanje, </w:t>
      </w:r>
      <w:r w:rsidR="009453D1" w:rsidRPr="006414E6">
        <w:rPr>
          <w:rFonts w:cs="Times New Roman"/>
          <w:u w:val="single"/>
        </w:rPr>
        <w:t xml:space="preserve">stjecanje </w:t>
      </w:r>
      <w:r w:rsidRPr="006414E6">
        <w:rPr>
          <w:rFonts w:cs="Times New Roman"/>
          <w:u w:val="single"/>
        </w:rPr>
        <w:t>vještin</w:t>
      </w:r>
      <w:r w:rsidR="009453D1" w:rsidRPr="006414E6">
        <w:rPr>
          <w:rFonts w:cs="Times New Roman"/>
          <w:u w:val="single"/>
        </w:rPr>
        <w:t>a</w:t>
      </w:r>
      <w:r w:rsidRPr="006414E6">
        <w:rPr>
          <w:rFonts w:cs="Times New Roman"/>
          <w:u w:val="single"/>
        </w:rPr>
        <w:t xml:space="preserve"> i cjeloživotno učenje po načelima održivog razvoja i </w:t>
      </w:r>
      <w:proofErr w:type="spellStart"/>
      <w:r w:rsidRPr="006414E6">
        <w:rPr>
          <w:rFonts w:cs="Times New Roman"/>
          <w:u w:val="single"/>
        </w:rPr>
        <w:t>niskougljične</w:t>
      </w:r>
      <w:proofErr w:type="spellEnd"/>
      <w:r w:rsidRPr="006414E6">
        <w:rPr>
          <w:rFonts w:cs="Times New Roman"/>
          <w:u w:val="single"/>
        </w:rPr>
        <w:t xml:space="preserve"> strategije</w:t>
      </w:r>
    </w:p>
    <w:p w14:paraId="0FC05A88" w14:textId="77777777" w:rsidR="002A3073" w:rsidRPr="006414E6" w:rsidRDefault="002A3073" w:rsidP="002A3073">
      <w:pPr>
        <w:pStyle w:val="NormalWeb"/>
        <w:contextualSpacing/>
        <w:rPr>
          <w:rFonts w:eastAsia="Times New Roman" w:cs="Times New Roman"/>
        </w:rPr>
      </w:pPr>
      <w:r w:rsidRPr="006414E6">
        <w:rPr>
          <w:rFonts w:eastAsia="Times New Roman" w:cs="Times New Roman"/>
        </w:rPr>
        <w:lastRenderedPageBreak/>
        <w:t xml:space="preserve">Obrazovni sustav treba postati predvodnik u promicanju načela </w:t>
      </w:r>
      <w:proofErr w:type="spellStart"/>
      <w:r w:rsidRPr="006414E6">
        <w:rPr>
          <w:rFonts w:eastAsia="Times New Roman" w:cs="Times New Roman"/>
        </w:rPr>
        <w:t>niskougljičnog</w:t>
      </w:r>
      <w:proofErr w:type="spellEnd"/>
      <w:r w:rsidRPr="006414E6">
        <w:rPr>
          <w:rFonts w:eastAsia="Times New Roman" w:cs="Times New Roman"/>
        </w:rPr>
        <w:t xml:space="preserve"> razvoja, mladi ljudi koji ulaze u obrazovanje danas, biti će nositelji promjena u budućnosti, bez njihovog znanja i uvjerenja ciljevi ove strategije neće se provesti. Stoga je ovo prioritetna aktivn</w:t>
      </w:r>
      <w:r w:rsidR="00A5657C" w:rsidRPr="006414E6">
        <w:rPr>
          <w:rFonts w:eastAsia="Times New Roman" w:cs="Times New Roman"/>
        </w:rPr>
        <w:t xml:space="preserve">ost  </w:t>
      </w:r>
      <w:proofErr w:type="spellStart"/>
      <w:r w:rsidR="00A5657C" w:rsidRPr="006414E6">
        <w:rPr>
          <w:rFonts w:eastAsia="Times New Roman" w:cs="Times New Roman"/>
        </w:rPr>
        <w:t>Niskougljične</w:t>
      </w:r>
      <w:proofErr w:type="spellEnd"/>
      <w:r w:rsidR="00A5657C" w:rsidRPr="006414E6">
        <w:rPr>
          <w:rFonts w:eastAsia="Times New Roman" w:cs="Times New Roman"/>
        </w:rPr>
        <w:t xml:space="preserve"> strategije, </w:t>
      </w:r>
      <w:r w:rsidRPr="006414E6">
        <w:rPr>
          <w:rFonts w:eastAsia="Times New Roman" w:cs="Times New Roman"/>
        </w:rPr>
        <w:t xml:space="preserve">dugoročno važnija od bilo koje mjere tehničkog tipa. </w:t>
      </w:r>
    </w:p>
    <w:p w14:paraId="6511045E" w14:textId="5B0830E6" w:rsidR="002A3073" w:rsidRPr="006414E6" w:rsidRDefault="009453D1" w:rsidP="002A3073">
      <w:pPr>
        <w:pStyle w:val="NormalWeb"/>
        <w:contextualSpacing/>
        <w:rPr>
          <w:rFonts w:eastAsia="Times New Roman" w:cs="Times New Roman"/>
        </w:rPr>
      </w:pPr>
      <w:r w:rsidRPr="006414E6">
        <w:rPr>
          <w:rFonts w:eastAsia="Times New Roman" w:cs="Times New Roman"/>
        </w:rPr>
        <w:t>Nacionalni k</w:t>
      </w:r>
      <w:r w:rsidR="002A3073" w:rsidRPr="006414E6">
        <w:rPr>
          <w:rFonts w:eastAsia="Times New Roman" w:cs="Times New Roman"/>
        </w:rPr>
        <w:t>urikulum obrazovnog sustava bit će takav da promiče održivi razvoj, cjelovitost, integralni pristup, inovativnost, plansku dugoročnost, razumijevanje društvene odgovornosti i međunarodnu solidarnost.  Potrebno je razvijati znanja i vještine za razvoj, primjenu i transfer, novih tehnologija i pametnih rješenja, s orijentacijom na gospodarske grane koje se brzo razvijaju u smjeru kružne i zelene ekonomije.</w:t>
      </w:r>
    </w:p>
    <w:p w14:paraId="5C74B3AC" w14:textId="77777777" w:rsidR="002A3073" w:rsidRPr="00932561" w:rsidRDefault="0045704A" w:rsidP="00932561">
      <w:pPr>
        <w:pStyle w:val="NormalWeb"/>
        <w:contextualSpacing/>
        <w:rPr>
          <w:rFonts w:eastAsia="Times New Roman" w:cs="Times New Roman"/>
        </w:rPr>
      </w:pPr>
      <w:r w:rsidRPr="00932561">
        <w:rPr>
          <w:rFonts w:eastAsia="Times New Roman" w:cs="Times New Roman"/>
        </w:rPr>
        <w:t>I</w:t>
      </w:r>
      <w:r w:rsidR="002A3073" w:rsidRPr="00932561">
        <w:rPr>
          <w:rFonts w:eastAsia="Times New Roman" w:cs="Times New Roman"/>
        </w:rPr>
        <w:t xml:space="preserve">nicijacija sustavnog podizanja znanja od konceptu održivog razvoja i „pismenosti o klimatskim promjenama“ (eng. </w:t>
      </w:r>
      <w:proofErr w:type="spellStart"/>
      <w:r w:rsidR="002A3073" w:rsidRPr="00932561">
        <w:rPr>
          <w:rFonts w:eastAsia="Times New Roman" w:cs="Times New Roman"/>
        </w:rPr>
        <w:t>climate</w:t>
      </w:r>
      <w:proofErr w:type="spellEnd"/>
      <w:r w:rsidR="002A3073" w:rsidRPr="00932561">
        <w:rPr>
          <w:rFonts w:eastAsia="Times New Roman" w:cs="Times New Roman"/>
        </w:rPr>
        <w:t xml:space="preserve"> </w:t>
      </w:r>
      <w:proofErr w:type="spellStart"/>
      <w:r w:rsidR="002A3073" w:rsidRPr="00932561">
        <w:rPr>
          <w:rFonts w:eastAsia="Times New Roman" w:cs="Times New Roman"/>
        </w:rPr>
        <w:t>change</w:t>
      </w:r>
      <w:proofErr w:type="spellEnd"/>
      <w:r w:rsidR="002A3073" w:rsidRPr="00932561">
        <w:rPr>
          <w:rFonts w:eastAsia="Times New Roman" w:cs="Times New Roman"/>
        </w:rPr>
        <w:t xml:space="preserve"> </w:t>
      </w:r>
      <w:proofErr w:type="spellStart"/>
      <w:r w:rsidR="002A3073" w:rsidRPr="00932561">
        <w:rPr>
          <w:rFonts w:eastAsia="Times New Roman" w:cs="Times New Roman"/>
        </w:rPr>
        <w:t>literacy</w:t>
      </w:r>
      <w:proofErr w:type="spellEnd"/>
      <w:r w:rsidR="002A3073" w:rsidRPr="00932561">
        <w:rPr>
          <w:rFonts w:eastAsia="Times New Roman" w:cs="Times New Roman"/>
        </w:rPr>
        <w:t>)</w:t>
      </w:r>
      <w:r w:rsidRPr="00932561">
        <w:rPr>
          <w:rFonts w:eastAsia="Times New Roman" w:cs="Times New Roman"/>
        </w:rPr>
        <w:t xml:space="preserve"> treba se </w:t>
      </w:r>
      <w:r w:rsidR="002A3073" w:rsidRPr="00932561">
        <w:rPr>
          <w:rFonts w:eastAsia="Times New Roman" w:cs="Times New Roman"/>
        </w:rPr>
        <w:t xml:space="preserve">odvijati kroz: </w:t>
      </w:r>
    </w:p>
    <w:p w14:paraId="0277B802" w14:textId="57E7DD93" w:rsidR="002A3073" w:rsidRPr="006414E6" w:rsidRDefault="002A3073" w:rsidP="00932561">
      <w:pPr>
        <w:pStyle w:val="ListParagraph"/>
        <w:numPr>
          <w:ilvl w:val="0"/>
          <w:numId w:val="31"/>
        </w:numPr>
        <w:rPr>
          <w:rFonts w:cs="Times New Roman"/>
        </w:rPr>
      </w:pPr>
      <w:r w:rsidRPr="006414E6">
        <w:rPr>
          <w:rFonts w:cs="Times New Roman"/>
        </w:rPr>
        <w:t xml:space="preserve">podizanje razine obrazovanja o održivom razvoju i pitanjima klimatskih promjena u </w:t>
      </w:r>
      <w:r w:rsidR="009453D1" w:rsidRPr="006414E6">
        <w:rPr>
          <w:rFonts w:cs="Times New Roman"/>
        </w:rPr>
        <w:t xml:space="preserve">redovitom obrazovnom sustavu </w:t>
      </w:r>
      <w:r w:rsidRPr="006414E6">
        <w:rPr>
          <w:rFonts w:cs="Times New Roman"/>
        </w:rPr>
        <w:t>(osnovna škola, srednja škola, više i visoke škole i fakulteti)</w:t>
      </w:r>
    </w:p>
    <w:p w14:paraId="45DACC70" w14:textId="77777777" w:rsidR="00281268" w:rsidRPr="006414E6" w:rsidRDefault="00281268" w:rsidP="00281268">
      <w:pPr>
        <w:pStyle w:val="ListParagraph"/>
        <w:numPr>
          <w:ilvl w:val="0"/>
          <w:numId w:val="61"/>
        </w:numPr>
        <w:rPr>
          <w:rFonts w:cs="Times New Roman"/>
        </w:rPr>
      </w:pPr>
      <w:r w:rsidRPr="006414E6">
        <w:rPr>
          <w:rFonts w:cs="Times New Roman"/>
        </w:rPr>
        <w:t xml:space="preserve">prilagodba srednjoškolskih i visokoškolskih obrazovnih programa učenju potrebnom za svladavanje znanja i vještina povezanih s </w:t>
      </w:r>
      <w:proofErr w:type="spellStart"/>
      <w:r w:rsidRPr="006414E6">
        <w:rPr>
          <w:rFonts w:cs="Times New Roman"/>
        </w:rPr>
        <w:t>niskougljičnim</w:t>
      </w:r>
      <w:proofErr w:type="spellEnd"/>
      <w:r w:rsidRPr="006414E6">
        <w:rPr>
          <w:rFonts w:cs="Times New Roman"/>
        </w:rPr>
        <w:t xml:space="preserve"> gospodarstvom i pametnom specijalizacijom</w:t>
      </w:r>
    </w:p>
    <w:p w14:paraId="75E1C8DE" w14:textId="752C3F71" w:rsidR="002A3073" w:rsidRPr="006414E6" w:rsidRDefault="009453D1" w:rsidP="00932561">
      <w:pPr>
        <w:pStyle w:val="ListParagraph"/>
        <w:numPr>
          <w:ilvl w:val="0"/>
          <w:numId w:val="31"/>
        </w:numPr>
        <w:rPr>
          <w:rFonts w:cs="Times New Roman"/>
        </w:rPr>
      </w:pPr>
      <w:r w:rsidRPr="006414E6">
        <w:rPr>
          <w:rFonts w:cs="Times New Roman"/>
        </w:rPr>
        <w:t xml:space="preserve">cjeloživotno učenje putem medija (televizija i Internet) o načelima </w:t>
      </w:r>
      <w:proofErr w:type="spellStart"/>
      <w:r w:rsidRPr="006414E6">
        <w:rPr>
          <w:rFonts w:cs="Times New Roman"/>
        </w:rPr>
        <w:t>Niskougljične</w:t>
      </w:r>
      <w:proofErr w:type="spellEnd"/>
      <w:r w:rsidRPr="006414E6">
        <w:rPr>
          <w:rFonts w:cs="Times New Roman"/>
        </w:rPr>
        <w:t xml:space="preserve"> strategije </w:t>
      </w:r>
      <w:r w:rsidR="002A3073" w:rsidRPr="006414E6">
        <w:rPr>
          <w:rFonts w:cs="Times New Roman"/>
        </w:rPr>
        <w:t>koje će obrazovati sve ljude, sve stanovnike Hrvatske koji više nisu u procesu institucionalnog obrazovanja Republike Hrvatske</w:t>
      </w:r>
    </w:p>
    <w:p w14:paraId="71E3D7DE" w14:textId="3D8AD999" w:rsidR="002A3073" w:rsidRPr="006414E6" w:rsidRDefault="002A3073" w:rsidP="00932561">
      <w:pPr>
        <w:pStyle w:val="ListParagraph"/>
        <w:numPr>
          <w:ilvl w:val="0"/>
          <w:numId w:val="31"/>
        </w:numPr>
        <w:rPr>
          <w:rFonts w:cs="Times New Roman"/>
        </w:rPr>
      </w:pPr>
      <w:r w:rsidRPr="006414E6">
        <w:rPr>
          <w:rFonts w:cs="Times New Roman"/>
        </w:rPr>
        <w:t xml:space="preserve">razvoj aplikacijskih alata za izračunavanje i praćenje ekološkog otiska, ugljičnog otiska, za mlade, za njihove aktivnosti, za obrazovne institucije, kućanstva, prijevoz. Organizacije aktivnosti koje doprinose smanjenju ugljičnog otiska, </w:t>
      </w:r>
      <w:r w:rsidR="009453D1" w:rsidRPr="006414E6">
        <w:rPr>
          <w:rFonts w:cs="Times New Roman"/>
        </w:rPr>
        <w:t>natjecanja</w:t>
      </w:r>
      <w:r w:rsidRPr="006414E6">
        <w:rPr>
          <w:rFonts w:cs="Times New Roman"/>
        </w:rPr>
        <w:t xml:space="preserve">, testnih primjera uključivanje u kampanje, itd. </w:t>
      </w:r>
    </w:p>
    <w:p w14:paraId="4CDD5D27" w14:textId="77777777" w:rsidR="002A3073" w:rsidRPr="006414E6" w:rsidRDefault="002A3073" w:rsidP="00932561">
      <w:pPr>
        <w:pStyle w:val="ListParagraph"/>
        <w:numPr>
          <w:ilvl w:val="0"/>
          <w:numId w:val="31"/>
        </w:numPr>
        <w:rPr>
          <w:rFonts w:cs="Times New Roman"/>
        </w:rPr>
      </w:pPr>
      <w:r w:rsidRPr="006414E6">
        <w:rPr>
          <w:rFonts w:cs="Times New Roman"/>
        </w:rPr>
        <w:t xml:space="preserve">podršku razvoju centara obrazovne izvrsnosti, podrška razvoju tehnoloških demonstracijskih parkova, laboratorija, 'životnih laboratorija' kao što su sveučilišni kampusi. Oni bi trebali biti pokazni primjeri cjelovitog osmišljavanja prostora za rad i život, na kojima zajedno rade urbanisti, energetičari, prometna struka, obrazovanje, stručnjaci prirodnih i humanističkih struka, a temeljeno na primjeni naprednih tehnologija i inovativnih </w:t>
      </w:r>
      <w:proofErr w:type="spellStart"/>
      <w:r w:rsidRPr="006414E6">
        <w:rPr>
          <w:rFonts w:cs="Times New Roman"/>
        </w:rPr>
        <w:t>niskougljičnih</w:t>
      </w:r>
      <w:proofErr w:type="spellEnd"/>
      <w:r w:rsidRPr="006414E6">
        <w:rPr>
          <w:rFonts w:cs="Times New Roman"/>
        </w:rPr>
        <w:t xml:space="preserve"> rješenja. </w:t>
      </w:r>
    </w:p>
    <w:p w14:paraId="632ABCD8" w14:textId="77777777" w:rsidR="00FA4EA1" w:rsidRPr="006414E6" w:rsidRDefault="002A3073" w:rsidP="002A3073">
      <w:pPr>
        <w:pStyle w:val="NormalWeb"/>
        <w:contextualSpacing/>
        <w:rPr>
          <w:rFonts w:cs="Times New Roman"/>
          <w:lang w:eastAsia="hr-HR"/>
        </w:rPr>
      </w:pPr>
      <w:r w:rsidRPr="006414E6">
        <w:rPr>
          <w:rFonts w:cs="Times New Roman"/>
        </w:rPr>
        <w:t xml:space="preserve">U razdoblju od 2021. </w:t>
      </w:r>
      <w:r w:rsidR="00582512" w:rsidRPr="006414E6">
        <w:rPr>
          <w:rFonts w:cs="Times New Roman"/>
        </w:rPr>
        <w:t xml:space="preserve">do </w:t>
      </w:r>
      <w:r w:rsidRPr="006414E6">
        <w:rPr>
          <w:rFonts w:cs="Times New Roman"/>
        </w:rPr>
        <w:t xml:space="preserve">2030. godine ovakav višeslojni sustav podizanja razine pismenosti o održivom razvoju i klimatskim promjenama u Republici Hrvatskoj će se uhodavati, dopunjavati i modernizirati u hodu, te stvarati prve generacije građana Republike Hrvatske koji će biti cjelovito i sustavno „klimatski opismenjeni„. Moderni medijski kanali informiranja (televizija i društvene mreže) kao brzi i atraktivni prenositelji informacija i spoznaja biti će pri tome izuzetno važni. U tom razdoblju doći će do </w:t>
      </w:r>
      <w:r w:rsidRPr="006414E6">
        <w:rPr>
          <w:rFonts w:cs="Times New Roman"/>
          <w:lang w:eastAsia="hr-HR"/>
        </w:rPr>
        <w:t>osnivanja prvih centara izvrsnosti i tehnoloških parkova, početak realizacije oglednih sveučilišnih kampusa i primjera nove prakse.</w:t>
      </w:r>
    </w:p>
    <w:p w14:paraId="5F8E4C97" w14:textId="77777777" w:rsidR="002A3073" w:rsidRPr="006414E6" w:rsidRDefault="00FA4EA1" w:rsidP="002A3073">
      <w:pPr>
        <w:pStyle w:val="NormalWeb"/>
        <w:contextualSpacing/>
        <w:rPr>
          <w:rFonts w:cs="Times New Roman"/>
        </w:rPr>
      </w:pPr>
      <w:r w:rsidRPr="006414E6">
        <w:rPr>
          <w:rFonts w:cs="Times New Roman"/>
          <w:lang w:eastAsia="hr-HR"/>
        </w:rPr>
        <w:t>Aktualnoj</w:t>
      </w:r>
      <w:r w:rsidRPr="006414E6">
        <w:rPr>
          <w:rFonts w:cs="Times New Roman"/>
        </w:rPr>
        <w:t xml:space="preserve"> Strategij</w:t>
      </w:r>
      <w:r w:rsidR="00FB7271" w:rsidRPr="006414E6">
        <w:rPr>
          <w:rFonts w:cs="Times New Roman"/>
        </w:rPr>
        <w:t>i</w:t>
      </w:r>
      <w:r w:rsidRPr="006414E6">
        <w:rPr>
          <w:rFonts w:cs="Times New Roman"/>
        </w:rPr>
        <w:t xml:space="preserve"> obrazovanja, znanosti i tehnologije ističe mandat 2020. godine, nova bi </w:t>
      </w:r>
      <w:r w:rsidR="00FB7271" w:rsidRPr="006414E6">
        <w:rPr>
          <w:rFonts w:cs="Times New Roman"/>
        </w:rPr>
        <w:t xml:space="preserve">strategija </w:t>
      </w:r>
      <w:r w:rsidRPr="006414E6">
        <w:rPr>
          <w:rFonts w:cs="Times New Roman"/>
        </w:rPr>
        <w:t xml:space="preserve">trebala biti orijentirana izgradnji znanja i razvoju tehnologija koji se omogućiti tranziciju </w:t>
      </w:r>
      <w:r w:rsidR="00FB7271" w:rsidRPr="006414E6">
        <w:rPr>
          <w:rFonts w:cs="Times New Roman"/>
        </w:rPr>
        <w:t xml:space="preserve">prema </w:t>
      </w:r>
      <w:proofErr w:type="spellStart"/>
      <w:r w:rsidR="00FB7271" w:rsidRPr="006414E6">
        <w:rPr>
          <w:rFonts w:cs="Times New Roman"/>
        </w:rPr>
        <w:t>niskugljičnom</w:t>
      </w:r>
      <w:proofErr w:type="spellEnd"/>
      <w:r w:rsidR="00FB7271" w:rsidRPr="006414E6">
        <w:rPr>
          <w:rFonts w:cs="Times New Roman"/>
        </w:rPr>
        <w:t xml:space="preserve"> gospodarstvu i društvu otpornom na klimatske promjene. </w:t>
      </w:r>
    </w:p>
    <w:p w14:paraId="090FC1E2" w14:textId="77777777" w:rsidR="002A3073" w:rsidRPr="006414E6" w:rsidRDefault="002A3073" w:rsidP="002A3073">
      <w:pPr>
        <w:rPr>
          <w:rFonts w:cs="Times New Roman"/>
          <w:u w:val="single"/>
        </w:rPr>
      </w:pPr>
      <w:r w:rsidRPr="006414E6">
        <w:rPr>
          <w:rFonts w:cs="Times New Roman"/>
          <w:u w:val="single"/>
        </w:rPr>
        <w:t xml:space="preserve">Promjena sociološkog poimanja i obrazaca ponašanja  </w:t>
      </w:r>
    </w:p>
    <w:p w14:paraId="24F31878" w14:textId="77777777" w:rsidR="002A3073" w:rsidRPr="006414E6" w:rsidRDefault="002A3073" w:rsidP="00544D7E">
      <w:pPr>
        <w:pStyle w:val="NormalWeb"/>
        <w:rPr>
          <w:rFonts w:cs="Times New Roman"/>
        </w:rPr>
      </w:pPr>
      <w:r w:rsidRPr="006414E6">
        <w:rPr>
          <w:rFonts w:cs="Times New Roman"/>
        </w:rPr>
        <w:t xml:space="preserve">Problem klimatskih promjena je u posljednjih petnaestak godina sporo, ali konačno ušao u javni obzor hrvatskog društva. Daljnja afirmacija ove teme ovisi u značajnoj mjeri od učinkovite realizacije </w:t>
      </w:r>
      <w:proofErr w:type="spellStart"/>
      <w:r w:rsidRPr="006414E6">
        <w:rPr>
          <w:rFonts w:cs="Times New Roman"/>
        </w:rPr>
        <w:t>Niskougljične</w:t>
      </w:r>
      <w:proofErr w:type="spellEnd"/>
      <w:r w:rsidRPr="006414E6">
        <w:rPr>
          <w:rFonts w:cs="Times New Roman"/>
        </w:rPr>
        <w:t xml:space="preserve"> strategije u praksi. Do današnjih dana je na dijelu bila u prosjeku građanstva niska klimatska pismenost, pasivnost u spoznaji problema i neadekvatno, interno, pretežno - svjesno ili nesvjesno - visoko-ugljično ponašanje.</w:t>
      </w:r>
    </w:p>
    <w:p w14:paraId="6C1771E8" w14:textId="77777777" w:rsidR="002A3073" w:rsidRPr="006414E6" w:rsidRDefault="002A3073" w:rsidP="00544D7E">
      <w:pPr>
        <w:pStyle w:val="NormalWeb"/>
        <w:rPr>
          <w:rFonts w:eastAsia="Times New Roman" w:cs="Times New Roman"/>
        </w:rPr>
      </w:pPr>
      <w:r w:rsidRPr="006414E6">
        <w:rPr>
          <w:rFonts w:cs="Times New Roman"/>
        </w:rPr>
        <w:lastRenderedPageBreak/>
        <w:t xml:space="preserve">Početak promjene poimanja i obrazaca ponašanja građana i svih aktera koji donose razvojne odluke u smjeru razvoja Republike Hrvatske kao </w:t>
      </w:r>
      <w:proofErr w:type="spellStart"/>
      <w:r w:rsidRPr="006414E6">
        <w:rPr>
          <w:rFonts w:cs="Times New Roman"/>
        </w:rPr>
        <w:t>niskougljičnog</w:t>
      </w:r>
      <w:proofErr w:type="spellEnd"/>
      <w:r w:rsidRPr="006414E6">
        <w:rPr>
          <w:rFonts w:cs="Times New Roman"/>
        </w:rPr>
        <w:t xml:space="preserve"> društva </w:t>
      </w:r>
      <w:r w:rsidR="0045704A" w:rsidRPr="006414E6">
        <w:rPr>
          <w:rFonts w:cs="Times New Roman"/>
        </w:rPr>
        <w:t xml:space="preserve">izravno je vezano na sustavno i kvalitetno opismenjavanja mladeži i građana Republike Hrvatske o klimatskim promjenama čemu pomaže i tzv. </w:t>
      </w:r>
      <w:r w:rsidRPr="006414E6">
        <w:rPr>
          <w:rFonts w:cs="Times New Roman"/>
        </w:rPr>
        <w:t xml:space="preserve">„učenje iz nužde“ pod utjecajem rastućih negativnih posljedica klimatskih promjena diljem svijeta. Pri tome </w:t>
      </w:r>
      <w:r w:rsidR="0045704A" w:rsidRPr="006414E6">
        <w:rPr>
          <w:rFonts w:cs="Times New Roman"/>
        </w:rPr>
        <w:t>je</w:t>
      </w:r>
      <w:r w:rsidRPr="006414E6">
        <w:rPr>
          <w:rFonts w:cs="Times New Roman"/>
        </w:rPr>
        <w:t xml:space="preserve"> korištenje iskustva razvijenih europskih</w:t>
      </w:r>
      <w:r w:rsidRPr="006414E6">
        <w:rPr>
          <w:rFonts w:eastAsia="Times New Roman" w:cs="Times New Roman"/>
        </w:rPr>
        <w:t xml:space="preserve"> zemalja koje prednjače u procesu klimatskog opismenjavanja od značajne koristi.</w:t>
      </w:r>
    </w:p>
    <w:p w14:paraId="0890572C" w14:textId="6FC1EE60" w:rsidR="002A3073" w:rsidRPr="006414E6" w:rsidRDefault="002A3073" w:rsidP="003E188B">
      <w:pPr>
        <w:rPr>
          <w:rFonts w:cs="Times New Roman"/>
        </w:rPr>
      </w:pPr>
      <w:r w:rsidRPr="006414E6">
        <w:rPr>
          <w:rFonts w:cs="Times New Roman"/>
        </w:rPr>
        <w:t xml:space="preserve">U razdoblju do 2030. godine previđa se ubrzanija promjena načina poimanja i obrazaca ponašanja u smjeru Republike Hrvatske kao </w:t>
      </w:r>
      <w:proofErr w:type="spellStart"/>
      <w:r w:rsidRPr="006414E6">
        <w:rPr>
          <w:rFonts w:cs="Times New Roman"/>
        </w:rPr>
        <w:t>niskougljičnog</w:t>
      </w:r>
      <w:proofErr w:type="spellEnd"/>
      <w:r w:rsidRPr="006414E6">
        <w:rPr>
          <w:rFonts w:cs="Times New Roman"/>
        </w:rPr>
        <w:t xml:space="preserve"> društva. Procesi u europskom okruženju te svijetu biti će dodatno globalizirani i slični. S jedne st</w:t>
      </w:r>
      <w:r w:rsidR="00582512" w:rsidRPr="006414E6">
        <w:rPr>
          <w:rFonts w:cs="Times New Roman"/>
        </w:rPr>
        <w:t>rane</w:t>
      </w:r>
      <w:r w:rsidRPr="006414E6">
        <w:rPr>
          <w:rFonts w:cs="Times New Roman"/>
        </w:rPr>
        <w:t xml:space="preserve">, sustavno će rasti pismenost, s druge „učenje iz nužde“, a s treće </w:t>
      </w:r>
      <w:proofErr w:type="spellStart"/>
      <w:r w:rsidRPr="006414E6">
        <w:rPr>
          <w:rFonts w:cs="Times New Roman"/>
        </w:rPr>
        <w:t>niskougljična</w:t>
      </w:r>
      <w:proofErr w:type="spellEnd"/>
      <w:r w:rsidRPr="006414E6">
        <w:rPr>
          <w:rFonts w:cs="Times New Roman"/>
        </w:rPr>
        <w:t xml:space="preserve"> praktična rješenja u organizaciji društvenog života, produkcije, potrošnje i upravljanja razvojem u smjeru porasta održivosti.</w:t>
      </w:r>
    </w:p>
    <w:p w14:paraId="294434CE" w14:textId="1AC2DD20" w:rsidR="00C774E4" w:rsidRPr="006414E6" w:rsidRDefault="000E5653" w:rsidP="00F415A7">
      <w:pPr>
        <w:pStyle w:val="Heading1"/>
      </w:pPr>
      <w:bookmarkStart w:id="323" w:name="_Toc39133319"/>
      <w:bookmarkStart w:id="324" w:name="_Toc20841319"/>
      <w:bookmarkStart w:id="325" w:name="_Toc20841425"/>
      <w:r w:rsidRPr="006414E6">
        <w:t>10.</w:t>
      </w:r>
      <w:r w:rsidR="00A5657C" w:rsidRPr="006414E6">
        <w:tab/>
      </w:r>
      <w:r w:rsidR="00C774E4" w:rsidRPr="006414E6">
        <w:t>ISTRAŽIVANJA, TEHNOLOŠKI RAZVOJ I INOVACIJE</w:t>
      </w:r>
      <w:bookmarkEnd w:id="323"/>
      <w:r w:rsidR="00C774E4" w:rsidRPr="006414E6">
        <w:t xml:space="preserve"> </w:t>
      </w:r>
    </w:p>
    <w:p w14:paraId="00DCBD78" w14:textId="77777777" w:rsidR="00C774E4" w:rsidRPr="006414E6" w:rsidRDefault="00260489" w:rsidP="00932561">
      <w:pPr>
        <w:rPr>
          <w:rFonts w:cs="Times New Roman"/>
        </w:rPr>
      </w:pPr>
      <w:proofErr w:type="spellStart"/>
      <w:r w:rsidRPr="006414E6">
        <w:rPr>
          <w:rFonts w:cs="Times New Roman"/>
        </w:rPr>
        <w:t>N</w:t>
      </w:r>
      <w:r w:rsidR="00C774E4" w:rsidRPr="006414E6">
        <w:rPr>
          <w:rFonts w:cs="Times New Roman"/>
        </w:rPr>
        <w:t>iskougljičn</w:t>
      </w:r>
      <w:r w:rsidRPr="006414E6">
        <w:rPr>
          <w:rFonts w:cs="Times New Roman"/>
        </w:rPr>
        <w:t>i</w:t>
      </w:r>
      <w:proofErr w:type="spellEnd"/>
      <w:r w:rsidRPr="006414E6">
        <w:rPr>
          <w:rFonts w:cs="Times New Roman"/>
        </w:rPr>
        <w:t xml:space="preserve"> razvoj</w:t>
      </w:r>
      <w:r w:rsidR="00C774E4" w:rsidRPr="006414E6">
        <w:rPr>
          <w:rFonts w:cs="Times New Roman"/>
        </w:rPr>
        <w:t xml:space="preserve"> </w:t>
      </w:r>
      <w:r w:rsidRPr="006414E6">
        <w:rPr>
          <w:rFonts w:cs="Times New Roman"/>
        </w:rPr>
        <w:t xml:space="preserve">je </w:t>
      </w:r>
      <w:r w:rsidR="00C774E4" w:rsidRPr="006414E6">
        <w:rPr>
          <w:rFonts w:cs="Times New Roman"/>
        </w:rPr>
        <w:t xml:space="preserve">potrebno integrirati u programe poticanja inovacija, istraživanja i razvoja visokih tehnologija u privatnom i javnom sektoru. Hrvatska zaostaje u financiranju istraživanja, razvoja i inovacija za drugim državama EU, koji je na razini </w:t>
      </w:r>
      <w:r w:rsidRPr="006414E6">
        <w:rPr>
          <w:rFonts w:cs="Times New Roman"/>
        </w:rPr>
        <w:t xml:space="preserve">oko </w:t>
      </w:r>
      <w:r w:rsidR="00C774E4" w:rsidRPr="006414E6">
        <w:rPr>
          <w:rFonts w:cs="Times New Roman"/>
        </w:rPr>
        <w:t>3% BDP-a. U Republici Hrvatskoj u 2017. na istraživačko-razvojnu djelatnost utrošene su 3,2 milijarde kuna, što je za 4,3% više u odnosu na prethodnu godinu, no udio izdataka za istraživanje i razvoj u BDP-u u 2017. iznosio je 0,86%. Istraživanje i razvoj su među najvećim potencijalnim faktorima doprinosa rastu BDP-a, odmah nakon povećanja zaposlenosti, stoga je u Hrvatskoj potrebno povećanje izdataka za  istraživanje i razvoj, bliže prosječnoj razini EU-a.</w:t>
      </w:r>
    </w:p>
    <w:p w14:paraId="2BCED34A" w14:textId="77777777" w:rsidR="00C774E4" w:rsidRPr="006414E6" w:rsidRDefault="00C774E4" w:rsidP="00C774E4">
      <w:pPr>
        <w:rPr>
          <w:rFonts w:cs="Times New Roman"/>
        </w:rPr>
      </w:pPr>
      <w:r w:rsidRPr="006414E6">
        <w:rPr>
          <w:rFonts w:cs="Times New Roman"/>
        </w:rPr>
        <w:t xml:space="preserve">U Strategiji pametne specijalizacije Republike Hrvatske za razdoblje do 2020. godine, definirane su uz pet tematskih prioritetnih područja dvije horizontalne teme koje predstavljaju međusektorske tehnologije i procese i služe kao pokretači rasta unutar tematskih prioritetnih područja, a to su tzv. ključne razvojne tehnologije i informacijsko-komunikacijska tehnologija. Ključne razvojne tehnologije omogućuju prijelaz s tradicionalnog gospodarstva na gospodarstvo s niskom emisijom ugljika temeljeno na znanju. One imaju važnu ulogu u razvoju, inovaciji i jačanju konkurentnosti industrije, a uključuju biotehnologiju, mikro- i </w:t>
      </w:r>
      <w:proofErr w:type="spellStart"/>
      <w:r w:rsidRPr="006414E6">
        <w:rPr>
          <w:rFonts w:cs="Times New Roman"/>
        </w:rPr>
        <w:t>nano</w:t>
      </w:r>
      <w:proofErr w:type="spellEnd"/>
      <w:r w:rsidRPr="006414E6">
        <w:rPr>
          <w:rFonts w:cs="Times New Roman"/>
        </w:rPr>
        <w:t xml:space="preserve">-elektroniku i </w:t>
      </w:r>
      <w:proofErr w:type="spellStart"/>
      <w:r w:rsidRPr="006414E6">
        <w:rPr>
          <w:rFonts w:cs="Times New Roman"/>
        </w:rPr>
        <w:t>fotoniku</w:t>
      </w:r>
      <w:proofErr w:type="spellEnd"/>
      <w:r w:rsidRPr="006414E6">
        <w:rPr>
          <w:rFonts w:cs="Times New Roman"/>
        </w:rPr>
        <w:t xml:space="preserve"> te druge napredne materijale i tehnologije. Budući da je Strategija pametne specijalizacije jedan od temeljnih strateških dokumenata u području tehnološkog razvoja i inovacija, ovime su stvorene početne pretpostavke za tranziciju u </w:t>
      </w:r>
      <w:proofErr w:type="spellStart"/>
      <w:r w:rsidRPr="006414E6">
        <w:rPr>
          <w:rFonts w:cs="Times New Roman"/>
        </w:rPr>
        <w:t>niskougljično</w:t>
      </w:r>
      <w:proofErr w:type="spellEnd"/>
      <w:r w:rsidRPr="006414E6">
        <w:rPr>
          <w:rFonts w:cs="Times New Roman"/>
        </w:rPr>
        <w:t xml:space="preserve"> gospodarstvo i za uključivanje u ovaj proces institucija nadležnih za podršku poslovnim ulaganjima u istraživanje, razvoj i inovacije.</w:t>
      </w:r>
    </w:p>
    <w:p w14:paraId="03EEDE18" w14:textId="77777777" w:rsidR="00C774E4" w:rsidRPr="006414E6" w:rsidRDefault="00C774E4" w:rsidP="00C774E4">
      <w:pPr>
        <w:rPr>
          <w:rFonts w:cs="Times New Roman"/>
        </w:rPr>
      </w:pPr>
      <w:r w:rsidRPr="006414E6">
        <w:rPr>
          <w:rFonts w:cs="Times New Roman"/>
        </w:rPr>
        <w:t xml:space="preserve">Neke od specifičnih mjera za </w:t>
      </w:r>
      <w:proofErr w:type="spellStart"/>
      <w:r w:rsidRPr="006414E6">
        <w:rPr>
          <w:rFonts w:cs="Times New Roman"/>
        </w:rPr>
        <w:t>niskougljični</w:t>
      </w:r>
      <w:proofErr w:type="spellEnd"/>
      <w:r w:rsidRPr="006414E6">
        <w:rPr>
          <w:rFonts w:cs="Times New Roman"/>
        </w:rPr>
        <w:t xml:space="preserve"> tehnološki razvoj, inovacije i istraživanja mogu biti:</w:t>
      </w:r>
    </w:p>
    <w:p w14:paraId="6F834545" w14:textId="77777777" w:rsidR="00C774E4" w:rsidRPr="006414E6" w:rsidRDefault="00C774E4" w:rsidP="003A2F37">
      <w:pPr>
        <w:pStyle w:val="ListParagraph"/>
        <w:numPr>
          <w:ilvl w:val="0"/>
          <w:numId w:val="19"/>
        </w:numPr>
        <w:rPr>
          <w:rFonts w:cs="Times New Roman"/>
        </w:rPr>
      </w:pPr>
      <w:r w:rsidRPr="006414E6">
        <w:rPr>
          <w:rFonts w:cs="Times New Roman"/>
        </w:rPr>
        <w:t xml:space="preserve">sufinanciranje projekata industrijskog istraživanja i eksperimentalnog razvoja usklađenih sa Strategijom pametne specijalizacije i </w:t>
      </w:r>
      <w:proofErr w:type="spellStart"/>
      <w:r w:rsidRPr="006414E6">
        <w:rPr>
          <w:rFonts w:cs="Times New Roman"/>
        </w:rPr>
        <w:t>Niskougljičnom</w:t>
      </w:r>
      <w:proofErr w:type="spellEnd"/>
      <w:r w:rsidRPr="006414E6">
        <w:rPr>
          <w:rFonts w:cs="Times New Roman"/>
        </w:rPr>
        <w:t xml:space="preserve"> strategijom</w:t>
      </w:r>
    </w:p>
    <w:p w14:paraId="1A0564D3" w14:textId="77777777" w:rsidR="00C774E4" w:rsidRPr="006414E6" w:rsidRDefault="00C774E4" w:rsidP="003A2F37">
      <w:pPr>
        <w:pStyle w:val="ListParagraph"/>
        <w:numPr>
          <w:ilvl w:val="0"/>
          <w:numId w:val="19"/>
        </w:numPr>
        <w:rPr>
          <w:rFonts w:cs="Times New Roman"/>
        </w:rPr>
      </w:pPr>
      <w:r w:rsidRPr="006414E6">
        <w:rPr>
          <w:rFonts w:cs="Times New Roman"/>
        </w:rPr>
        <w:t xml:space="preserve">sufinanciranje razvoja poduzetništva na području pametne specijalizacije i </w:t>
      </w:r>
      <w:proofErr w:type="spellStart"/>
      <w:r w:rsidRPr="006414E6">
        <w:rPr>
          <w:rFonts w:cs="Times New Roman"/>
        </w:rPr>
        <w:t>niskougljičnog</w:t>
      </w:r>
      <w:proofErr w:type="spellEnd"/>
      <w:r w:rsidRPr="006414E6">
        <w:rPr>
          <w:rFonts w:cs="Times New Roman"/>
        </w:rPr>
        <w:t xml:space="preserve"> gospodarstva</w:t>
      </w:r>
    </w:p>
    <w:p w14:paraId="5BF9B6C3" w14:textId="77777777" w:rsidR="00C774E4" w:rsidRPr="006414E6" w:rsidRDefault="00C774E4" w:rsidP="003A2F37">
      <w:pPr>
        <w:pStyle w:val="ListParagraph"/>
        <w:numPr>
          <w:ilvl w:val="0"/>
          <w:numId w:val="19"/>
        </w:numPr>
        <w:rPr>
          <w:rFonts w:cs="Times New Roman"/>
        </w:rPr>
      </w:pPr>
      <w:r w:rsidRPr="006414E6">
        <w:rPr>
          <w:rFonts w:cs="Times New Roman"/>
        </w:rPr>
        <w:t>omogućavanje stjecanja domaćih referenci putem modela zajedničkog razvoja s javnim sektorom</w:t>
      </w:r>
    </w:p>
    <w:p w14:paraId="15E534F4" w14:textId="77777777" w:rsidR="00C774E4" w:rsidRPr="006414E6" w:rsidRDefault="00C774E4" w:rsidP="003A2F37">
      <w:pPr>
        <w:pStyle w:val="ListParagraph"/>
        <w:numPr>
          <w:ilvl w:val="0"/>
          <w:numId w:val="19"/>
        </w:numPr>
        <w:rPr>
          <w:rFonts w:cs="Times New Roman"/>
        </w:rPr>
      </w:pPr>
      <w:r w:rsidRPr="006414E6">
        <w:rPr>
          <w:rFonts w:cs="Times New Roman"/>
        </w:rPr>
        <w:t>raspoznavanje teme klimatskih promjena kao interdisciplinarno polje znanosti pri utvrđivanju kriterija i uvjeta za stjecanje znanstvenog statusa pravnih i fizičkih osoba.</w:t>
      </w:r>
    </w:p>
    <w:p w14:paraId="0137CF43" w14:textId="77777777" w:rsidR="00C774E4" w:rsidRPr="006414E6" w:rsidRDefault="00C774E4" w:rsidP="00C774E4">
      <w:pPr>
        <w:rPr>
          <w:rFonts w:cs="Times New Roman"/>
        </w:rPr>
      </w:pPr>
      <w:r w:rsidRPr="006414E6">
        <w:rPr>
          <w:rFonts w:cs="Times New Roman"/>
        </w:rPr>
        <w:t>Istraživanja su potrebna po sljedećim temama:</w:t>
      </w:r>
    </w:p>
    <w:p w14:paraId="6D9702C9" w14:textId="77777777" w:rsidR="00C774E4" w:rsidRPr="006414E6" w:rsidRDefault="00C774E4" w:rsidP="003A2F37">
      <w:pPr>
        <w:pStyle w:val="ListParagraph"/>
        <w:numPr>
          <w:ilvl w:val="0"/>
          <w:numId w:val="20"/>
        </w:numPr>
        <w:rPr>
          <w:rFonts w:cs="Times New Roman"/>
        </w:rPr>
      </w:pPr>
      <w:r w:rsidRPr="006414E6">
        <w:rPr>
          <w:rFonts w:cs="Times New Roman"/>
        </w:rPr>
        <w:lastRenderedPageBreak/>
        <w:t xml:space="preserve">razvoj modela, metoda za integralno upravljanje ugljikom, za unapređenje proračuna emisija/odliva, za projekcije emisija/odliva, za primjenu proračuna po metodi ukupnog životnog ciklusa  </w:t>
      </w:r>
    </w:p>
    <w:p w14:paraId="5552BF39" w14:textId="77777777" w:rsidR="00C774E4" w:rsidRPr="006414E6" w:rsidRDefault="00C774E4" w:rsidP="003A2F37">
      <w:pPr>
        <w:pStyle w:val="ListParagraph"/>
        <w:numPr>
          <w:ilvl w:val="0"/>
          <w:numId w:val="20"/>
        </w:numPr>
        <w:rPr>
          <w:rFonts w:cs="Times New Roman"/>
        </w:rPr>
      </w:pPr>
      <w:r w:rsidRPr="006414E6">
        <w:rPr>
          <w:rFonts w:cs="Times New Roman"/>
        </w:rPr>
        <w:t>istraživanj</w:t>
      </w:r>
      <w:r w:rsidR="003B6488" w:rsidRPr="006414E6">
        <w:rPr>
          <w:rFonts w:cs="Times New Roman"/>
        </w:rPr>
        <w:t>e</w:t>
      </w:r>
      <w:r w:rsidRPr="006414E6">
        <w:rPr>
          <w:rFonts w:cs="Times New Roman"/>
        </w:rPr>
        <w:t xml:space="preserve"> tehnologija, tehničkih i ne-tehničkih mjera za smanjenje emisija i povećanje odliva u svim sektorima (energetika, promet, poljoprivreda, šumarstvo, gospodarenje otpadom i industrijski procesi)</w:t>
      </w:r>
    </w:p>
    <w:p w14:paraId="627EBE41" w14:textId="77777777" w:rsidR="00C774E4" w:rsidRPr="006414E6" w:rsidRDefault="00C774E4" w:rsidP="003A2F37">
      <w:pPr>
        <w:pStyle w:val="ListParagraph"/>
        <w:numPr>
          <w:ilvl w:val="0"/>
          <w:numId w:val="20"/>
        </w:numPr>
        <w:rPr>
          <w:rFonts w:cs="Times New Roman"/>
        </w:rPr>
      </w:pPr>
      <w:r w:rsidRPr="006414E6">
        <w:rPr>
          <w:rFonts w:cs="Times New Roman"/>
        </w:rPr>
        <w:t>istraživanja mogućnosti korištenja, načina skladištenja, transporta i geološkog skladištenja CO</w:t>
      </w:r>
      <w:r w:rsidRPr="006414E6">
        <w:rPr>
          <w:rFonts w:cs="Times New Roman"/>
          <w:vertAlign w:val="subscript"/>
        </w:rPr>
        <w:t>2</w:t>
      </w:r>
      <w:r w:rsidRPr="006414E6">
        <w:rPr>
          <w:rFonts w:cs="Times New Roman"/>
        </w:rPr>
        <w:t xml:space="preserve"> </w:t>
      </w:r>
    </w:p>
    <w:p w14:paraId="3355A792" w14:textId="77777777" w:rsidR="00C774E4" w:rsidRPr="006414E6" w:rsidRDefault="00C774E4" w:rsidP="003A2F37">
      <w:pPr>
        <w:pStyle w:val="ListParagraph"/>
        <w:numPr>
          <w:ilvl w:val="0"/>
          <w:numId w:val="21"/>
        </w:numPr>
        <w:rPr>
          <w:rFonts w:cs="Times New Roman"/>
        </w:rPr>
      </w:pPr>
      <w:r w:rsidRPr="006414E6">
        <w:rPr>
          <w:rFonts w:cs="Times New Roman"/>
        </w:rPr>
        <w:t>istraživanja poveznica između ublažavanja klimatskih promjena i prilagodbe klimatskim promjenama, te interakcije s ostalim sastavnicama okoliša</w:t>
      </w:r>
    </w:p>
    <w:p w14:paraId="780A4B5A" w14:textId="77777777" w:rsidR="00C774E4" w:rsidRPr="006414E6" w:rsidRDefault="00C774E4" w:rsidP="003A2F37">
      <w:pPr>
        <w:pStyle w:val="ListParagraph"/>
        <w:numPr>
          <w:ilvl w:val="0"/>
          <w:numId w:val="21"/>
        </w:numPr>
        <w:rPr>
          <w:rFonts w:cs="Times New Roman"/>
        </w:rPr>
      </w:pPr>
      <w:r w:rsidRPr="006414E6">
        <w:rPr>
          <w:rFonts w:cs="Times New Roman"/>
        </w:rPr>
        <w:t xml:space="preserve">razvoj integralnih modela procjene učinaka politika i mjera za ublažavanje klimatskih promjena na gospodarstvo, društvo i okoliš </w:t>
      </w:r>
    </w:p>
    <w:p w14:paraId="3DF9A831" w14:textId="77777777" w:rsidR="00C774E4" w:rsidRPr="006414E6" w:rsidRDefault="00C774E4" w:rsidP="003A2F37">
      <w:pPr>
        <w:pStyle w:val="ListParagraph"/>
        <w:numPr>
          <w:ilvl w:val="0"/>
          <w:numId w:val="21"/>
        </w:numPr>
        <w:rPr>
          <w:rFonts w:cs="Times New Roman"/>
        </w:rPr>
      </w:pPr>
      <w:r w:rsidRPr="006414E6">
        <w:rPr>
          <w:rFonts w:cs="Times New Roman"/>
        </w:rPr>
        <w:t>istraživanja socioloških aspekata klimatskih promjena, razvoj modela i metoda promidžbe i podizanja javne svijesti o klimatskim promjenama</w:t>
      </w:r>
    </w:p>
    <w:p w14:paraId="2DB63A3E" w14:textId="77777777" w:rsidR="00C774E4" w:rsidRPr="006414E6" w:rsidRDefault="00C774E4" w:rsidP="003A2F37">
      <w:pPr>
        <w:pStyle w:val="ListParagraph"/>
        <w:numPr>
          <w:ilvl w:val="0"/>
          <w:numId w:val="21"/>
        </w:numPr>
        <w:rPr>
          <w:rFonts w:cs="Times New Roman"/>
        </w:rPr>
      </w:pPr>
      <w:r w:rsidRPr="006414E6">
        <w:rPr>
          <w:rFonts w:cs="Times New Roman"/>
        </w:rPr>
        <w:t>istraživanja u cilju unapređenja sustava obrazovanja, pametnih specijalizacija i životnog obrazovanja kao dijela odgovora na izazov ublažavanja klimatskih promjena</w:t>
      </w:r>
    </w:p>
    <w:p w14:paraId="42E51937" w14:textId="77777777" w:rsidR="00C774E4" w:rsidRPr="006414E6" w:rsidRDefault="00C774E4" w:rsidP="003A2F37">
      <w:pPr>
        <w:pStyle w:val="ListParagraph"/>
        <w:numPr>
          <w:ilvl w:val="0"/>
          <w:numId w:val="21"/>
        </w:numPr>
        <w:rPr>
          <w:rFonts w:cs="Times New Roman"/>
        </w:rPr>
      </w:pPr>
      <w:r w:rsidRPr="006414E6">
        <w:rPr>
          <w:rFonts w:cs="Times New Roman"/>
        </w:rPr>
        <w:t xml:space="preserve">istraživanja modela financiranja, posebice mogućih modela javno privatnog partnerstva   </w:t>
      </w:r>
    </w:p>
    <w:p w14:paraId="6A0531C3" w14:textId="77777777" w:rsidR="00C774E4" w:rsidRPr="006414E6" w:rsidRDefault="00C774E4" w:rsidP="003A2F37">
      <w:pPr>
        <w:pStyle w:val="ListParagraph"/>
        <w:numPr>
          <w:ilvl w:val="0"/>
          <w:numId w:val="21"/>
        </w:numPr>
        <w:rPr>
          <w:rFonts w:cs="Times New Roman"/>
        </w:rPr>
      </w:pPr>
      <w:r w:rsidRPr="006414E6">
        <w:rPr>
          <w:rFonts w:cs="Times New Roman"/>
        </w:rPr>
        <w:t xml:space="preserve">istraživanja potencijala biomase, proizvodnje biomase, korištenja biomase i s tim u vezi </w:t>
      </w:r>
      <w:proofErr w:type="spellStart"/>
      <w:r w:rsidRPr="006414E6">
        <w:rPr>
          <w:rFonts w:cs="Times New Roman"/>
        </w:rPr>
        <w:t>socio</w:t>
      </w:r>
      <w:proofErr w:type="spellEnd"/>
      <w:r w:rsidRPr="006414E6">
        <w:rPr>
          <w:rFonts w:cs="Times New Roman"/>
        </w:rPr>
        <w:t xml:space="preserve">-gospodarskih aspekata </w:t>
      </w:r>
    </w:p>
    <w:p w14:paraId="6452FD6C" w14:textId="77777777" w:rsidR="00C774E4" w:rsidRPr="006414E6" w:rsidRDefault="00C774E4" w:rsidP="003A2F37">
      <w:pPr>
        <w:pStyle w:val="ListParagraph"/>
        <w:numPr>
          <w:ilvl w:val="0"/>
          <w:numId w:val="21"/>
        </w:numPr>
        <w:rPr>
          <w:rFonts w:cs="Times New Roman"/>
        </w:rPr>
      </w:pPr>
      <w:r w:rsidRPr="006414E6">
        <w:rPr>
          <w:rFonts w:cs="Times New Roman"/>
        </w:rPr>
        <w:t>istraživanja potencijala obnovljivih izvora energije, troškovi i koristi njihove upotrebe, njihovog utjecaja na okoliš, prirodu i ekološku mrežu</w:t>
      </w:r>
    </w:p>
    <w:p w14:paraId="5ED1148A" w14:textId="77777777" w:rsidR="00C774E4" w:rsidRPr="006414E6" w:rsidRDefault="00C774E4" w:rsidP="003A2F37">
      <w:pPr>
        <w:pStyle w:val="ListParagraph"/>
        <w:numPr>
          <w:ilvl w:val="0"/>
          <w:numId w:val="21"/>
        </w:numPr>
        <w:rPr>
          <w:rFonts w:cs="Times New Roman"/>
        </w:rPr>
      </w:pPr>
      <w:r w:rsidRPr="006414E6">
        <w:rPr>
          <w:rFonts w:cs="Times New Roman"/>
        </w:rPr>
        <w:t>studije integralnih rješenja, energetske učinkovitosti, obnovljivih izvora energije u svim sektorima, optimizacijski modeli za pametne gradove, zelene gradove i urbanu infrastrukturu</w:t>
      </w:r>
    </w:p>
    <w:p w14:paraId="160DD916" w14:textId="77777777" w:rsidR="00C774E4" w:rsidRPr="006414E6" w:rsidRDefault="00C774E4" w:rsidP="003A2F37">
      <w:pPr>
        <w:pStyle w:val="ListParagraph"/>
        <w:numPr>
          <w:ilvl w:val="0"/>
          <w:numId w:val="21"/>
        </w:numPr>
        <w:rPr>
          <w:rFonts w:cs="Times New Roman"/>
        </w:rPr>
      </w:pPr>
      <w:r w:rsidRPr="006414E6">
        <w:rPr>
          <w:rFonts w:cs="Times New Roman"/>
        </w:rPr>
        <w:t>istraživanja naprednih mreža i pametnih sustava</w:t>
      </w:r>
    </w:p>
    <w:p w14:paraId="2C4DEA80" w14:textId="77777777" w:rsidR="00C774E4" w:rsidRPr="006414E6" w:rsidRDefault="00C774E4" w:rsidP="003A2F37">
      <w:pPr>
        <w:pStyle w:val="ListParagraph"/>
        <w:numPr>
          <w:ilvl w:val="0"/>
          <w:numId w:val="21"/>
        </w:numPr>
        <w:rPr>
          <w:rFonts w:cs="Times New Roman"/>
        </w:rPr>
      </w:pPr>
      <w:r w:rsidRPr="006414E6">
        <w:rPr>
          <w:rFonts w:cs="Times New Roman"/>
        </w:rPr>
        <w:t>razvoj koncepata i planiranja pametnih gradova</w:t>
      </w:r>
    </w:p>
    <w:p w14:paraId="4429EB3E" w14:textId="77777777" w:rsidR="00C774E4" w:rsidRPr="006414E6" w:rsidRDefault="00C774E4" w:rsidP="003A2F37">
      <w:pPr>
        <w:pStyle w:val="ListParagraph"/>
        <w:numPr>
          <w:ilvl w:val="0"/>
          <w:numId w:val="22"/>
        </w:numPr>
        <w:rPr>
          <w:rFonts w:cs="Times New Roman"/>
        </w:rPr>
      </w:pPr>
      <w:r w:rsidRPr="006414E6">
        <w:rPr>
          <w:rFonts w:cs="Times New Roman"/>
        </w:rPr>
        <w:t>istraživanja vezano za izgradnju kružne ekonomije, uvođenje  sustava upravljanja korištenjem resursa, energije i ugljičnog otiska</w:t>
      </w:r>
    </w:p>
    <w:p w14:paraId="173292F3" w14:textId="77777777" w:rsidR="00C774E4" w:rsidRPr="006414E6" w:rsidRDefault="00C774E4" w:rsidP="003A2F37">
      <w:pPr>
        <w:pStyle w:val="ListParagraph"/>
        <w:numPr>
          <w:ilvl w:val="0"/>
          <w:numId w:val="22"/>
        </w:numPr>
        <w:rPr>
          <w:rFonts w:cs="Times New Roman"/>
        </w:rPr>
      </w:pPr>
      <w:r w:rsidRPr="006414E6">
        <w:rPr>
          <w:rFonts w:cs="Times New Roman"/>
        </w:rPr>
        <w:t>istraživanja održive mobilnosti u gradovima, kooperativnih, inteligentnih i automatiziranih rješenja u prometu</w:t>
      </w:r>
    </w:p>
    <w:p w14:paraId="0A3C3D90" w14:textId="77777777" w:rsidR="00C774E4" w:rsidRPr="006414E6" w:rsidRDefault="00C774E4" w:rsidP="003A2F37">
      <w:pPr>
        <w:pStyle w:val="ListParagraph"/>
        <w:numPr>
          <w:ilvl w:val="0"/>
          <w:numId w:val="22"/>
        </w:numPr>
        <w:rPr>
          <w:rFonts w:cs="Times New Roman"/>
        </w:rPr>
      </w:pPr>
      <w:r w:rsidRPr="006414E6">
        <w:rPr>
          <w:rFonts w:cs="Times New Roman"/>
        </w:rPr>
        <w:t>istraživanja o mogućnostima povećanja pohrane ugljika na poljoprivrednom zemljištu i mogućih inovativnih mjera u stočarstvu.</w:t>
      </w:r>
    </w:p>
    <w:p w14:paraId="10729E98" w14:textId="77777777" w:rsidR="00C774E4" w:rsidRPr="006414E6" w:rsidRDefault="00C774E4" w:rsidP="00C774E4">
      <w:pPr>
        <w:rPr>
          <w:rFonts w:cs="Times New Roman"/>
        </w:rPr>
      </w:pPr>
      <w:r w:rsidRPr="006414E6">
        <w:rPr>
          <w:rFonts w:cs="Times New Roman"/>
        </w:rPr>
        <w:t>Osobiti tehnološki napredak očekuje se u primjeni ICT tehnologija u svim sektorima, osobito s velikim učinkom u energetici i prometu. Odlučujuću ulogu će imati razvoj sustava za pohranu energije, infrastruktura za električna vozila i baterije, autonomni sustavi u raznim sektorima i robotika.</w:t>
      </w:r>
    </w:p>
    <w:p w14:paraId="28E43AA5" w14:textId="77777777" w:rsidR="00C774E4" w:rsidRPr="006414E6" w:rsidRDefault="00C774E4" w:rsidP="00C774E4">
      <w:pPr>
        <w:rPr>
          <w:rFonts w:cs="Times New Roman"/>
        </w:rPr>
      </w:pPr>
      <w:r w:rsidRPr="006414E6">
        <w:rPr>
          <w:rFonts w:cs="Times New Roman"/>
        </w:rPr>
        <w:t>Potrebna je financijska podrška svim projektima koji se apliciraju za Obzor 2020</w:t>
      </w:r>
      <w:r w:rsidR="001C39FF" w:rsidRPr="006414E6">
        <w:rPr>
          <w:rFonts w:cs="Times New Roman"/>
        </w:rPr>
        <w:t xml:space="preserve">, Obzor Europa </w:t>
      </w:r>
      <w:r w:rsidRPr="006414E6">
        <w:rPr>
          <w:rFonts w:cs="Times New Roman"/>
        </w:rPr>
        <w:t>i LIFE program, kojima se povećava znanje potrebno za stvaranje zelenog i konkurentnog gospodarstva s niskim udjelom ugljika u kojem će se učinkovitije koristiti resursi</w:t>
      </w:r>
    </w:p>
    <w:p w14:paraId="5D758FDC" w14:textId="76781D7E" w:rsidR="009E12D0" w:rsidRPr="006414E6" w:rsidRDefault="00C774E4" w:rsidP="003E188B">
      <w:pPr>
        <w:rPr>
          <w:rFonts w:cs="Times New Roman"/>
        </w:rPr>
      </w:pPr>
      <w:r w:rsidRPr="006414E6">
        <w:rPr>
          <w:rFonts w:cs="Times New Roman"/>
        </w:rPr>
        <w:t>Kao i u proteklom razdoblju, i dalje će glavni izvor financiranja biti ESI fondovi i sredstva prikupljena na dražbi emisijskih jedinica CO</w:t>
      </w:r>
      <w:r w:rsidRPr="006414E6">
        <w:rPr>
          <w:rFonts w:cs="Times New Roman"/>
          <w:vertAlign w:val="subscript"/>
        </w:rPr>
        <w:t>2</w:t>
      </w:r>
      <w:r w:rsidRPr="006414E6">
        <w:rPr>
          <w:rFonts w:cs="Times New Roman"/>
        </w:rPr>
        <w:t xml:space="preserve"> kojima raspolaže Fond za zaštitu okoliša i energetsku učinkovitost (FZOEU). Uz to, dostupan izvor financiranja bit će i sredstva iz ETS-a namijenjena za modernizaciju te financijski mehanizam za potporu inovacijama za razdoblje </w:t>
      </w:r>
      <w:r w:rsidR="003B6488" w:rsidRPr="006414E6">
        <w:rPr>
          <w:rFonts w:cs="Times New Roman"/>
        </w:rPr>
        <w:t xml:space="preserve">od </w:t>
      </w:r>
      <w:r w:rsidRPr="006414E6">
        <w:rPr>
          <w:rFonts w:cs="Times New Roman"/>
        </w:rPr>
        <w:t>2021.</w:t>
      </w:r>
      <w:r w:rsidR="003B6488" w:rsidRPr="006414E6">
        <w:rPr>
          <w:rFonts w:cs="Times New Roman"/>
        </w:rPr>
        <w:t xml:space="preserve"> do </w:t>
      </w:r>
      <w:r w:rsidRPr="006414E6">
        <w:rPr>
          <w:rFonts w:cs="Times New Roman"/>
        </w:rPr>
        <w:t>2030.</w:t>
      </w:r>
      <w:r w:rsidR="003B6488" w:rsidRPr="006414E6">
        <w:rPr>
          <w:rFonts w:cs="Times New Roman"/>
        </w:rPr>
        <w:t xml:space="preserve"> godine</w:t>
      </w:r>
      <w:r w:rsidRPr="006414E6">
        <w:rPr>
          <w:rFonts w:cs="Times New Roman"/>
        </w:rPr>
        <w:t>, u deset država članica EU čiji je BDP po stanovniku prema tržišnim cijenama bio niži od 60% prosjeka EU, u koje spada i Republika Hrvatska.</w:t>
      </w:r>
      <w:r w:rsidR="00095F64" w:rsidRPr="006414E6">
        <w:rPr>
          <w:rFonts w:cs="Times New Roman"/>
        </w:rPr>
        <w:t xml:space="preserve"> Europski zeleni plan raspoznaje nužnost osiguranja dodatnih sredstava za istraživanje, </w:t>
      </w:r>
      <w:r w:rsidR="006F570A" w:rsidRPr="006414E6">
        <w:rPr>
          <w:rFonts w:cs="Times New Roman"/>
        </w:rPr>
        <w:t xml:space="preserve">tehnološki </w:t>
      </w:r>
      <w:r w:rsidR="00095F64" w:rsidRPr="006414E6">
        <w:rPr>
          <w:rFonts w:cs="Times New Roman"/>
        </w:rPr>
        <w:t xml:space="preserve">razvoj i  inovacije. </w:t>
      </w:r>
    </w:p>
    <w:p w14:paraId="021CD3FA" w14:textId="77777777" w:rsidR="00626D49" w:rsidRPr="006414E6" w:rsidRDefault="00626D49" w:rsidP="00F415A7">
      <w:pPr>
        <w:pStyle w:val="Heading1"/>
      </w:pPr>
      <w:bookmarkStart w:id="326" w:name="_Toc39133320"/>
      <w:r w:rsidRPr="006414E6">
        <w:lastRenderedPageBreak/>
        <w:t>1</w:t>
      </w:r>
      <w:r w:rsidR="003A549F" w:rsidRPr="006414E6">
        <w:t>1</w:t>
      </w:r>
      <w:r w:rsidRPr="006414E6">
        <w:t>.</w:t>
      </w:r>
      <w:r w:rsidR="00AC0BF3" w:rsidRPr="006414E6">
        <w:tab/>
      </w:r>
      <w:r w:rsidRPr="006414E6">
        <w:t xml:space="preserve">NISKOUGLJIČNI RAZVOJ NA LOKALNOJ </w:t>
      </w:r>
      <w:r w:rsidR="00844070" w:rsidRPr="006414E6">
        <w:t xml:space="preserve">I REGIONALNOJ </w:t>
      </w:r>
      <w:r w:rsidRPr="006414E6">
        <w:t>RAZINI</w:t>
      </w:r>
      <w:bookmarkEnd w:id="324"/>
      <w:bookmarkEnd w:id="325"/>
      <w:bookmarkEnd w:id="326"/>
    </w:p>
    <w:p w14:paraId="4A01F8C9" w14:textId="77777777" w:rsidR="00432383" w:rsidRPr="006414E6" w:rsidRDefault="00432383" w:rsidP="005940D5">
      <w:pPr>
        <w:rPr>
          <w:rFonts w:cs="Times New Roman"/>
        </w:rPr>
      </w:pPr>
      <w:r w:rsidRPr="006414E6">
        <w:rPr>
          <w:rFonts w:cs="Times New Roman"/>
        </w:rPr>
        <w:t>Gradovi sve više postaju središta odvijanja gospodarskih i društvenih aktivnosti kao posljedica kontinuirane urbanizacije i rastućeg trenda tranzicije društava u gospodarstva intenzivne primjene znanja. Kao posljedica ovih promjena u gradovima raste potrošnja resursa, što neizbježno dovodi i do porasta emisije.</w:t>
      </w:r>
    </w:p>
    <w:p w14:paraId="73D8A719" w14:textId="77777777" w:rsidR="00432383" w:rsidRPr="006414E6" w:rsidRDefault="00432383" w:rsidP="005940D5">
      <w:pPr>
        <w:rPr>
          <w:rFonts w:cs="Times New Roman"/>
        </w:rPr>
      </w:pPr>
      <w:r w:rsidRPr="006414E6">
        <w:rPr>
          <w:rFonts w:cs="Times New Roman"/>
        </w:rPr>
        <w:t xml:space="preserve">U nastavku daje se prikaz instrumenata politike ublažavanja klimatskih promjena na lokalnoj </w:t>
      </w:r>
      <w:r w:rsidR="00844070" w:rsidRPr="006414E6">
        <w:rPr>
          <w:rFonts w:cs="Times New Roman"/>
        </w:rPr>
        <w:t xml:space="preserve">i regionalnoj </w:t>
      </w:r>
      <w:r w:rsidRPr="006414E6">
        <w:rPr>
          <w:rFonts w:cs="Times New Roman"/>
        </w:rPr>
        <w:t>razini.</w:t>
      </w:r>
    </w:p>
    <w:p w14:paraId="6BC83CE4" w14:textId="77777777" w:rsidR="00432383" w:rsidRPr="006414E6" w:rsidRDefault="00432383" w:rsidP="005940D5">
      <w:pPr>
        <w:rPr>
          <w:rFonts w:cs="Times New Roman"/>
          <w:u w:val="single"/>
        </w:rPr>
      </w:pPr>
      <w:r w:rsidRPr="006414E6">
        <w:rPr>
          <w:rFonts w:cs="Times New Roman"/>
          <w:u w:val="single"/>
        </w:rPr>
        <w:t>Pametni gradovi</w:t>
      </w:r>
    </w:p>
    <w:p w14:paraId="313E8073" w14:textId="77777777" w:rsidR="00432383" w:rsidRPr="006414E6" w:rsidRDefault="00432383" w:rsidP="005940D5">
      <w:pPr>
        <w:rPr>
          <w:rFonts w:cs="Times New Roman"/>
        </w:rPr>
      </w:pPr>
      <w:r w:rsidRPr="006414E6">
        <w:rPr>
          <w:rFonts w:cs="Times New Roman"/>
        </w:rPr>
        <w:t>Smanjenju emisija stakleničkih plinova na lokalnoj razini treba doprinijeti i realizacija koncepta „pametnih gradova“. Koncept se odnosi na primjenu integriranih tehnoloških rješenja kojima se omogućuje općenito veća kvaliteta javne usluge građanima, bolje iskorištenje resursa i manji utjecaj na okoliš u gradovima. Ulaganja u razvoj informacijsko</w:t>
      </w:r>
      <w:r w:rsidR="003A549F" w:rsidRPr="006414E6">
        <w:rPr>
          <w:rFonts w:cs="Times New Roman"/>
        </w:rPr>
        <w:t>-k</w:t>
      </w:r>
      <w:r w:rsidRPr="006414E6">
        <w:rPr>
          <w:rFonts w:cs="Times New Roman"/>
        </w:rPr>
        <w:t>omunikacijskih tehnologija na području E</w:t>
      </w:r>
      <w:r w:rsidR="003A549F" w:rsidRPr="006414E6">
        <w:rPr>
          <w:rFonts w:cs="Times New Roman"/>
        </w:rPr>
        <w:t>U</w:t>
      </w:r>
      <w:r w:rsidRPr="006414E6">
        <w:rPr>
          <w:rFonts w:cs="Times New Roman"/>
        </w:rPr>
        <w:t xml:space="preserve"> u tom smislu su između ostaloga postavljeni u funkciju ispunjavanja ciljeva klimatsko-energetskog paketa.</w:t>
      </w:r>
    </w:p>
    <w:p w14:paraId="3810BF1C" w14:textId="77777777" w:rsidR="00432383" w:rsidRPr="006414E6" w:rsidRDefault="00432383" w:rsidP="005940D5">
      <w:pPr>
        <w:rPr>
          <w:rFonts w:cs="Times New Roman"/>
        </w:rPr>
      </w:pPr>
      <w:r w:rsidRPr="006414E6">
        <w:rPr>
          <w:rFonts w:cs="Times New Roman"/>
        </w:rPr>
        <w:t>U namjeri da ubrza primjenu ovih tehnologija, Europska komisija je inicirala „Europsko inovacijsko partnerstvo za pametne gradove i zajednice“. Partnerstvo je usredotočeno na održivu mobilnost u gradovima i integraciju infrastrukture u području energetike, informacijsko</w:t>
      </w:r>
      <w:r w:rsidR="003A549F" w:rsidRPr="006414E6">
        <w:rPr>
          <w:rFonts w:cs="Times New Roman"/>
        </w:rPr>
        <w:t>-k</w:t>
      </w:r>
      <w:r w:rsidRPr="006414E6">
        <w:rPr>
          <w:rFonts w:cs="Times New Roman"/>
        </w:rPr>
        <w:t>omunikacijske tehnologije i prometa. Partnerstvo nije inicirano prvenstveno zbog smanjenja emisija stakleničkih plinova, ali provedba rješenja za „pametne gradove“ nedvojbeno rezultira smanjenom energetskom potrošnjom, učinkovitijim korištenjem resursa i smanjenjem emisija u gradovima.</w:t>
      </w:r>
    </w:p>
    <w:p w14:paraId="59DC6705" w14:textId="77777777" w:rsidR="00432383" w:rsidRPr="006414E6" w:rsidRDefault="00432383" w:rsidP="005940D5">
      <w:pPr>
        <w:rPr>
          <w:rFonts w:cs="Times New Roman"/>
        </w:rPr>
      </w:pPr>
      <w:r w:rsidRPr="006414E6">
        <w:rPr>
          <w:rFonts w:cs="Times New Roman"/>
        </w:rPr>
        <w:t>U okviru partnerstva gradovi na području E</w:t>
      </w:r>
      <w:r w:rsidR="003A549F" w:rsidRPr="006414E6">
        <w:rPr>
          <w:rFonts w:cs="Times New Roman"/>
        </w:rPr>
        <w:t>U</w:t>
      </w:r>
      <w:r w:rsidRPr="006414E6">
        <w:rPr>
          <w:rFonts w:cs="Times New Roman"/>
        </w:rPr>
        <w:t xml:space="preserve"> pozvani su da istaknu svoje obveze za osiguranje sredstava i razvoj rješenja „pametnih gradova“. Dosad je uključeno više od 3.000 partnera, među njima su i obveze istaknute od strane četiriju hrvatskih gradova: Zagreba, Rijeke, Osijeka i Dubrovnika.</w:t>
      </w:r>
    </w:p>
    <w:p w14:paraId="16B5C6BC" w14:textId="77777777" w:rsidR="00432383" w:rsidRPr="006414E6" w:rsidRDefault="00432383" w:rsidP="005940D5">
      <w:pPr>
        <w:rPr>
          <w:rFonts w:cs="Times New Roman"/>
        </w:rPr>
      </w:pPr>
      <w:r w:rsidRPr="006414E6">
        <w:rPr>
          <w:rFonts w:cs="Times New Roman"/>
        </w:rPr>
        <w:t>Gradovi svoje planiranje trebaju temeljiti na planiranju energetike na razini čitavog grada i gradskih četvrti, čime se mogu dobiti optimalna rješenja.</w:t>
      </w:r>
    </w:p>
    <w:p w14:paraId="4EB5D790" w14:textId="77777777" w:rsidR="00432383" w:rsidRPr="006414E6" w:rsidRDefault="00432383" w:rsidP="005940D5">
      <w:pPr>
        <w:rPr>
          <w:rFonts w:cs="Times New Roman"/>
          <w:u w:val="single"/>
        </w:rPr>
      </w:pPr>
      <w:r w:rsidRPr="006414E6">
        <w:rPr>
          <w:rFonts w:cs="Times New Roman"/>
          <w:u w:val="single"/>
        </w:rPr>
        <w:t xml:space="preserve">Program </w:t>
      </w:r>
      <w:r w:rsidR="007324E2" w:rsidRPr="006414E6">
        <w:rPr>
          <w:rFonts w:cs="Times New Roman"/>
          <w:u w:val="single"/>
        </w:rPr>
        <w:t>ublažavanja klimatskih promjena, prilagodbe klimatskim promjenama i zaštite ozonskog sloja</w:t>
      </w:r>
    </w:p>
    <w:p w14:paraId="099A2123" w14:textId="77777777" w:rsidR="00432383" w:rsidRPr="006414E6" w:rsidRDefault="00432383" w:rsidP="005940D5">
      <w:pPr>
        <w:rPr>
          <w:rFonts w:cs="Times New Roman"/>
        </w:rPr>
      </w:pPr>
      <w:r w:rsidRPr="006414E6">
        <w:rPr>
          <w:rFonts w:cs="Times New Roman"/>
        </w:rPr>
        <w:t xml:space="preserve">Zakonom o </w:t>
      </w:r>
      <w:r w:rsidR="001A72E4" w:rsidRPr="006414E6">
        <w:rPr>
          <w:rFonts w:cs="Times New Roman"/>
        </w:rPr>
        <w:t xml:space="preserve">klimatskim promjenama i zaštiti ozonskog sloja </w:t>
      </w:r>
      <w:r w:rsidR="005940D5" w:rsidRPr="006414E6">
        <w:rPr>
          <w:rFonts w:cs="Times New Roman"/>
        </w:rPr>
        <w:t>(Narodne novine, br. 1</w:t>
      </w:r>
      <w:r w:rsidR="001A72E4" w:rsidRPr="006414E6">
        <w:rPr>
          <w:rFonts w:cs="Times New Roman"/>
        </w:rPr>
        <w:t>27/19</w:t>
      </w:r>
      <w:r w:rsidR="005940D5" w:rsidRPr="006414E6">
        <w:rPr>
          <w:rFonts w:cs="Times New Roman"/>
        </w:rPr>
        <w:t xml:space="preserve">) </w:t>
      </w:r>
      <w:r w:rsidRPr="006414E6">
        <w:rPr>
          <w:rFonts w:cs="Times New Roman"/>
        </w:rPr>
        <w:t xml:space="preserve">je propisana obveza predstavničkim tijelima županija, Grada Zagreba i velikih gradova da donesu program </w:t>
      </w:r>
      <w:r w:rsidR="007324E2" w:rsidRPr="006414E6">
        <w:rPr>
          <w:rFonts w:cs="Times New Roman"/>
        </w:rPr>
        <w:t xml:space="preserve">ublažavanja klimatskih promjena, prilagodbe klimatskim promjenama i zaštite ozonskog sloja </w:t>
      </w:r>
      <w:r w:rsidRPr="006414E6">
        <w:rPr>
          <w:rFonts w:cs="Times New Roman"/>
        </w:rPr>
        <w:t>kao sastavni dio programa zaštite okoliša.</w:t>
      </w:r>
    </w:p>
    <w:p w14:paraId="0B9B96DC" w14:textId="77777777" w:rsidR="00B341CA" w:rsidRPr="006414E6" w:rsidRDefault="00432383" w:rsidP="00B341CA">
      <w:pPr>
        <w:rPr>
          <w:rFonts w:cs="Times New Roman"/>
          <w:color w:val="231F20"/>
          <w:shd w:val="clear" w:color="auto" w:fill="FFFFFF"/>
        </w:rPr>
      </w:pPr>
      <w:r w:rsidRPr="006414E6">
        <w:rPr>
          <w:rFonts w:cs="Times New Roman"/>
        </w:rPr>
        <w:t>Obveza iz</w:t>
      </w:r>
      <w:r w:rsidR="0075171A" w:rsidRPr="006414E6">
        <w:rPr>
          <w:rFonts w:cs="Times New Roman"/>
        </w:rPr>
        <w:t>rade programa propisana je za 20 županija</w:t>
      </w:r>
      <w:r w:rsidRPr="006414E6">
        <w:rPr>
          <w:rFonts w:cs="Times New Roman"/>
        </w:rPr>
        <w:t>, Grad Zagreb i desetak velikih gradova u Republici Hrvatskoj (gradov</w:t>
      </w:r>
      <w:r w:rsidR="0075171A" w:rsidRPr="006414E6">
        <w:rPr>
          <w:rFonts w:cs="Times New Roman"/>
        </w:rPr>
        <w:t xml:space="preserve">a s više od 35.000 stanovnika). </w:t>
      </w:r>
    </w:p>
    <w:p w14:paraId="267205F0" w14:textId="77777777" w:rsidR="007C17E8" w:rsidRPr="006414E6" w:rsidRDefault="007C17E8" w:rsidP="007C17E8">
      <w:pPr>
        <w:rPr>
          <w:rFonts w:cs="Times New Roman"/>
          <w:u w:val="single"/>
        </w:rPr>
      </w:pPr>
      <w:r w:rsidRPr="006414E6">
        <w:rPr>
          <w:rFonts w:cs="Times New Roman"/>
          <w:u w:val="single"/>
        </w:rPr>
        <w:t xml:space="preserve">Inicijativa </w:t>
      </w:r>
      <w:r w:rsidR="00844070" w:rsidRPr="006414E6">
        <w:rPr>
          <w:rFonts w:cs="Times New Roman"/>
          <w:u w:val="single"/>
        </w:rPr>
        <w:t>Sporazum gradonačelnika za klimu i energiju</w:t>
      </w:r>
    </w:p>
    <w:p w14:paraId="4E21709A" w14:textId="77777777" w:rsidR="007C17E8" w:rsidRPr="006414E6" w:rsidRDefault="007C17E8" w:rsidP="007C17E8">
      <w:pPr>
        <w:rPr>
          <w:rFonts w:cs="Times New Roman"/>
        </w:rPr>
      </w:pPr>
      <w:r w:rsidRPr="006414E6">
        <w:rPr>
          <w:rFonts w:cs="Times New Roman"/>
        </w:rPr>
        <w:t xml:space="preserve">Jedan od instrumenata u implementaciji klimatsko-energetske politike EU je inicijativa Sporazum gradonačelnika za klimu i energiju. </w:t>
      </w:r>
    </w:p>
    <w:p w14:paraId="635A0512" w14:textId="77777777" w:rsidR="007C17E8" w:rsidRPr="006414E6" w:rsidRDefault="007C17E8" w:rsidP="007C17E8">
      <w:pPr>
        <w:rPr>
          <w:rFonts w:cs="Times New Roman"/>
        </w:rPr>
      </w:pPr>
      <w:r w:rsidRPr="006414E6">
        <w:rPr>
          <w:rFonts w:cs="Times New Roman"/>
        </w:rPr>
        <w:t xml:space="preserve">Europska komisija pokrenula je 2008. godine inicijativu Sporazum gradonačelnika kako bi se lokalna uprava aktivno uključila u energetsku tranziciju s ciljem postizanja klimatskih i energetskih ciljeva EU – ciljevi 20-20-20 do 2020. godine. Na taj je način stvorena mreža osviještene lokalne uprave opredijeljene prema održivom energetskom razvoju lokalne sredine i očuvanju okoliša koja služi za dobrobit svih stanovnika EU. </w:t>
      </w:r>
    </w:p>
    <w:p w14:paraId="7377866C" w14:textId="77777777" w:rsidR="007C17E8" w:rsidRPr="006414E6" w:rsidRDefault="007C17E8" w:rsidP="007C17E8">
      <w:pPr>
        <w:rPr>
          <w:rFonts w:cs="Times New Roman"/>
        </w:rPr>
      </w:pPr>
      <w:r w:rsidRPr="006414E6">
        <w:rPr>
          <w:rFonts w:cs="Times New Roman"/>
        </w:rPr>
        <w:lastRenderedPageBreak/>
        <w:t xml:space="preserve">Po usvajanju Pariškog sporazuma o klimatskim promjenama 2015. godine, u okvirima europske klimatske politike održane su konzultacije o budućnosti Sporazuma gradonačelnika te je pokrenut Sporazum gradonačelnika za klimu i energiju, koji nadilazi ciljeve postavljene za 2020. godinu. Potpisnici Sporazuma gradonačelnika za energiju i klimu obvezuju se: </w:t>
      </w:r>
    </w:p>
    <w:p w14:paraId="279244CD" w14:textId="77777777" w:rsidR="007C17E8" w:rsidRPr="006414E6" w:rsidRDefault="007C17E8" w:rsidP="003A2F37">
      <w:pPr>
        <w:pStyle w:val="ListParagraph"/>
        <w:numPr>
          <w:ilvl w:val="0"/>
          <w:numId w:val="7"/>
        </w:numPr>
        <w:rPr>
          <w:rFonts w:cs="Times New Roman"/>
          <w:szCs w:val="24"/>
        </w:rPr>
      </w:pPr>
      <w:r w:rsidRPr="006414E6">
        <w:rPr>
          <w:rFonts w:cs="Times New Roman"/>
          <w:szCs w:val="24"/>
        </w:rPr>
        <w:t xml:space="preserve">smanjiti emisije ugljikova dioksida (i prema mogućnosti, drugih stakleničkih plinova) na području svojih gradova ili općina za najmanje 40% do 2030. godine učinkovitijom upotrebom energije i većom upotrebom obnovljivih izvora energije </w:t>
      </w:r>
    </w:p>
    <w:p w14:paraId="316641E4" w14:textId="77777777" w:rsidR="007C17E8" w:rsidRPr="006414E6" w:rsidRDefault="007C17E8" w:rsidP="003A2F37">
      <w:pPr>
        <w:pStyle w:val="ListParagraph"/>
        <w:numPr>
          <w:ilvl w:val="0"/>
          <w:numId w:val="7"/>
        </w:numPr>
        <w:rPr>
          <w:rFonts w:cs="Times New Roman"/>
          <w:szCs w:val="24"/>
        </w:rPr>
      </w:pPr>
      <w:r w:rsidRPr="006414E6">
        <w:rPr>
          <w:rFonts w:cs="Times New Roman"/>
          <w:szCs w:val="24"/>
        </w:rPr>
        <w:t xml:space="preserve">povećati otpornost prilagođavanjem posljedicama klimatskih promjena te </w:t>
      </w:r>
    </w:p>
    <w:p w14:paraId="3AFAA45D" w14:textId="77777777" w:rsidR="007C17E8" w:rsidRPr="006414E6" w:rsidRDefault="007C17E8" w:rsidP="003A2F37">
      <w:pPr>
        <w:pStyle w:val="ListParagraph"/>
        <w:numPr>
          <w:ilvl w:val="0"/>
          <w:numId w:val="7"/>
        </w:numPr>
        <w:rPr>
          <w:rFonts w:cs="Times New Roman"/>
          <w:szCs w:val="24"/>
        </w:rPr>
      </w:pPr>
      <w:r w:rsidRPr="006414E6">
        <w:rPr>
          <w:rFonts w:cs="Times New Roman"/>
          <w:szCs w:val="24"/>
        </w:rPr>
        <w:t xml:space="preserve">dijeliti svoju viziju, rezultate, iskustvo i znanje s drugim lokalnim i regionalnim tijelima unutar i izvan EU-a putem izravne suradnje i razmjene, posebno u kontekstu Globalnog sporazuma gradonačelnika. </w:t>
      </w:r>
    </w:p>
    <w:p w14:paraId="25749F34" w14:textId="77777777" w:rsidR="007C17E8" w:rsidRPr="006414E6" w:rsidRDefault="007C17E8" w:rsidP="007C17E8">
      <w:pPr>
        <w:rPr>
          <w:rFonts w:cs="Times New Roman"/>
        </w:rPr>
      </w:pPr>
      <w:r w:rsidRPr="006414E6">
        <w:rPr>
          <w:rFonts w:cs="Times New Roman"/>
        </w:rPr>
        <w:t xml:space="preserve">U tu svrhu, potpisnice novog Sporazuma gradonačelnika za klimu i energiju obvezuju se da će izraditi i provesti Akcijski plan za održivu energiju i borbu protiv klimatskih promjena (eng. </w:t>
      </w:r>
      <w:proofErr w:type="spellStart"/>
      <w:r w:rsidRPr="006414E6">
        <w:rPr>
          <w:rFonts w:cs="Times New Roman"/>
          <w:i/>
        </w:rPr>
        <w:t>Sustainable</w:t>
      </w:r>
      <w:proofErr w:type="spellEnd"/>
      <w:r w:rsidRPr="006414E6">
        <w:rPr>
          <w:rFonts w:cs="Times New Roman"/>
          <w:i/>
        </w:rPr>
        <w:t xml:space="preserve"> Energy and </w:t>
      </w:r>
      <w:proofErr w:type="spellStart"/>
      <w:r w:rsidRPr="006414E6">
        <w:rPr>
          <w:rFonts w:cs="Times New Roman"/>
          <w:i/>
        </w:rPr>
        <w:t>Climate</w:t>
      </w:r>
      <w:proofErr w:type="spellEnd"/>
      <w:r w:rsidRPr="006414E6">
        <w:rPr>
          <w:rFonts w:cs="Times New Roman"/>
          <w:i/>
        </w:rPr>
        <w:t xml:space="preserve"> </w:t>
      </w:r>
      <w:proofErr w:type="spellStart"/>
      <w:r w:rsidRPr="006414E6">
        <w:rPr>
          <w:rFonts w:cs="Times New Roman"/>
          <w:i/>
        </w:rPr>
        <w:t>Action</w:t>
      </w:r>
      <w:proofErr w:type="spellEnd"/>
      <w:r w:rsidRPr="006414E6">
        <w:rPr>
          <w:rFonts w:cs="Times New Roman"/>
          <w:i/>
        </w:rPr>
        <w:t xml:space="preserve"> Plan - </w:t>
      </w:r>
      <w:proofErr w:type="spellStart"/>
      <w:r w:rsidRPr="006414E6">
        <w:rPr>
          <w:rFonts w:cs="Times New Roman"/>
          <w:i/>
        </w:rPr>
        <w:t>SECAP</w:t>
      </w:r>
      <w:proofErr w:type="spellEnd"/>
      <w:r w:rsidRPr="006414E6">
        <w:rPr>
          <w:rFonts w:cs="Times New Roman"/>
        </w:rPr>
        <w:t xml:space="preserve">), u kojem se uz mjere održivog energetskog razvoja, čiji rezultat je smanjenje stakleničkih plinova, određuju i mjere prilagodbe klimatskim promjenama u skladu s lokalnim specifičnostima. </w:t>
      </w:r>
    </w:p>
    <w:p w14:paraId="1F7C6197" w14:textId="77777777" w:rsidR="00C76B02" w:rsidRPr="006414E6" w:rsidRDefault="00C76B02" w:rsidP="00C76B02">
      <w:pPr>
        <w:rPr>
          <w:rFonts w:cs="Times New Roman"/>
          <w:u w:val="single"/>
        </w:rPr>
      </w:pPr>
      <w:r w:rsidRPr="006414E6">
        <w:rPr>
          <w:rFonts w:cs="Times New Roman"/>
          <w:u w:val="single"/>
        </w:rPr>
        <w:t xml:space="preserve">Povelja o suradnji u cilju </w:t>
      </w:r>
      <w:proofErr w:type="spellStart"/>
      <w:r w:rsidRPr="006414E6">
        <w:rPr>
          <w:rFonts w:cs="Times New Roman"/>
          <w:u w:val="single"/>
        </w:rPr>
        <w:t>dekarbonizacije</w:t>
      </w:r>
      <w:proofErr w:type="spellEnd"/>
      <w:r w:rsidRPr="006414E6">
        <w:rPr>
          <w:rFonts w:cs="Times New Roman"/>
          <w:u w:val="single"/>
        </w:rPr>
        <w:t xml:space="preserve"> zgrada do 2050. godine</w:t>
      </w:r>
    </w:p>
    <w:p w14:paraId="2269C782" w14:textId="77777777" w:rsidR="001B012D" w:rsidRPr="006414E6" w:rsidRDefault="001B012D" w:rsidP="005940D5">
      <w:pPr>
        <w:rPr>
          <w:rFonts w:cs="Times New Roman"/>
        </w:rPr>
      </w:pPr>
      <w:r w:rsidRPr="006414E6">
        <w:rPr>
          <w:rFonts w:cs="Times New Roman"/>
        </w:rPr>
        <w:t xml:space="preserve">Povelja o suradnji u cilju </w:t>
      </w:r>
      <w:proofErr w:type="spellStart"/>
      <w:r w:rsidRPr="006414E6">
        <w:rPr>
          <w:rFonts w:cs="Times New Roman"/>
        </w:rPr>
        <w:t>dekarbonizacije</w:t>
      </w:r>
      <w:proofErr w:type="spellEnd"/>
      <w:r w:rsidRPr="006414E6">
        <w:rPr>
          <w:rFonts w:cs="Times New Roman"/>
        </w:rPr>
        <w:t xml:space="preserve"> zgrada do 2050. godine, koju je pokrenulo Ministarstvo graditeljstva i prostornoga uređenja, podržava se EU vizija </w:t>
      </w:r>
      <w:proofErr w:type="spellStart"/>
      <w:r w:rsidRPr="006414E6">
        <w:rPr>
          <w:rFonts w:cs="Times New Roman"/>
        </w:rPr>
        <w:t>dekarbonizacije</w:t>
      </w:r>
      <w:proofErr w:type="spellEnd"/>
      <w:r w:rsidRPr="006414E6">
        <w:rPr>
          <w:rFonts w:cs="Times New Roman"/>
        </w:rPr>
        <w:t xml:space="preserve"> zgrada do 2050. godine. Povelja je  pokrenuta zbog bolje komunikacije i suradnje između tijela državne uprave i realnog sektora. Cilj je putem radionica i otvorenog dijaloga partnera stvoriti široku mrežu povezanih stručnjaka koji su spremni na zajednički dijalog i doprinos </w:t>
      </w:r>
      <w:proofErr w:type="spellStart"/>
      <w:r w:rsidRPr="006414E6">
        <w:rPr>
          <w:rFonts w:cs="Times New Roman"/>
        </w:rPr>
        <w:t>dekarbonizaciji</w:t>
      </w:r>
      <w:proofErr w:type="spellEnd"/>
      <w:r w:rsidRPr="006414E6">
        <w:rPr>
          <w:rFonts w:cs="Times New Roman"/>
        </w:rPr>
        <w:t xml:space="preserve"> fonda zgrada do 2050. godine. Otvoreni  dijalozi partnera okupljaju predstavnike državne i lokalne uprave, akademske zajednice i stručne javnosti, građevinskog i energetskog sektora te pratećih industrija na tematskim radionicama koje organizira Ministarstva graditeljstva i prostornoga uređenja. </w:t>
      </w:r>
    </w:p>
    <w:p w14:paraId="549620B1" w14:textId="77777777" w:rsidR="00C76B02" w:rsidRPr="006414E6" w:rsidRDefault="001B012D" w:rsidP="005940D5">
      <w:pPr>
        <w:rPr>
          <w:rFonts w:cs="Times New Roman"/>
        </w:rPr>
      </w:pPr>
      <w:r w:rsidRPr="006414E6">
        <w:rPr>
          <w:rFonts w:cs="Times New Roman"/>
        </w:rPr>
        <w:t xml:space="preserve">Sadržaj povelje odnosi se na postizanje energetskih i klimatskih ciljeva na nacionalnoj i EU razini kroz </w:t>
      </w:r>
      <w:proofErr w:type="spellStart"/>
      <w:r w:rsidRPr="006414E6">
        <w:rPr>
          <w:rFonts w:cs="Times New Roman"/>
        </w:rPr>
        <w:t>dekarbonizaciju</w:t>
      </w:r>
      <w:proofErr w:type="spellEnd"/>
      <w:r w:rsidRPr="006414E6">
        <w:rPr>
          <w:rFonts w:cs="Times New Roman"/>
        </w:rPr>
        <w:t xml:space="preserve"> fonda zgrada, obnovom zgrada i građenjem zgrada gotovo nulte energije, svjesni važnosti dodatnog smanjenja emisija stakleničkih plinova, povećanja udjela obnovljivih izvora energije, poboljšanja energetske sigurnosti te uvođenja inovacija i pametnih tehnologija koje omogućuju zgradama da potpomognu sveukupnu </w:t>
      </w:r>
      <w:proofErr w:type="spellStart"/>
      <w:r w:rsidRPr="006414E6">
        <w:rPr>
          <w:rFonts w:cs="Times New Roman"/>
        </w:rPr>
        <w:t>dekarbonizaciju</w:t>
      </w:r>
      <w:proofErr w:type="spellEnd"/>
      <w:r w:rsidRPr="006414E6">
        <w:rPr>
          <w:rFonts w:cs="Times New Roman"/>
        </w:rPr>
        <w:t xml:space="preserve"> gospodarstva.</w:t>
      </w:r>
    </w:p>
    <w:p w14:paraId="71166BA0" w14:textId="77777777" w:rsidR="00432383" w:rsidRPr="006414E6" w:rsidRDefault="00432383" w:rsidP="005940D5">
      <w:pPr>
        <w:rPr>
          <w:rFonts w:cs="Times New Roman"/>
          <w:u w:val="single"/>
        </w:rPr>
      </w:pPr>
      <w:proofErr w:type="spellStart"/>
      <w:r w:rsidRPr="006414E6">
        <w:rPr>
          <w:rFonts w:cs="Times New Roman"/>
          <w:u w:val="single"/>
        </w:rPr>
        <w:t>Niskougljični</w:t>
      </w:r>
      <w:proofErr w:type="spellEnd"/>
      <w:r w:rsidRPr="006414E6">
        <w:rPr>
          <w:rFonts w:cs="Times New Roman"/>
          <w:u w:val="single"/>
        </w:rPr>
        <w:t xml:space="preserve"> regionalni i lokalni integralni sustavi</w:t>
      </w:r>
    </w:p>
    <w:p w14:paraId="1FCD4DD2" w14:textId="77777777" w:rsidR="00432383" w:rsidRPr="006414E6" w:rsidRDefault="00432383" w:rsidP="003A2F37">
      <w:pPr>
        <w:pStyle w:val="ListParagraph"/>
        <w:numPr>
          <w:ilvl w:val="0"/>
          <w:numId w:val="23"/>
        </w:numPr>
        <w:ind w:left="714" w:hanging="357"/>
        <w:rPr>
          <w:rFonts w:cs="Times New Roman"/>
        </w:rPr>
      </w:pPr>
      <w:r w:rsidRPr="006414E6">
        <w:rPr>
          <w:rFonts w:cs="Times New Roman"/>
        </w:rPr>
        <w:t>Prilikom planiranja razvoja i ulaganja u infrastrukturu u području energetike, prometa i informacijsko</w:t>
      </w:r>
      <w:r w:rsidR="007C17E8" w:rsidRPr="006414E6">
        <w:rPr>
          <w:rFonts w:cs="Times New Roman"/>
        </w:rPr>
        <w:t>-</w:t>
      </w:r>
      <w:r w:rsidRPr="006414E6">
        <w:rPr>
          <w:rFonts w:cs="Times New Roman"/>
        </w:rPr>
        <w:t>komunikacijske tehnologije na razini gradova, lokalnih i regionalnih zajednica potrebno je analizirati mogućnosti uspostave integriranih rješenja u kojima bi navedeni sektori bili međusobno povezani. Objedinjavanjem naprednih informacijsko</w:t>
      </w:r>
      <w:r w:rsidR="007C17E8" w:rsidRPr="006414E6">
        <w:rPr>
          <w:rFonts w:cs="Times New Roman"/>
        </w:rPr>
        <w:t>-</w:t>
      </w:r>
      <w:r w:rsidRPr="006414E6">
        <w:rPr>
          <w:rFonts w:cs="Times New Roman"/>
        </w:rPr>
        <w:t xml:space="preserve">komunikacijskih tehnologija s energetskim i prometnim sustavima moguće je ostvariti višestruke pozitivne učinke s doprinosom </w:t>
      </w:r>
      <w:proofErr w:type="spellStart"/>
      <w:r w:rsidRPr="006414E6">
        <w:rPr>
          <w:rFonts w:cs="Times New Roman"/>
        </w:rPr>
        <w:t>niskougljičnom</w:t>
      </w:r>
      <w:proofErr w:type="spellEnd"/>
      <w:r w:rsidRPr="006414E6">
        <w:rPr>
          <w:rFonts w:cs="Times New Roman"/>
        </w:rPr>
        <w:t xml:space="preserve"> razvoju lokalnih i regionalnih zajednica. Kroz integracijske projekte je potrebno uspostaviti strateška partnerstva zajednica s industrijom i upoznati se s mogućnostima današnjih tehnologija. Planiranju projekata potrebno je pristupiti holistički.</w:t>
      </w:r>
    </w:p>
    <w:p w14:paraId="222F21B2" w14:textId="77777777" w:rsidR="00432383" w:rsidRPr="006414E6" w:rsidRDefault="00432383" w:rsidP="003A2F37">
      <w:pPr>
        <w:pStyle w:val="ListParagraph"/>
        <w:numPr>
          <w:ilvl w:val="0"/>
          <w:numId w:val="23"/>
        </w:numPr>
        <w:ind w:left="714" w:hanging="357"/>
        <w:rPr>
          <w:rFonts w:cs="Times New Roman"/>
        </w:rPr>
      </w:pPr>
      <w:r w:rsidRPr="006414E6">
        <w:rPr>
          <w:rFonts w:cs="Times New Roman"/>
        </w:rPr>
        <w:t xml:space="preserve">Inovativna rješenja treba potražiti kroz alternativne oblike energije, unaprjeđenje javnog prijevoza, efikasnu logistiku i planiranje, povećanje energetske efikasnosti zgrada i naseljenih područja, povećanje udjela obnovljivih izvora energije te podizanje ukupne efikasnosti i održivosti sustava u gradovima. Rješenja trebaju polučiti mjerljivi doprinos smanjenju </w:t>
      </w:r>
      <w:r w:rsidRPr="006414E6">
        <w:rPr>
          <w:rFonts w:cs="Times New Roman"/>
        </w:rPr>
        <w:lastRenderedPageBreak/>
        <w:t>potrošnje energije, povećanju energetske efikasnosti i povećanju udjela obnovljivih izvora u proizvodnji energije.</w:t>
      </w:r>
    </w:p>
    <w:p w14:paraId="052C6A2E" w14:textId="77777777" w:rsidR="00432383" w:rsidRPr="006414E6" w:rsidRDefault="00432383" w:rsidP="003A2F37">
      <w:pPr>
        <w:pStyle w:val="ListParagraph"/>
        <w:numPr>
          <w:ilvl w:val="0"/>
          <w:numId w:val="23"/>
        </w:numPr>
        <w:ind w:left="714" w:hanging="357"/>
        <w:rPr>
          <w:rFonts w:cs="Times New Roman"/>
        </w:rPr>
      </w:pPr>
      <w:r w:rsidRPr="006414E6">
        <w:rPr>
          <w:rFonts w:cs="Times New Roman"/>
        </w:rPr>
        <w:t>Preporuča se praćenje rada „Europskog inovacijskog partnerstva za pametne gradove i zajednice“, programa Europske komisije za kreiranje inovativnih rješenja kroz povezivanje informacijsko-komunikacijske tehnologije s opskrbom energijom i prometnom politikom. Informatička infrastruktura za kooperativne autonomne sustave pomoći će u rješenjima potpuno novih dimenzija. Također se preporuča izvršiti uvid u odgovarajuće dosad realizirane ili planirane integralne sustave u sklopu programa te uspostaviti suradnju s hrvatskim gradovima sudionicima partnerstva: Zagrebom, Rijekom, Osijekom i Dubrovnikom, a prema potrebi i sa sudionicima iz drugih država.</w:t>
      </w:r>
    </w:p>
    <w:p w14:paraId="13F22940" w14:textId="77777777" w:rsidR="00432383" w:rsidRPr="006414E6" w:rsidRDefault="00432383" w:rsidP="003A2F37">
      <w:pPr>
        <w:pStyle w:val="ListParagraph"/>
        <w:numPr>
          <w:ilvl w:val="0"/>
          <w:numId w:val="23"/>
        </w:numPr>
        <w:ind w:left="714" w:hanging="357"/>
        <w:rPr>
          <w:rFonts w:cs="Times New Roman"/>
        </w:rPr>
      </w:pPr>
      <w:r w:rsidRPr="006414E6">
        <w:rPr>
          <w:rFonts w:cs="Times New Roman"/>
        </w:rPr>
        <w:t>Poseban slučaj integracije predstavljaju naseljeni otoci od kojih su neki već samostalno pokrenuli projekte energetske neovisnosti. Preporuča se jednako kao i u slučaju ostalih regionalnih i lokalnih zajednica prilikom planiranja razvoja infrastrukture na otocima analizirati mogućnosti uspostave integriranih rješenja, a najviše s ciljem stvaranja energetske neovisnosti, odnosno otoka gotovo bez emisije CO</w:t>
      </w:r>
      <w:r w:rsidRPr="006414E6">
        <w:rPr>
          <w:rFonts w:cs="Times New Roman"/>
          <w:vertAlign w:val="subscript"/>
        </w:rPr>
        <w:t>2</w:t>
      </w:r>
      <w:r w:rsidRPr="006414E6">
        <w:rPr>
          <w:rFonts w:cs="Times New Roman"/>
        </w:rPr>
        <w:t xml:space="preserve">. To se najviše odnosi na proizvodnju energije, promet i gospodarenje otpadom. Štoviše, preporuča se uspostaviti čvršću suradnju između otoka radi razmjene iskustava na započetim projektima te u politiku razvoja jadranskih otoka od strane nadležnog ministarstva ugraditi ciljeve </w:t>
      </w:r>
      <w:proofErr w:type="spellStart"/>
      <w:r w:rsidRPr="006414E6">
        <w:rPr>
          <w:rFonts w:cs="Times New Roman"/>
        </w:rPr>
        <w:t>niskougljičnog</w:t>
      </w:r>
      <w:proofErr w:type="spellEnd"/>
      <w:r w:rsidRPr="006414E6">
        <w:rPr>
          <w:rFonts w:cs="Times New Roman"/>
        </w:rPr>
        <w:t xml:space="preserve"> razvoja.</w:t>
      </w:r>
    </w:p>
    <w:p w14:paraId="4C253B1D" w14:textId="77777777" w:rsidR="00432383" w:rsidRPr="006414E6" w:rsidRDefault="00432383" w:rsidP="003A2F37">
      <w:pPr>
        <w:pStyle w:val="ListParagraph"/>
        <w:numPr>
          <w:ilvl w:val="0"/>
          <w:numId w:val="23"/>
        </w:numPr>
        <w:ind w:left="714" w:hanging="357"/>
        <w:rPr>
          <w:rFonts w:cs="Times New Roman"/>
        </w:rPr>
      </w:pPr>
      <w:r w:rsidRPr="006414E6">
        <w:rPr>
          <w:rFonts w:cs="Times New Roman"/>
        </w:rPr>
        <w:t xml:space="preserve">Jedan od mogućih izvora financiranja uspostave integriranih rješenja je mehanizam integralnog teritorijalnog ulaganja ITU (eng. </w:t>
      </w:r>
      <w:proofErr w:type="spellStart"/>
      <w:r w:rsidRPr="006414E6">
        <w:rPr>
          <w:rFonts w:cs="Times New Roman"/>
          <w:i/>
        </w:rPr>
        <w:t>integrated</w:t>
      </w:r>
      <w:proofErr w:type="spellEnd"/>
      <w:r w:rsidRPr="006414E6">
        <w:rPr>
          <w:rFonts w:cs="Times New Roman"/>
          <w:i/>
        </w:rPr>
        <w:t xml:space="preserve"> </w:t>
      </w:r>
      <w:proofErr w:type="spellStart"/>
      <w:r w:rsidRPr="006414E6">
        <w:rPr>
          <w:rFonts w:cs="Times New Roman"/>
          <w:i/>
        </w:rPr>
        <w:t>territory</w:t>
      </w:r>
      <w:proofErr w:type="spellEnd"/>
      <w:r w:rsidRPr="006414E6">
        <w:rPr>
          <w:rFonts w:cs="Times New Roman"/>
          <w:i/>
        </w:rPr>
        <w:t xml:space="preserve"> </w:t>
      </w:r>
      <w:proofErr w:type="spellStart"/>
      <w:r w:rsidRPr="006414E6">
        <w:rPr>
          <w:rFonts w:cs="Times New Roman"/>
          <w:i/>
        </w:rPr>
        <w:t>investments</w:t>
      </w:r>
      <w:proofErr w:type="spellEnd"/>
      <w:r w:rsidRPr="006414E6">
        <w:rPr>
          <w:rFonts w:cs="Times New Roman"/>
        </w:rPr>
        <w:t xml:space="preserve">) strukturnih fondova koji državama članicama omogućuje provedbu međusektorske integrirane strategije razvoja na određenom teritoriju i kombinaciju ulaganja iz više prioritetnih područja, i to iz jednog ili više operativnih programa. </w:t>
      </w:r>
    </w:p>
    <w:p w14:paraId="4B59B096" w14:textId="77777777" w:rsidR="00432383" w:rsidRPr="006414E6" w:rsidRDefault="00432383" w:rsidP="003A2F37">
      <w:pPr>
        <w:pStyle w:val="ListParagraph"/>
        <w:numPr>
          <w:ilvl w:val="0"/>
          <w:numId w:val="23"/>
        </w:numPr>
        <w:ind w:left="714" w:hanging="357"/>
        <w:rPr>
          <w:rFonts w:cs="Times New Roman"/>
        </w:rPr>
      </w:pPr>
      <w:r w:rsidRPr="006414E6">
        <w:rPr>
          <w:rFonts w:cs="Times New Roman"/>
        </w:rPr>
        <w:t xml:space="preserve">Nadležno tijelo Ministarstvo zaštite okoliša i energetike treba uspostaviti bolju povezanost i sinergijske učinke politika. Djelovanje se sve više pomiče na samostalne aktivnosti lokalnih uprava i gradova. Ambicioznije inicijative kao što su ugljično neutralni otoci, gradovi i slično treba podržati. </w:t>
      </w:r>
    </w:p>
    <w:p w14:paraId="63CE190D" w14:textId="67163CAE" w:rsidR="005940D5" w:rsidRPr="008335DA" w:rsidRDefault="00432383" w:rsidP="003E188B">
      <w:pPr>
        <w:pStyle w:val="ListParagraph"/>
        <w:numPr>
          <w:ilvl w:val="0"/>
          <w:numId w:val="23"/>
        </w:numPr>
        <w:ind w:left="714" w:hanging="357"/>
        <w:rPr>
          <w:rFonts w:cs="Times New Roman"/>
        </w:rPr>
      </w:pPr>
      <w:r w:rsidRPr="006414E6">
        <w:rPr>
          <w:rFonts w:cs="Times New Roman"/>
        </w:rPr>
        <w:t xml:space="preserve">U gradskim središtima i zaštićenim prostorima kulturne baštine treba promicati centralizirane sustave grijanja i hlađenja. Fasadni plinski bojleri, </w:t>
      </w:r>
      <w:proofErr w:type="spellStart"/>
      <w:r w:rsidRPr="006414E6">
        <w:rPr>
          <w:rFonts w:cs="Times New Roman"/>
        </w:rPr>
        <w:t>split</w:t>
      </w:r>
      <w:proofErr w:type="spellEnd"/>
      <w:r w:rsidRPr="006414E6">
        <w:rPr>
          <w:rFonts w:cs="Times New Roman"/>
        </w:rPr>
        <w:t xml:space="preserve"> klimatske jedinice, plinska brojila na pročeljima zgrada, električna brojila na pročeljima zgrada, nagrđuju urbani krajobraz, urbanističkim planovima i zakonom o krajobrazu trebalo bi napraviti napredak u ovom pogledu. </w:t>
      </w:r>
    </w:p>
    <w:p w14:paraId="74A3FBA2" w14:textId="0404B38B" w:rsidR="003A549F" w:rsidRPr="00016B17" w:rsidRDefault="003A549F" w:rsidP="00F415A7">
      <w:pPr>
        <w:pStyle w:val="Heading1"/>
      </w:pPr>
      <w:bookmarkStart w:id="327" w:name="_Toc484159034"/>
      <w:bookmarkStart w:id="328" w:name="_Toc39133321"/>
      <w:r w:rsidRPr="00016B17">
        <w:t>12.</w:t>
      </w:r>
      <w:r w:rsidR="009E12D0" w:rsidRPr="00016B17">
        <w:tab/>
      </w:r>
      <w:r w:rsidRPr="00016B17">
        <w:t>NISKO</w:t>
      </w:r>
      <w:r w:rsidR="00693170" w:rsidRPr="00016B17">
        <w:t xml:space="preserve">UGLJIČNO GOSPODARSTVO I OBRASCI </w:t>
      </w:r>
      <w:r w:rsidRPr="00016B17">
        <w:t>POSLOVANJA</w:t>
      </w:r>
      <w:bookmarkEnd w:id="327"/>
      <w:bookmarkEnd w:id="328"/>
      <w:r w:rsidRPr="00016B17">
        <w:t xml:space="preserve"> </w:t>
      </w:r>
    </w:p>
    <w:p w14:paraId="6A2FE909" w14:textId="77777777" w:rsidR="003A549F" w:rsidRPr="006414E6" w:rsidRDefault="003A549F" w:rsidP="001C39EF">
      <w:pPr>
        <w:rPr>
          <w:rFonts w:cs="Times New Roman"/>
          <w:u w:val="single"/>
        </w:rPr>
      </w:pPr>
      <w:r w:rsidRPr="006414E6">
        <w:rPr>
          <w:rFonts w:cs="Times New Roman"/>
          <w:u w:val="single"/>
        </w:rPr>
        <w:t xml:space="preserve">Razvoj kružne (cirkularne) ekonomije </w:t>
      </w:r>
    </w:p>
    <w:p w14:paraId="2311FD74" w14:textId="77777777" w:rsidR="003A549F" w:rsidRPr="006414E6" w:rsidRDefault="003A549F" w:rsidP="001C39EF">
      <w:pPr>
        <w:rPr>
          <w:rFonts w:cs="Times New Roman"/>
        </w:rPr>
      </w:pPr>
      <w:r w:rsidRPr="006414E6">
        <w:rPr>
          <w:rFonts w:cs="Times New Roman"/>
        </w:rPr>
        <w:t xml:space="preserve">Potrebno je provoditi politiku održive potrošnje i proizvodnje pod sloganom „s manje napraviti više i bolje“, potaknuti održive obrasce ponašanja i poslovanja u svim gospodarskim sektorima. Treba povoditi koncept „životni ciklus proizvoda i usluga“ (LCA) koji prati okolišni otisak proizvoda i usluga, a utemeljen je na znanstvenim pokazateljima. Cilj je smanjiti potrošnju prirodnih dobara, smanjiti nastanak opasnih i toksičnih tvari, smanjiti emisije u zrak, vodu i tlo te smanjiti ili spriječiti nastajanje otpada na mjestu nastanka. </w:t>
      </w:r>
    </w:p>
    <w:p w14:paraId="045FF3CD" w14:textId="77777777" w:rsidR="003A549F" w:rsidRPr="006414E6" w:rsidRDefault="003A549F" w:rsidP="001C39EF">
      <w:pPr>
        <w:rPr>
          <w:rFonts w:cs="Times New Roman"/>
        </w:rPr>
      </w:pPr>
      <w:r w:rsidRPr="006414E6">
        <w:rPr>
          <w:rFonts w:cs="Times New Roman"/>
        </w:rPr>
        <w:t xml:space="preserve">Na Konferenciji Ujedinjenih naroda o održivom razvoju Rio+20 dan je novi zamah politici održive potrošnje i proizvodnje te </w:t>
      </w:r>
      <w:r w:rsidR="00124AC0" w:rsidRPr="006414E6">
        <w:rPr>
          <w:rFonts w:cs="Times New Roman"/>
        </w:rPr>
        <w:t>je p</w:t>
      </w:r>
      <w:r w:rsidRPr="006414E6">
        <w:rPr>
          <w:rFonts w:cs="Times New Roman"/>
        </w:rPr>
        <w:t>redviđeno da se razvijaju dobrovoljni programi, projekti i inicijative</w:t>
      </w:r>
      <w:r w:rsidR="00124AC0" w:rsidRPr="006414E6">
        <w:rPr>
          <w:rFonts w:cs="Times New Roman"/>
        </w:rPr>
        <w:t>.</w:t>
      </w:r>
      <w:r w:rsidRPr="006414E6">
        <w:rPr>
          <w:rFonts w:cs="Times New Roman"/>
        </w:rPr>
        <w:t xml:space="preserve"> </w:t>
      </w:r>
      <w:r w:rsidR="00124AC0" w:rsidRPr="006414E6">
        <w:rPr>
          <w:rFonts w:cs="Times New Roman"/>
        </w:rPr>
        <w:t>I</w:t>
      </w:r>
      <w:r w:rsidRPr="006414E6">
        <w:rPr>
          <w:rFonts w:cs="Times New Roman"/>
        </w:rPr>
        <w:t xml:space="preserve">dentificirano </w:t>
      </w:r>
      <w:r w:rsidR="00124AC0" w:rsidRPr="006414E6">
        <w:rPr>
          <w:rFonts w:cs="Times New Roman"/>
        </w:rPr>
        <w:t xml:space="preserve">je </w:t>
      </w:r>
      <w:r w:rsidRPr="006414E6">
        <w:rPr>
          <w:rFonts w:cs="Times New Roman"/>
        </w:rPr>
        <w:t xml:space="preserve">pet područja za razvoj programa koje će provoditi Republika Hrvatska, a podupire </w:t>
      </w:r>
      <w:proofErr w:type="spellStart"/>
      <w:r w:rsidRPr="006414E6">
        <w:rPr>
          <w:rFonts w:cs="Times New Roman"/>
        </w:rPr>
        <w:t>Niskougljična</w:t>
      </w:r>
      <w:proofErr w:type="spellEnd"/>
      <w:r w:rsidRPr="006414E6">
        <w:rPr>
          <w:rFonts w:cs="Times New Roman"/>
        </w:rPr>
        <w:t xml:space="preserve"> strategija:</w:t>
      </w:r>
    </w:p>
    <w:p w14:paraId="7EEF01F0" w14:textId="77777777" w:rsidR="003A549F" w:rsidRPr="006414E6" w:rsidRDefault="003A549F" w:rsidP="003A2F37">
      <w:pPr>
        <w:pStyle w:val="ListParagraph"/>
        <w:numPr>
          <w:ilvl w:val="0"/>
          <w:numId w:val="24"/>
        </w:numPr>
        <w:rPr>
          <w:rFonts w:cs="Times New Roman"/>
        </w:rPr>
      </w:pPr>
      <w:r w:rsidRPr="006414E6">
        <w:rPr>
          <w:rFonts w:cs="Times New Roman"/>
        </w:rPr>
        <w:t>informacije za potrošače</w:t>
      </w:r>
    </w:p>
    <w:p w14:paraId="322A475A" w14:textId="77777777" w:rsidR="003A549F" w:rsidRPr="006414E6" w:rsidRDefault="003A549F" w:rsidP="003A2F37">
      <w:pPr>
        <w:pStyle w:val="ListParagraph"/>
        <w:numPr>
          <w:ilvl w:val="0"/>
          <w:numId w:val="24"/>
        </w:numPr>
        <w:rPr>
          <w:rFonts w:cs="Times New Roman"/>
        </w:rPr>
      </w:pPr>
      <w:r w:rsidRPr="006414E6">
        <w:rPr>
          <w:rFonts w:cs="Times New Roman"/>
        </w:rPr>
        <w:lastRenderedPageBreak/>
        <w:t>održivi životni stilovi i obrazovanje</w:t>
      </w:r>
    </w:p>
    <w:p w14:paraId="1B002895" w14:textId="77777777" w:rsidR="003A549F" w:rsidRPr="006414E6" w:rsidRDefault="003A549F" w:rsidP="003A2F37">
      <w:pPr>
        <w:pStyle w:val="ListParagraph"/>
        <w:numPr>
          <w:ilvl w:val="0"/>
          <w:numId w:val="24"/>
        </w:numPr>
        <w:rPr>
          <w:rFonts w:cs="Times New Roman"/>
        </w:rPr>
      </w:pPr>
      <w:r w:rsidRPr="006414E6">
        <w:rPr>
          <w:rFonts w:cs="Times New Roman"/>
        </w:rPr>
        <w:t>održiva javna nabava</w:t>
      </w:r>
    </w:p>
    <w:p w14:paraId="70218A48" w14:textId="77777777" w:rsidR="003A549F" w:rsidRPr="006414E6" w:rsidRDefault="003A549F" w:rsidP="003A2F37">
      <w:pPr>
        <w:pStyle w:val="ListParagraph"/>
        <w:numPr>
          <w:ilvl w:val="0"/>
          <w:numId w:val="24"/>
        </w:numPr>
        <w:rPr>
          <w:rFonts w:cs="Times New Roman"/>
        </w:rPr>
      </w:pPr>
      <w:r w:rsidRPr="006414E6">
        <w:rPr>
          <w:rFonts w:cs="Times New Roman"/>
        </w:rPr>
        <w:t>održive zgrade i izgradnja i</w:t>
      </w:r>
    </w:p>
    <w:p w14:paraId="51C2E829" w14:textId="77777777" w:rsidR="003A549F" w:rsidRPr="006414E6" w:rsidRDefault="003A549F" w:rsidP="003A2F37">
      <w:pPr>
        <w:pStyle w:val="ListParagraph"/>
        <w:numPr>
          <w:ilvl w:val="0"/>
          <w:numId w:val="24"/>
        </w:numPr>
        <w:rPr>
          <w:rFonts w:cs="Times New Roman"/>
        </w:rPr>
      </w:pPr>
      <w:r w:rsidRPr="006414E6">
        <w:rPr>
          <w:rFonts w:cs="Times New Roman"/>
        </w:rPr>
        <w:t>održivi turizam, uključujući ekoturizam.</w:t>
      </w:r>
    </w:p>
    <w:p w14:paraId="759FC319" w14:textId="77777777" w:rsidR="003A549F" w:rsidRPr="006414E6" w:rsidRDefault="003A549F" w:rsidP="001C39EF">
      <w:pPr>
        <w:rPr>
          <w:rFonts w:cs="Times New Roman"/>
        </w:rPr>
      </w:pPr>
      <w:r w:rsidRPr="006414E6">
        <w:rPr>
          <w:rFonts w:cs="Times New Roman"/>
        </w:rPr>
        <w:t>Potrebno je nastaviti s aktivnostima koje su započele, one sve mogu biti i specifično usmjerene na snažnije uvažavanje, promidžbu i upotrebu ugljičnog otiska:</w:t>
      </w:r>
    </w:p>
    <w:p w14:paraId="372D7D6C" w14:textId="77777777" w:rsidR="003A549F" w:rsidRPr="006414E6" w:rsidRDefault="003A549F" w:rsidP="003A2F37">
      <w:pPr>
        <w:pStyle w:val="ListParagraph"/>
        <w:numPr>
          <w:ilvl w:val="0"/>
          <w:numId w:val="25"/>
        </w:numPr>
        <w:rPr>
          <w:rFonts w:cs="Times New Roman"/>
        </w:rPr>
      </w:pPr>
      <w:r w:rsidRPr="006414E6">
        <w:rPr>
          <w:rFonts w:cs="Times New Roman"/>
        </w:rPr>
        <w:t>poticanje ekološkog označavanja</w:t>
      </w:r>
    </w:p>
    <w:p w14:paraId="67316AA7" w14:textId="77777777" w:rsidR="00124AC0" w:rsidRPr="006414E6" w:rsidRDefault="00124AC0" w:rsidP="003A2F37">
      <w:pPr>
        <w:pStyle w:val="ListParagraph"/>
        <w:numPr>
          <w:ilvl w:val="0"/>
          <w:numId w:val="25"/>
        </w:numPr>
        <w:rPr>
          <w:rFonts w:cs="Times New Roman"/>
        </w:rPr>
      </w:pPr>
      <w:r w:rsidRPr="006414E6">
        <w:rPr>
          <w:rFonts w:cs="Times New Roman"/>
        </w:rPr>
        <w:t>zelena javna nabava</w:t>
      </w:r>
    </w:p>
    <w:p w14:paraId="6DD58160" w14:textId="77777777" w:rsidR="003A549F" w:rsidRPr="006414E6" w:rsidRDefault="003A549F" w:rsidP="003A2F37">
      <w:pPr>
        <w:pStyle w:val="ListParagraph"/>
        <w:numPr>
          <w:ilvl w:val="0"/>
          <w:numId w:val="25"/>
        </w:numPr>
        <w:rPr>
          <w:rFonts w:cs="Times New Roman"/>
        </w:rPr>
      </w:pPr>
      <w:r w:rsidRPr="006414E6">
        <w:rPr>
          <w:rFonts w:cs="Times New Roman"/>
        </w:rPr>
        <w:t>poticanje ekološkog označavanja i kontrole u poljoprivredi</w:t>
      </w:r>
    </w:p>
    <w:p w14:paraId="32D1319E" w14:textId="77777777" w:rsidR="003A549F" w:rsidRPr="006414E6" w:rsidRDefault="003A549F" w:rsidP="003A2F37">
      <w:pPr>
        <w:pStyle w:val="ListParagraph"/>
        <w:numPr>
          <w:ilvl w:val="0"/>
          <w:numId w:val="25"/>
        </w:numPr>
        <w:rPr>
          <w:rFonts w:cs="Times New Roman"/>
        </w:rPr>
      </w:pPr>
      <w:r w:rsidRPr="006414E6">
        <w:rPr>
          <w:rFonts w:cs="Times New Roman"/>
        </w:rPr>
        <w:t>energetska certifikacija zgrada</w:t>
      </w:r>
    </w:p>
    <w:p w14:paraId="1E694A0D" w14:textId="77777777" w:rsidR="003A549F" w:rsidRPr="006414E6" w:rsidRDefault="003A549F" w:rsidP="003A2F37">
      <w:pPr>
        <w:pStyle w:val="ListParagraph"/>
        <w:numPr>
          <w:ilvl w:val="0"/>
          <w:numId w:val="25"/>
        </w:numPr>
        <w:rPr>
          <w:rFonts w:cs="Times New Roman"/>
        </w:rPr>
      </w:pPr>
      <w:r w:rsidRPr="006414E6">
        <w:rPr>
          <w:rFonts w:cs="Times New Roman"/>
        </w:rPr>
        <w:t xml:space="preserve">održivi turizam i destinacije. </w:t>
      </w:r>
    </w:p>
    <w:p w14:paraId="6ED378A3" w14:textId="77777777" w:rsidR="003A549F" w:rsidRPr="006414E6" w:rsidRDefault="003A549F" w:rsidP="001C39EF">
      <w:pPr>
        <w:rPr>
          <w:rFonts w:cs="Times New Roman"/>
          <w:u w:val="single"/>
        </w:rPr>
      </w:pPr>
      <w:r w:rsidRPr="006414E6">
        <w:rPr>
          <w:rFonts w:cs="Times New Roman"/>
          <w:u w:val="single"/>
        </w:rPr>
        <w:t>Poslov</w:t>
      </w:r>
      <w:r w:rsidR="00C97AAF" w:rsidRPr="006414E6">
        <w:rPr>
          <w:rFonts w:cs="Times New Roman"/>
          <w:u w:val="single"/>
        </w:rPr>
        <w:t>no</w:t>
      </w:r>
      <w:r w:rsidRPr="006414E6">
        <w:rPr>
          <w:rFonts w:cs="Times New Roman"/>
          <w:u w:val="single"/>
        </w:rPr>
        <w:t xml:space="preserve"> upravljanj</w:t>
      </w:r>
      <w:r w:rsidR="00C97AAF" w:rsidRPr="006414E6">
        <w:rPr>
          <w:rFonts w:cs="Times New Roman"/>
          <w:u w:val="single"/>
        </w:rPr>
        <w:t>e</w:t>
      </w:r>
      <w:r w:rsidRPr="006414E6">
        <w:rPr>
          <w:rFonts w:cs="Times New Roman"/>
          <w:u w:val="single"/>
        </w:rPr>
        <w:t xml:space="preserve"> načelima </w:t>
      </w:r>
      <w:proofErr w:type="spellStart"/>
      <w:r w:rsidRPr="006414E6">
        <w:rPr>
          <w:rFonts w:cs="Times New Roman"/>
          <w:u w:val="single"/>
        </w:rPr>
        <w:t>niskougljičnog</w:t>
      </w:r>
      <w:proofErr w:type="spellEnd"/>
      <w:r w:rsidRPr="006414E6">
        <w:rPr>
          <w:rFonts w:cs="Times New Roman"/>
          <w:u w:val="single"/>
        </w:rPr>
        <w:t xml:space="preserve"> razvoja </w:t>
      </w:r>
    </w:p>
    <w:p w14:paraId="2DE43551" w14:textId="77777777" w:rsidR="003A549F" w:rsidRPr="006414E6" w:rsidRDefault="003A549F" w:rsidP="001C39EF">
      <w:pPr>
        <w:rPr>
          <w:rFonts w:cs="Times New Roman"/>
        </w:rPr>
      </w:pPr>
      <w:r w:rsidRPr="006414E6">
        <w:rPr>
          <w:rFonts w:cs="Times New Roman"/>
        </w:rPr>
        <w:t xml:space="preserve">Primjena načela </w:t>
      </w:r>
      <w:proofErr w:type="spellStart"/>
      <w:r w:rsidRPr="006414E6">
        <w:rPr>
          <w:rFonts w:cs="Times New Roman"/>
        </w:rPr>
        <w:t>niskougljičnog</w:t>
      </w:r>
      <w:proofErr w:type="spellEnd"/>
      <w:r w:rsidRPr="006414E6">
        <w:rPr>
          <w:rFonts w:cs="Times New Roman"/>
        </w:rPr>
        <w:t xml:space="preserve"> razvoja u poslovnim organizacijama je uglavnom dobrovoljna, što znači da vodstva organizacija primjenjuju ova načela očekujući da će dugoročno ostvariti određenu korist. Izravnu korist mogu ostvariti primjerice primjenom međunarodne norme za upravljanje energijom čime smanjuju troškove energenata ili pak certifikacijom proizvoda radi stjecanja prednosti u postupcima javne nabave u kojima se svojstvo zelenih usluga i proizvoda sve češće postavlja kao kriterij pri vrednovanju ponude. S druge strane, društveno odgovorno poslovanje, temeljeno također na odgovarajućim međunarodnim normama i smjernicama, ne donosi izravnu materijalnu korist, nego stvara u javnosti pozitivnu sliku o organizaciji čime se onda koristi mogu ostvariti posredno.</w:t>
      </w:r>
    </w:p>
    <w:p w14:paraId="3538BD33" w14:textId="77777777" w:rsidR="003A549F" w:rsidRPr="006414E6" w:rsidRDefault="003A549F" w:rsidP="001C39EF">
      <w:pPr>
        <w:rPr>
          <w:rFonts w:cs="Times New Roman"/>
        </w:rPr>
      </w:pPr>
      <w:r w:rsidRPr="006414E6">
        <w:rPr>
          <w:rFonts w:cs="Times New Roman"/>
        </w:rPr>
        <w:t xml:space="preserve">Zbog toga uspjeh ove mjere ovisi o dva elementa: prvenstveno o jačanju svijesti i edukaciji osoba odgovornih za upravljanje organizacijama i donošenje ključnih poslovnih odluka te o stvaranju poticajnog poslovnog okruženja u kojem će organizacije prepoznati korist od primjene načela </w:t>
      </w:r>
      <w:proofErr w:type="spellStart"/>
      <w:r w:rsidRPr="006414E6">
        <w:rPr>
          <w:rFonts w:cs="Times New Roman"/>
        </w:rPr>
        <w:t>niskougljičnog</w:t>
      </w:r>
      <w:proofErr w:type="spellEnd"/>
      <w:r w:rsidRPr="006414E6">
        <w:rPr>
          <w:rFonts w:cs="Times New Roman"/>
        </w:rPr>
        <w:t xml:space="preserve"> razvoja, s time da ta korist nije nužno materijalna ili se barem tek dugoročno može materijalizirati.</w:t>
      </w:r>
    </w:p>
    <w:p w14:paraId="28372249" w14:textId="77777777" w:rsidR="003A549F" w:rsidRPr="006414E6" w:rsidRDefault="003A549F" w:rsidP="001C39EF">
      <w:pPr>
        <w:rPr>
          <w:rFonts w:cs="Times New Roman"/>
        </w:rPr>
      </w:pPr>
      <w:r w:rsidRPr="006414E6">
        <w:rPr>
          <w:rFonts w:cs="Times New Roman"/>
        </w:rPr>
        <w:t xml:space="preserve">Inicijalno se može analizirati mogućnost odobravanja poreznih olakšica ili sufinanciranja troškova prilagodbe poslovanja onim međunarodnim smjernicama i normama koje rezultiraju učincima u skladu s načelima </w:t>
      </w:r>
      <w:proofErr w:type="spellStart"/>
      <w:r w:rsidRPr="006414E6">
        <w:rPr>
          <w:rFonts w:cs="Times New Roman"/>
        </w:rPr>
        <w:t>niskougljičnog</w:t>
      </w:r>
      <w:proofErr w:type="spellEnd"/>
      <w:r w:rsidRPr="006414E6">
        <w:rPr>
          <w:rFonts w:cs="Times New Roman"/>
        </w:rPr>
        <w:t xml:space="preserve"> razvoja. To može biti usklađivanje organizacije sa zahtjevima za gospodarenje energijom i zaštitom okoliša ili sa zahtjevima za stjecanje znakova integrirane proizvodnje i ekološke proizvodnje. Podupiranje se odnosi na uvođenje sustava upravljanja poslovanjem, održavanjem, imovinom, sve što može povećati resursnu učinkovitost. </w:t>
      </w:r>
    </w:p>
    <w:p w14:paraId="1CBD7606" w14:textId="77777777" w:rsidR="003A549F" w:rsidRPr="006414E6" w:rsidRDefault="003A549F" w:rsidP="001C39EF">
      <w:pPr>
        <w:rPr>
          <w:rFonts w:cs="Times New Roman"/>
          <w:u w:val="single"/>
        </w:rPr>
      </w:pPr>
      <w:r w:rsidRPr="006414E6">
        <w:rPr>
          <w:rFonts w:cs="Times New Roman"/>
          <w:u w:val="single"/>
        </w:rPr>
        <w:t xml:space="preserve">Promicanje proizvoda i usluga ugljičnog otiska   </w:t>
      </w:r>
    </w:p>
    <w:p w14:paraId="7086845D" w14:textId="77777777" w:rsidR="003A549F" w:rsidRPr="006414E6" w:rsidRDefault="003A549F" w:rsidP="001C39EF">
      <w:pPr>
        <w:rPr>
          <w:rFonts w:cs="Times New Roman"/>
        </w:rPr>
      </w:pPr>
      <w:r w:rsidRPr="006414E6">
        <w:rPr>
          <w:rFonts w:cs="Times New Roman"/>
        </w:rPr>
        <w:t>Ova mjera povodi se u snažnoj sinergiji sa mjerom zelene javne nabave:</w:t>
      </w:r>
    </w:p>
    <w:p w14:paraId="144B837E" w14:textId="77777777" w:rsidR="003A549F" w:rsidRPr="006414E6" w:rsidRDefault="003A549F" w:rsidP="003A2F37">
      <w:pPr>
        <w:pStyle w:val="ListParagraph"/>
        <w:numPr>
          <w:ilvl w:val="0"/>
          <w:numId w:val="26"/>
        </w:numPr>
        <w:rPr>
          <w:rFonts w:cs="Times New Roman"/>
        </w:rPr>
      </w:pPr>
      <w:r w:rsidRPr="006414E6">
        <w:rPr>
          <w:rFonts w:cs="Times New Roman"/>
        </w:rPr>
        <w:t>studijska istraživanja, izrada baza podataka, modela, metoda za izračun i uspostavu shema za ugljični otisak</w:t>
      </w:r>
    </w:p>
    <w:p w14:paraId="3000268E" w14:textId="77777777" w:rsidR="003A549F" w:rsidRPr="006414E6" w:rsidRDefault="003A549F" w:rsidP="003A2F37">
      <w:pPr>
        <w:pStyle w:val="ListParagraph"/>
        <w:numPr>
          <w:ilvl w:val="0"/>
          <w:numId w:val="26"/>
        </w:numPr>
        <w:rPr>
          <w:rFonts w:cs="Times New Roman"/>
        </w:rPr>
      </w:pPr>
      <w:r w:rsidRPr="006414E6">
        <w:rPr>
          <w:rFonts w:cs="Times New Roman"/>
        </w:rPr>
        <w:t>izračunavanje ugljičnog otiska proizvoda i usluga na hrvatskom tržištu</w:t>
      </w:r>
    </w:p>
    <w:p w14:paraId="10D3EEC1" w14:textId="77777777" w:rsidR="003A549F" w:rsidRPr="006414E6" w:rsidRDefault="003A549F" w:rsidP="003A2F37">
      <w:pPr>
        <w:pStyle w:val="ListParagraph"/>
        <w:numPr>
          <w:ilvl w:val="0"/>
          <w:numId w:val="26"/>
        </w:numPr>
        <w:rPr>
          <w:rFonts w:cs="Times New Roman"/>
        </w:rPr>
      </w:pPr>
      <w:r w:rsidRPr="006414E6">
        <w:rPr>
          <w:rFonts w:cs="Times New Roman"/>
        </w:rPr>
        <w:t>poticanje projekata uspostave neobveznih shema označavanja proizvoda i usluga ugljičnog i okolišnog otiska</w:t>
      </w:r>
    </w:p>
    <w:p w14:paraId="2D7B1B6F" w14:textId="77777777" w:rsidR="003A549F" w:rsidRPr="006414E6" w:rsidRDefault="003A549F" w:rsidP="003A2F37">
      <w:pPr>
        <w:pStyle w:val="ListParagraph"/>
        <w:numPr>
          <w:ilvl w:val="0"/>
          <w:numId w:val="26"/>
        </w:numPr>
        <w:rPr>
          <w:rFonts w:cs="Times New Roman"/>
        </w:rPr>
      </w:pPr>
      <w:r w:rsidRPr="006414E6">
        <w:rPr>
          <w:rFonts w:cs="Times New Roman"/>
        </w:rPr>
        <w:t xml:space="preserve">poticanje provedbe sheme označavanja i </w:t>
      </w:r>
      <w:r w:rsidR="00C97AAF" w:rsidRPr="006414E6">
        <w:rPr>
          <w:rFonts w:cs="Times New Roman"/>
        </w:rPr>
        <w:t>u</w:t>
      </w:r>
      <w:r w:rsidRPr="006414E6">
        <w:rPr>
          <w:rFonts w:cs="Times New Roman"/>
        </w:rPr>
        <w:t>gljičnog otiska i njezinih korisnika</w:t>
      </w:r>
    </w:p>
    <w:p w14:paraId="66D84970" w14:textId="77777777" w:rsidR="003A549F" w:rsidRPr="006414E6" w:rsidRDefault="003A549F" w:rsidP="003A2F37">
      <w:pPr>
        <w:pStyle w:val="ListParagraph"/>
        <w:numPr>
          <w:ilvl w:val="0"/>
          <w:numId w:val="26"/>
        </w:numPr>
        <w:rPr>
          <w:rFonts w:cs="Times New Roman"/>
        </w:rPr>
      </w:pPr>
      <w:r w:rsidRPr="006414E6">
        <w:rPr>
          <w:rFonts w:cs="Times New Roman"/>
        </w:rPr>
        <w:t>raspoznavanje hrvatskih izvoznih proizvoda s mogućim brendom ugljičnog otiska.</w:t>
      </w:r>
    </w:p>
    <w:p w14:paraId="43280F5E" w14:textId="77777777" w:rsidR="003A549F" w:rsidRPr="006414E6" w:rsidRDefault="003A549F" w:rsidP="001C39EF">
      <w:pPr>
        <w:rPr>
          <w:rFonts w:cs="Times New Roman"/>
          <w:u w:val="single"/>
        </w:rPr>
      </w:pPr>
      <w:r w:rsidRPr="006414E6">
        <w:rPr>
          <w:rFonts w:cs="Times New Roman"/>
          <w:u w:val="single"/>
        </w:rPr>
        <w:t xml:space="preserve">Zelena i </w:t>
      </w:r>
      <w:proofErr w:type="spellStart"/>
      <w:r w:rsidRPr="006414E6">
        <w:rPr>
          <w:rFonts w:cs="Times New Roman"/>
          <w:u w:val="single"/>
        </w:rPr>
        <w:t>niskougljična</w:t>
      </w:r>
      <w:proofErr w:type="spellEnd"/>
      <w:r w:rsidRPr="006414E6">
        <w:rPr>
          <w:rFonts w:cs="Times New Roman"/>
          <w:u w:val="single"/>
        </w:rPr>
        <w:t xml:space="preserve"> nabava </w:t>
      </w:r>
    </w:p>
    <w:p w14:paraId="2A28600A" w14:textId="117E637C" w:rsidR="003A549F" w:rsidRPr="006414E6" w:rsidRDefault="00563F3E" w:rsidP="005E40C4">
      <w:pPr>
        <w:rPr>
          <w:rFonts w:cs="Times New Roman"/>
        </w:rPr>
      </w:pPr>
      <w:r w:rsidRPr="006414E6">
        <w:rPr>
          <w:rFonts w:cs="Times New Roman"/>
        </w:rPr>
        <w:lastRenderedPageBreak/>
        <w:t>Drug</w:t>
      </w:r>
      <w:r w:rsidR="008C5492" w:rsidRPr="006414E6">
        <w:rPr>
          <w:rFonts w:cs="Times New Roman"/>
        </w:rPr>
        <w:t>i</w:t>
      </w:r>
      <w:r w:rsidRPr="006414E6">
        <w:rPr>
          <w:rFonts w:cs="Times New Roman"/>
        </w:rPr>
        <w:t xml:space="preserve"> Nacionaln</w:t>
      </w:r>
      <w:r w:rsidR="008C5492" w:rsidRPr="006414E6">
        <w:rPr>
          <w:rFonts w:cs="Times New Roman"/>
        </w:rPr>
        <w:t>i</w:t>
      </w:r>
      <w:r w:rsidRPr="006414E6">
        <w:rPr>
          <w:rFonts w:cs="Times New Roman"/>
        </w:rPr>
        <w:t xml:space="preserve"> akcijsk</w:t>
      </w:r>
      <w:r w:rsidR="008C5492" w:rsidRPr="006414E6">
        <w:rPr>
          <w:rFonts w:cs="Times New Roman"/>
        </w:rPr>
        <w:t>i</w:t>
      </w:r>
      <w:r w:rsidRPr="006414E6">
        <w:rPr>
          <w:rFonts w:cs="Times New Roman"/>
        </w:rPr>
        <w:t xml:space="preserve"> plan za zelenu javnu nabavu </w:t>
      </w:r>
      <w:r w:rsidR="003A549F" w:rsidRPr="006414E6">
        <w:rPr>
          <w:rFonts w:cs="Times New Roman"/>
        </w:rPr>
        <w:t xml:space="preserve">potrebno je proširiti ciljevima s obzirom na specifične zahtjeve </w:t>
      </w:r>
      <w:proofErr w:type="spellStart"/>
      <w:r w:rsidR="003A549F" w:rsidRPr="006414E6">
        <w:rPr>
          <w:rFonts w:cs="Times New Roman"/>
        </w:rPr>
        <w:t>niskougljičnog</w:t>
      </w:r>
      <w:proofErr w:type="spellEnd"/>
      <w:r w:rsidR="003A549F" w:rsidRPr="006414E6">
        <w:rPr>
          <w:rFonts w:cs="Times New Roman"/>
        </w:rPr>
        <w:t xml:space="preserve"> razvoja. U njemu je potrebno definirati skupine proizvoda i usluga za koje se propisuje cilj </w:t>
      </w:r>
      <w:proofErr w:type="spellStart"/>
      <w:r w:rsidR="003A549F" w:rsidRPr="006414E6">
        <w:rPr>
          <w:rFonts w:cs="Times New Roman"/>
        </w:rPr>
        <w:t>niskougljične</w:t>
      </w:r>
      <w:proofErr w:type="spellEnd"/>
      <w:r w:rsidR="003A549F" w:rsidRPr="006414E6">
        <w:rPr>
          <w:rFonts w:cs="Times New Roman"/>
        </w:rPr>
        <w:t xml:space="preserve"> javne </w:t>
      </w:r>
      <w:r w:rsidR="008C5492" w:rsidRPr="006414E6">
        <w:rPr>
          <w:rFonts w:cs="Times New Roman"/>
        </w:rPr>
        <w:t xml:space="preserve">nabave i kvantificirati ciljeve. </w:t>
      </w:r>
      <w:r w:rsidR="003A549F" w:rsidRPr="006414E6">
        <w:rPr>
          <w:rFonts w:cs="Times New Roman"/>
        </w:rPr>
        <w:t xml:space="preserve">Prije donošenja </w:t>
      </w:r>
      <w:r w:rsidR="008C5492" w:rsidRPr="006414E6">
        <w:rPr>
          <w:rFonts w:cs="Times New Roman"/>
        </w:rPr>
        <w:t>D</w:t>
      </w:r>
      <w:r w:rsidR="003A549F" w:rsidRPr="006414E6">
        <w:rPr>
          <w:rFonts w:cs="Times New Roman"/>
        </w:rPr>
        <w:t xml:space="preserve">rugog </w:t>
      </w:r>
      <w:r w:rsidR="008C5492" w:rsidRPr="006414E6">
        <w:rPr>
          <w:rFonts w:cs="Times New Roman"/>
        </w:rPr>
        <w:t>N</w:t>
      </w:r>
      <w:r w:rsidR="003A549F" w:rsidRPr="006414E6">
        <w:rPr>
          <w:rFonts w:cs="Times New Roman"/>
        </w:rPr>
        <w:t>acionalnog akcijskog plana</w:t>
      </w:r>
      <w:r w:rsidR="008C5492" w:rsidRPr="006414E6">
        <w:rPr>
          <w:rFonts w:cs="Times New Roman"/>
        </w:rPr>
        <w:t xml:space="preserve"> potrebno je a</w:t>
      </w:r>
      <w:r w:rsidR="003A549F" w:rsidRPr="006414E6">
        <w:rPr>
          <w:rFonts w:cs="Times New Roman"/>
        </w:rPr>
        <w:t xml:space="preserve">nalizirati mogućnosti poticanja zelene i </w:t>
      </w:r>
      <w:proofErr w:type="spellStart"/>
      <w:r w:rsidR="003A549F" w:rsidRPr="006414E6">
        <w:rPr>
          <w:rFonts w:cs="Times New Roman"/>
        </w:rPr>
        <w:t>niskougljične</w:t>
      </w:r>
      <w:proofErr w:type="spellEnd"/>
      <w:r w:rsidR="003A549F" w:rsidRPr="006414E6">
        <w:rPr>
          <w:rFonts w:cs="Times New Roman"/>
        </w:rPr>
        <w:t xml:space="preserve"> nabave u privatnom sektoru te u javnom sektoru - za postupak tzv. „bagatelne nabave“.</w:t>
      </w:r>
    </w:p>
    <w:p w14:paraId="197AA47E" w14:textId="77777777" w:rsidR="002834ED" w:rsidRPr="006414E6" w:rsidRDefault="000E5653" w:rsidP="00F415A7">
      <w:pPr>
        <w:pStyle w:val="Heading1"/>
      </w:pPr>
      <w:bookmarkStart w:id="329" w:name="_Toc484159035"/>
      <w:bookmarkStart w:id="330" w:name="_Toc39133322"/>
      <w:r w:rsidRPr="006414E6">
        <w:t>13.</w:t>
      </w:r>
      <w:r w:rsidR="009E12D0" w:rsidRPr="006414E6">
        <w:tab/>
      </w:r>
      <w:r w:rsidR="002834ED" w:rsidRPr="006414E6">
        <w:t>MEĐUNARODNA SURADNJA</w:t>
      </w:r>
      <w:bookmarkEnd w:id="329"/>
      <w:bookmarkEnd w:id="330"/>
    </w:p>
    <w:p w14:paraId="1136E975" w14:textId="77777777" w:rsidR="002834ED" w:rsidRPr="006414E6" w:rsidRDefault="002834ED" w:rsidP="002834ED">
      <w:pPr>
        <w:pStyle w:val="NormalWeb"/>
        <w:rPr>
          <w:rFonts w:cs="Times New Roman"/>
        </w:rPr>
      </w:pPr>
      <w:r w:rsidRPr="006414E6">
        <w:rPr>
          <w:rFonts w:cs="Times New Roman"/>
        </w:rPr>
        <w:t>Temeljni princip UNFCCC-a je solidarnost država i preuzimanje zajedničke</w:t>
      </w:r>
      <w:r w:rsidR="00F0023D" w:rsidRPr="006414E6">
        <w:rPr>
          <w:rFonts w:cs="Times New Roman"/>
        </w:rPr>
        <w:t>,</w:t>
      </w:r>
      <w:r w:rsidRPr="006414E6">
        <w:rPr>
          <w:rFonts w:cs="Times New Roman"/>
        </w:rPr>
        <w:t xml:space="preserve"> ali različite obveze, sukladno mogućnostima. Globalno tržište proizvoda postaje sve više tržišno povezano, u E</w:t>
      </w:r>
      <w:r w:rsidR="00260489" w:rsidRPr="006414E6">
        <w:rPr>
          <w:rFonts w:cs="Times New Roman"/>
        </w:rPr>
        <w:t>U</w:t>
      </w:r>
      <w:r w:rsidRPr="006414E6">
        <w:rPr>
          <w:rFonts w:cs="Times New Roman"/>
        </w:rPr>
        <w:t xml:space="preserve"> tržište električne energije i plina postaje sve više zajedničko što kupcima daje veće mogućnosti, niže cijene i sigurniju opskrbu. Mnoge aktivnosti i projekti koji pomažu smanjenju emisije mogu se provesti efikasnije uz međunarodnu suradnju</w:t>
      </w:r>
      <w:r w:rsidR="00F0023D" w:rsidRPr="006414E6">
        <w:rPr>
          <w:rFonts w:cs="Times New Roman"/>
        </w:rPr>
        <w:t>. E</w:t>
      </w:r>
      <w:r w:rsidRPr="006414E6">
        <w:rPr>
          <w:rFonts w:cs="Times New Roman"/>
        </w:rPr>
        <w:t xml:space="preserve">uropska politika potiče udruživanje, prijenos zelenih certifikata i prioritetno financira projekte koji ostvaruju suradnju i udružuju kapital u investicijama. </w:t>
      </w:r>
    </w:p>
    <w:p w14:paraId="55516307" w14:textId="77777777" w:rsidR="002834ED" w:rsidRPr="006414E6" w:rsidRDefault="002834ED" w:rsidP="002834ED">
      <w:pPr>
        <w:pStyle w:val="NormalWeb"/>
        <w:rPr>
          <w:rFonts w:cs="Times New Roman"/>
        </w:rPr>
      </w:pPr>
      <w:r w:rsidRPr="006414E6">
        <w:rPr>
          <w:rFonts w:cs="Times New Roman"/>
        </w:rPr>
        <w:t xml:space="preserve">Pariškim sporazumom utvrđeno je da će razvijene države svijeta </w:t>
      </w:r>
      <w:r w:rsidR="00260489" w:rsidRPr="006414E6">
        <w:rPr>
          <w:rFonts w:cs="Times New Roman"/>
        </w:rPr>
        <w:t xml:space="preserve">još intenzivnije </w:t>
      </w:r>
      <w:r w:rsidRPr="006414E6">
        <w:rPr>
          <w:rFonts w:cs="Times New Roman"/>
        </w:rPr>
        <w:t xml:space="preserve">pomagati državama u razvoju </w:t>
      </w:r>
      <w:r w:rsidR="00F0023D" w:rsidRPr="006414E6">
        <w:rPr>
          <w:rFonts w:cs="Times New Roman"/>
        </w:rPr>
        <w:t xml:space="preserve">u </w:t>
      </w:r>
      <w:r w:rsidRPr="006414E6">
        <w:rPr>
          <w:rFonts w:cs="Times New Roman"/>
        </w:rPr>
        <w:t>provođenju mjera za ublažavanje klimatski</w:t>
      </w:r>
      <w:r w:rsidR="00B46D04" w:rsidRPr="006414E6">
        <w:rPr>
          <w:rFonts w:cs="Times New Roman"/>
        </w:rPr>
        <w:t>h</w:t>
      </w:r>
      <w:r w:rsidRPr="006414E6">
        <w:rPr>
          <w:rFonts w:cs="Times New Roman"/>
        </w:rPr>
        <w:t xml:space="preserve"> promjena i </w:t>
      </w:r>
      <w:r w:rsidR="00530714" w:rsidRPr="006414E6">
        <w:rPr>
          <w:rFonts w:cs="Times New Roman"/>
        </w:rPr>
        <w:t>prilagodbi na klimatske promjene</w:t>
      </w:r>
      <w:r w:rsidRPr="006414E6">
        <w:rPr>
          <w:rFonts w:cs="Times New Roman"/>
        </w:rPr>
        <w:t xml:space="preserve">, u cilju ispunjenja njihovih obveza prema </w:t>
      </w:r>
      <w:r w:rsidR="00530714" w:rsidRPr="006414E6">
        <w:rPr>
          <w:rFonts w:cs="Times New Roman"/>
        </w:rPr>
        <w:t>UNFCCC</w:t>
      </w:r>
      <w:r w:rsidRPr="006414E6">
        <w:rPr>
          <w:rFonts w:cs="Times New Roman"/>
        </w:rPr>
        <w:t xml:space="preserve">. Generalno, tri su vida moguće pomoći: financiranje, transfer tehnologija i izgradnja kapaciteta. </w:t>
      </w:r>
    </w:p>
    <w:p w14:paraId="7393EFDF" w14:textId="77777777" w:rsidR="00530714" w:rsidRPr="006414E6" w:rsidRDefault="002834ED" w:rsidP="002834ED">
      <w:pPr>
        <w:pStyle w:val="NormalWeb"/>
        <w:rPr>
          <w:rFonts w:cs="Times New Roman"/>
          <w:u w:val="single"/>
        </w:rPr>
      </w:pPr>
      <w:r w:rsidRPr="006414E6">
        <w:rPr>
          <w:rFonts w:cs="Times New Roman"/>
          <w:u w:val="single"/>
        </w:rPr>
        <w:t>Republika Hrvatska u ulozi primatelja</w:t>
      </w:r>
    </w:p>
    <w:p w14:paraId="24CCC88E" w14:textId="77777777" w:rsidR="002834ED" w:rsidRPr="006414E6" w:rsidRDefault="002834ED" w:rsidP="002834ED">
      <w:pPr>
        <w:pStyle w:val="NormalWeb"/>
        <w:rPr>
          <w:rFonts w:cs="Times New Roman"/>
        </w:rPr>
      </w:pPr>
      <w:r w:rsidRPr="006414E6">
        <w:rPr>
          <w:rFonts w:cs="Times New Roman"/>
        </w:rPr>
        <w:t>Potrebno je identificirati međunarodne programe i projekte na koje se može kvalificirati Hrvatska ili za koje se mogu kvalificirati pojedinačni subjekti iz Hrvatske. Prilikom primjene i replikacije tehnologija potrebno je voditi računa o prilagodbi lokalnim uvjetima i o integraciji s postojećim tehnologijama.</w:t>
      </w:r>
    </w:p>
    <w:p w14:paraId="536FD10E" w14:textId="77777777" w:rsidR="00530714" w:rsidRPr="006414E6" w:rsidRDefault="002834ED" w:rsidP="002834ED">
      <w:pPr>
        <w:pStyle w:val="NormalWeb"/>
        <w:rPr>
          <w:rFonts w:cs="Times New Roman"/>
          <w:u w:val="single"/>
        </w:rPr>
      </w:pPr>
      <w:r w:rsidRPr="006414E6">
        <w:rPr>
          <w:rFonts w:cs="Times New Roman"/>
          <w:u w:val="single"/>
        </w:rPr>
        <w:t>Republika Hrvatska u ulozi davatelja</w:t>
      </w:r>
    </w:p>
    <w:p w14:paraId="266BBB3B" w14:textId="77777777" w:rsidR="002834ED" w:rsidRPr="006414E6" w:rsidRDefault="002834ED" w:rsidP="002834ED">
      <w:pPr>
        <w:pStyle w:val="NormalWeb"/>
        <w:rPr>
          <w:rFonts w:cs="Times New Roman"/>
        </w:rPr>
      </w:pPr>
      <w:r w:rsidRPr="006414E6">
        <w:rPr>
          <w:rFonts w:cs="Times New Roman"/>
        </w:rPr>
        <w:t xml:space="preserve">Pružanje pomoći kroz transfer tehnologija, što podrazumijeva tok znanja, iskustva i opreme iz Hrvatske, moguće je ostvariti također kroz međunarodne projekte i programe, ali i kroz druge oblike suradnje, kao što je bilateralna suradnja. Ovakva pomoć se može realizirati financiranjem dijelom sredstava dobivenih od prodaje emisijskih jedinica putem dražbi u sustavu trgovanja emisijskih jedinica, što je uostalom predviđeno i propisano Zakonom o </w:t>
      </w:r>
      <w:r w:rsidR="001A72E4" w:rsidRPr="006414E6">
        <w:rPr>
          <w:rFonts w:cs="Times New Roman"/>
        </w:rPr>
        <w:t>klimatskim promjenama i zaštiti ozonskog sloja</w:t>
      </w:r>
      <w:r w:rsidRPr="006414E6">
        <w:rPr>
          <w:rFonts w:cs="Times New Roman"/>
        </w:rPr>
        <w:t>. Ovakav transfer ide u prilog jačanju domaćih gospodarskih i istraživačkih institucija i njihovom pozicioniranju na međunarodnom tržištu.</w:t>
      </w:r>
    </w:p>
    <w:p w14:paraId="5D4ECF60" w14:textId="77777777" w:rsidR="002834ED" w:rsidRPr="006414E6" w:rsidRDefault="002834ED" w:rsidP="002834ED">
      <w:pPr>
        <w:pStyle w:val="NormalWeb"/>
        <w:rPr>
          <w:rFonts w:cs="Times New Roman"/>
        </w:rPr>
      </w:pPr>
      <w:r w:rsidRPr="006414E6">
        <w:rPr>
          <w:rFonts w:cs="Times New Roman"/>
        </w:rPr>
        <w:t>Pomoć putem prijenosa znanja i iskustava zemljama u regiji, posebno državama koje kandidiraju za članstvo u E</w:t>
      </w:r>
      <w:r w:rsidR="00530714" w:rsidRPr="006414E6">
        <w:rPr>
          <w:rFonts w:cs="Times New Roman"/>
        </w:rPr>
        <w:t>U</w:t>
      </w:r>
      <w:r w:rsidRPr="006414E6">
        <w:rPr>
          <w:rFonts w:cs="Times New Roman"/>
        </w:rPr>
        <w:t xml:space="preserve">, potrebno je ostvariti kroz postojeće programe suradnje i buduće projekte i programe kojima je cilj transfer znanja i iskustava u području ublažavanja </w:t>
      </w:r>
      <w:r w:rsidR="00B46D04" w:rsidRPr="006414E6">
        <w:rPr>
          <w:rFonts w:cs="Times New Roman"/>
        </w:rPr>
        <w:t>i prilagodbe na klimatske promjene</w:t>
      </w:r>
      <w:r w:rsidR="00530714" w:rsidRPr="006414E6">
        <w:rPr>
          <w:rFonts w:cs="Times New Roman"/>
        </w:rPr>
        <w:t>.</w:t>
      </w:r>
    </w:p>
    <w:p w14:paraId="3DEB3375" w14:textId="700AA87F" w:rsidR="002834ED" w:rsidRPr="008335DA" w:rsidRDefault="002834ED" w:rsidP="008335DA">
      <w:pPr>
        <w:pStyle w:val="NormalWeb"/>
        <w:rPr>
          <w:rFonts w:cs="Times New Roman"/>
        </w:rPr>
      </w:pPr>
      <w:r w:rsidRPr="006414E6">
        <w:rPr>
          <w:rFonts w:cs="Times New Roman"/>
        </w:rPr>
        <w:t xml:space="preserve">Međunarodna suradnja podrazumijeva i aktivno sudjelovanje u pregovorima o postizanju i provedbi globalnog sporazuma o ublažavanju </w:t>
      </w:r>
      <w:r w:rsidR="00530714" w:rsidRPr="006414E6">
        <w:rPr>
          <w:rFonts w:cs="Times New Roman"/>
        </w:rPr>
        <w:t xml:space="preserve">klimatskih </w:t>
      </w:r>
      <w:r w:rsidRPr="006414E6">
        <w:rPr>
          <w:rFonts w:cs="Times New Roman"/>
        </w:rPr>
        <w:t>promjen</w:t>
      </w:r>
      <w:r w:rsidR="00530714" w:rsidRPr="006414E6">
        <w:rPr>
          <w:rFonts w:cs="Times New Roman"/>
        </w:rPr>
        <w:t>a</w:t>
      </w:r>
      <w:r w:rsidRPr="006414E6">
        <w:rPr>
          <w:rFonts w:cs="Times New Roman"/>
        </w:rPr>
        <w:t>, u prvom redu sudjelovanje u oblikovanju jedinstvenog europskog stajališta za međunarodne pregovore.</w:t>
      </w:r>
    </w:p>
    <w:p w14:paraId="449A8251" w14:textId="77777777" w:rsidR="007F2CFA" w:rsidRPr="006414E6" w:rsidRDefault="009867B3" w:rsidP="00F415A7">
      <w:pPr>
        <w:pStyle w:val="Heading1"/>
      </w:pPr>
      <w:bookmarkStart w:id="331" w:name="_Toc39133323"/>
      <w:bookmarkStart w:id="332" w:name="_Toc20841321"/>
      <w:bookmarkStart w:id="333" w:name="_Toc20841427"/>
      <w:r w:rsidRPr="006414E6">
        <w:t>1</w:t>
      </w:r>
      <w:r w:rsidR="007F2CFA" w:rsidRPr="006414E6">
        <w:t>4</w:t>
      </w:r>
      <w:r w:rsidR="000E5653" w:rsidRPr="006414E6">
        <w:t>.</w:t>
      </w:r>
      <w:r w:rsidR="009E12D0" w:rsidRPr="006414E6">
        <w:tab/>
      </w:r>
      <w:r w:rsidR="005F78EF" w:rsidRPr="006414E6">
        <w:t>PROVEDB</w:t>
      </w:r>
      <w:r w:rsidR="00D9280E" w:rsidRPr="006414E6">
        <w:t>A</w:t>
      </w:r>
      <w:r w:rsidR="005F78EF" w:rsidRPr="006414E6">
        <w:t xml:space="preserve"> NISKOUGLJIČNE STRATEGIJE</w:t>
      </w:r>
      <w:bookmarkEnd w:id="331"/>
    </w:p>
    <w:p w14:paraId="15E095EF" w14:textId="4773C2B5" w:rsidR="005F78EF" w:rsidRPr="00932561" w:rsidRDefault="000E5653" w:rsidP="00F415A7">
      <w:pPr>
        <w:pStyle w:val="Heading2"/>
      </w:pPr>
      <w:bookmarkStart w:id="334" w:name="_Toc39133324"/>
      <w:r w:rsidRPr="00932561">
        <w:t>14.1.</w:t>
      </w:r>
      <w:r w:rsidR="00016B17">
        <w:t xml:space="preserve"> </w:t>
      </w:r>
      <w:r w:rsidR="005F78EF" w:rsidRPr="00932561">
        <w:t>INST</w:t>
      </w:r>
      <w:r w:rsidR="00693170" w:rsidRPr="00932561">
        <w:t xml:space="preserve">ITUCIONALNI OKVIR ZA PROVOĐENJE </w:t>
      </w:r>
      <w:r w:rsidR="005F78EF" w:rsidRPr="00932561">
        <w:t>NISKOUGLJIČNE STRATEGIJE</w:t>
      </w:r>
      <w:bookmarkEnd w:id="334"/>
      <w:r w:rsidR="005F78EF" w:rsidRPr="00932561">
        <w:t xml:space="preserve">  </w:t>
      </w:r>
    </w:p>
    <w:p w14:paraId="55E589CC" w14:textId="5175148E" w:rsidR="00D9280E" w:rsidRPr="006414E6" w:rsidRDefault="004B28B8" w:rsidP="00932561">
      <w:pPr>
        <w:rPr>
          <w:rFonts w:cs="Times New Roman"/>
        </w:rPr>
      </w:pPr>
      <w:r w:rsidRPr="006414E6">
        <w:rPr>
          <w:rFonts w:cs="Times New Roman"/>
        </w:rPr>
        <w:t xml:space="preserve">Nadležnost za energetiku i politike klime </w:t>
      </w:r>
      <w:r w:rsidR="00B46D04" w:rsidRPr="006414E6">
        <w:rPr>
          <w:rFonts w:cs="Times New Roman"/>
        </w:rPr>
        <w:t xml:space="preserve">je u </w:t>
      </w:r>
      <w:r w:rsidR="00D9280E" w:rsidRPr="006414E6">
        <w:rPr>
          <w:rFonts w:cs="Times New Roman"/>
        </w:rPr>
        <w:t>Ministarstvu zaštite okoliša i energetike (MZOE). U MZOE za područje klime zadužena je Uprava za klimatske aktivnosti, održivi razvoj i zaštitu zraka, tla i</w:t>
      </w:r>
      <w:r w:rsidR="009E12D0" w:rsidRPr="006414E6">
        <w:rPr>
          <w:rFonts w:cs="Times New Roman"/>
        </w:rPr>
        <w:t xml:space="preserve"> od svjetlosnog onečišćenja</w:t>
      </w:r>
      <w:r w:rsidR="00D9280E" w:rsidRPr="006414E6">
        <w:rPr>
          <w:rFonts w:cs="Times New Roman"/>
        </w:rPr>
        <w:t>, a za energetiku Uprava za energetiku</w:t>
      </w:r>
      <w:r w:rsidR="00B46D04" w:rsidRPr="006414E6">
        <w:rPr>
          <w:rFonts w:cs="Times New Roman"/>
        </w:rPr>
        <w:t>.</w:t>
      </w:r>
      <w:r w:rsidR="00D9280E" w:rsidRPr="006414E6">
        <w:rPr>
          <w:rFonts w:cs="Times New Roman"/>
        </w:rPr>
        <w:t xml:space="preserve"> </w:t>
      </w:r>
    </w:p>
    <w:p w14:paraId="024D5FC3" w14:textId="0F41FB4C" w:rsidR="00A235F6" w:rsidRPr="006414E6" w:rsidRDefault="00A235F6" w:rsidP="00D9280E">
      <w:pPr>
        <w:rPr>
          <w:rFonts w:cs="Times New Roman"/>
        </w:rPr>
      </w:pPr>
      <w:r w:rsidRPr="006414E6">
        <w:rPr>
          <w:rFonts w:cs="Times New Roman"/>
        </w:rPr>
        <w:lastRenderedPageBreak/>
        <w:t xml:space="preserve">Za područje energetske učinkovitosti u zgradarstvu te aktivnosti vezane na </w:t>
      </w:r>
      <w:proofErr w:type="spellStart"/>
      <w:r w:rsidRPr="006414E6">
        <w:rPr>
          <w:rFonts w:cs="Times New Roman"/>
        </w:rPr>
        <w:t>dekarbonizaciju</w:t>
      </w:r>
      <w:proofErr w:type="spellEnd"/>
      <w:r w:rsidRPr="006414E6">
        <w:rPr>
          <w:rFonts w:cs="Times New Roman"/>
        </w:rPr>
        <w:t xml:space="preserve"> nacionalnog fonda zgrada nadležno je Ministarstvo graditeljstva i prostornoga uređenja (MGIPU).</w:t>
      </w:r>
    </w:p>
    <w:p w14:paraId="0DCE8291" w14:textId="77777777" w:rsidR="00D9280E" w:rsidRPr="006414E6" w:rsidRDefault="00B46D04" w:rsidP="00D9280E">
      <w:pPr>
        <w:rPr>
          <w:rFonts w:cs="Times New Roman"/>
        </w:rPr>
      </w:pPr>
      <w:r w:rsidRPr="006414E6">
        <w:rPr>
          <w:rFonts w:cs="Times New Roman"/>
        </w:rPr>
        <w:t xml:space="preserve">MZOE </w:t>
      </w:r>
      <w:r w:rsidR="00D9280E" w:rsidRPr="006414E6">
        <w:rPr>
          <w:rFonts w:cs="Times New Roman"/>
        </w:rPr>
        <w:t xml:space="preserve">provodi poslove organizacije </w:t>
      </w:r>
      <w:r w:rsidR="00D9280E" w:rsidRPr="006414E6">
        <w:rPr>
          <w:rFonts w:cs="Times New Roman"/>
          <w:color w:val="000000"/>
        </w:rPr>
        <w:t>izrade inventara stakleničkih plinova, izvješća o provedbi politike i mjera za smanjenje emisija i povećanje odliva stakleničkih plinova i izvješća o projekcijama emisija stakleničkih plinova po izvorima i njihovo uklanjanje odlivima</w:t>
      </w:r>
      <w:r w:rsidR="00D9280E" w:rsidRPr="006414E6">
        <w:rPr>
          <w:rFonts w:cs="Times New Roman"/>
        </w:rPr>
        <w:t xml:space="preserve">; priprema </w:t>
      </w:r>
      <w:r w:rsidR="00D9280E" w:rsidRPr="006414E6">
        <w:rPr>
          <w:rFonts w:cs="Times New Roman"/>
          <w:color w:val="000000"/>
        </w:rPr>
        <w:t>podatke o količinama verificiranih emisija stakleničkih plinova iz postrojenja obuhvaćenih sustavom trgovanja emisijskim jedinicama; provodi kontrolne preglede dosljednosti podataka o djelatnostima i emisijama stakleničkih i indirektnih stakleničkih plinova usporedbom s verificiranim emisijama; izvješćuje o izdavanju, držanju na računu, prijenosu, primanju, poništavanju i povlačenju jedinica smanjenja emisija, jedinica ovjerenog smanjenja emisija, jedinica dodijeljene kvote i jedinica uklanjanja i prijenosa u iduće obvezujuće razdoblje, iz Registra Unije;</w:t>
      </w:r>
      <w:r w:rsidR="00D9280E" w:rsidRPr="006414E6">
        <w:rPr>
          <w:rFonts w:cs="Times New Roman"/>
        </w:rPr>
        <w:t xml:space="preserve"> </w:t>
      </w:r>
      <w:r w:rsidR="00D9280E" w:rsidRPr="006414E6">
        <w:rPr>
          <w:rFonts w:cs="Times New Roman"/>
          <w:color w:val="000000"/>
        </w:rPr>
        <w:t>provodi evidenciju i izvješćivanje o ovlaštenim pravnim osobama koje sudjeluju u trgovanju emisijama, mjerama zajedničkog ulaganja i mjerama čistog razvoja.</w:t>
      </w:r>
    </w:p>
    <w:p w14:paraId="618D493B" w14:textId="77777777" w:rsidR="00D9280E" w:rsidRPr="006414E6" w:rsidRDefault="00D9280E" w:rsidP="00D9280E">
      <w:pPr>
        <w:rPr>
          <w:rFonts w:cs="Times New Roman"/>
        </w:rPr>
      </w:pPr>
      <w:r w:rsidRPr="006414E6">
        <w:rPr>
          <w:rFonts w:cs="Times New Roman"/>
        </w:rPr>
        <w:t>Djelatnost Fonda za zaštitu okoliša i energetsku učinkovitost</w:t>
      </w:r>
      <w:r w:rsidR="00B46D04" w:rsidRPr="006414E6">
        <w:rPr>
          <w:rFonts w:cs="Times New Roman"/>
        </w:rPr>
        <w:t xml:space="preserve"> (FZOEU)</w:t>
      </w:r>
      <w:r w:rsidRPr="006414E6">
        <w:rPr>
          <w:rFonts w:cs="Times New Roman"/>
        </w:rPr>
        <w:t xml:space="preserve"> obuhvaća poslove u svezi s financiranjem pripreme, provedbe i razvoja programa, projekata i aktivnosti u području očuvanja, održivog korištenja, zaštite i unaprjeđivanja okoliša te u području energetske učinkovitosti i korištenja obnovljivih izvora energije; posredovanje u svezi s financiranjem zaštite okoliša i energetske učinkovitosti iz sredstava stranih država, međunarodnih organizacija, financijskih institucija i tijela te domaćih i stranih pravnih i fizičkih osoba; vodi bazu podataka o programima i projektima u području zaštite okoliša i energetske učinkovitosti te potrebnim i raspoloživim financijskim sredstvima za njihovo ostvarivanje; potiče, uspostavlja i ostvaruje suradnju s međunarodnim i domaćim financijskim institucijama i drugim pravnim i fizičkim osobama radi financiranja zaštite okoliša i energetske učinkovitosti u skladu s Nacionalnom strategijom zaštite okoliša i Nacionalnim planom djelovanja za okoliš, Strategijom energetskog razvitka i Programom provedbe Strategije energetskog razvitka, nacionalnim energetskim programima i drugim programima u području zaštite okoliša i energetske učinkovitosti te međunarodnim ugovorima čija je stranka Republika Hrvatska. </w:t>
      </w:r>
    </w:p>
    <w:p w14:paraId="098D5C09" w14:textId="77777777" w:rsidR="00D9280E" w:rsidRPr="006414E6" w:rsidRDefault="00D9280E" w:rsidP="00932561">
      <w:pPr>
        <w:rPr>
          <w:rFonts w:cs="Times New Roman"/>
        </w:rPr>
      </w:pPr>
      <w:r w:rsidRPr="006414E6">
        <w:rPr>
          <w:rFonts w:cs="Times New Roman"/>
        </w:rPr>
        <w:t xml:space="preserve">Kako bi se unaprijedila međusektorska suradnja, osnovana su dva povjerenstva: </w:t>
      </w:r>
    </w:p>
    <w:p w14:paraId="04DB55BD" w14:textId="77777777" w:rsidR="00D9280E" w:rsidRPr="006414E6" w:rsidRDefault="00D9280E" w:rsidP="00932561">
      <w:pPr>
        <w:pStyle w:val="ListParagraph"/>
        <w:numPr>
          <w:ilvl w:val="0"/>
          <w:numId w:val="26"/>
        </w:numPr>
        <w:rPr>
          <w:rFonts w:cs="Times New Roman"/>
        </w:rPr>
      </w:pPr>
      <w:r w:rsidRPr="006414E6">
        <w:rPr>
          <w:rFonts w:cs="Times New Roman"/>
        </w:rPr>
        <w:t xml:space="preserve">Povjerenstvo za međusektorsku koordinaciju za nacionalni sustav za praćenje emisija stakleničkih plinova i </w:t>
      </w:r>
    </w:p>
    <w:p w14:paraId="6D74D48D" w14:textId="77777777" w:rsidR="00D9280E" w:rsidRPr="00932561" w:rsidRDefault="00D9280E" w:rsidP="00932561">
      <w:pPr>
        <w:pStyle w:val="ListParagraph"/>
        <w:numPr>
          <w:ilvl w:val="0"/>
          <w:numId w:val="26"/>
        </w:numPr>
        <w:rPr>
          <w:rFonts w:cs="Times New Roman"/>
        </w:rPr>
      </w:pPr>
      <w:r w:rsidRPr="006414E6">
        <w:rPr>
          <w:rFonts w:cs="Times New Roman"/>
        </w:rPr>
        <w:t>Povjerenstvo za međusektorsku koordinaciju za politiku i mjere za ublažavanje i prilagodbu klimatskim promjenama</w:t>
      </w:r>
      <w:r w:rsidRPr="00932561">
        <w:rPr>
          <w:rFonts w:cs="Times New Roman"/>
        </w:rPr>
        <w:t>.</w:t>
      </w:r>
    </w:p>
    <w:p w14:paraId="6329499E" w14:textId="77777777" w:rsidR="00D9280E" w:rsidRPr="006414E6" w:rsidRDefault="009E12D0" w:rsidP="00D9280E">
      <w:pPr>
        <w:rPr>
          <w:rFonts w:cs="Times New Roman"/>
        </w:rPr>
      </w:pPr>
      <w:r w:rsidRPr="006414E6">
        <w:rPr>
          <w:rFonts w:cs="Times New Roman"/>
        </w:rPr>
        <w:t>Povjerenstvo</w:t>
      </w:r>
      <w:r w:rsidR="00D9280E" w:rsidRPr="006414E6">
        <w:rPr>
          <w:rFonts w:cs="Times New Roman"/>
        </w:rPr>
        <w:t xml:space="preserve"> za međusektorsku koordinaciju za politiku i mjere za ublažavanje i prilagodbu klimatskim daje preporuke Vladi Republike Hrvatske o sveukupnoj politici i mjerama za ublažavanje i prilagodbu klimatskim promjenama; osigurava podršku u provođenju politike i mjera za ublažavanje i prilagodbu klimatskim promjenama te ocjenjuje i predlaže Vladi </w:t>
      </w:r>
      <w:r w:rsidR="00996A58" w:rsidRPr="006414E6">
        <w:rPr>
          <w:rFonts w:cs="Times New Roman"/>
        </w:rPr>
        <w:t xml:space="preserve">Republike Hrvatske </w:t>
      </w:r>
      <w:r w:rsidR="00D9280E" w:rsidRPr="006414E6">
        <w:rPr>
          <w:rFonts w:cs="Times New Roman"/>
        </w:rPr>
        <w:t xml:space="preserve">donošenje strateških dokumenata koji se odnose na politiku i mjere za ublažavanje i prilagodbu klimatskim promjenama. </w:t>
      </w:r>
    </w:p>
    <w:p w14:paraId="3460478B" w14:textId="77777777" w:rsidR="00D9280E" w:rsidRPr="006414E6" w:rsidRDefault="00D9280E" w:rsidP="00D9280E">
      <w:pPr>
        <w:rPr>
          <w:rFonts w:cs="Times New Roman"/>
        </w:rPr>
      </w:pPr>
      <w:r w:rsidRPr="006414E6">
        <w:rPr>
          <w:rFonts w:cs="Times New Roman"/>
        </w:rPr>
        <w:t xml:space="preserve">Osnivanje oba </w:t>
      </w:r>
      <w:r w:rsidR="00996A58" w:rsidRPr="006414E6">
        <w:rPr>
          <w:rFonts w:cs="Times New Roman"/>
        </w:rPr>
        <w:t>p</w:t>
      </w:r>
      <w:r w:rsidRPr="006414E6">
        <w:rPr>
          <w:rFonts w:cs="Times New Roman"/>
        </w:rPr>
        <w:t xml:space="preserve">ovjerenstva doprinijelo je velikom napretku, poboljšan je protok informacija i sektorska uključenost u odlučivanje te je podignuta razina znanja. Međutim, još uvijek nije postignuto povratno djelovanje, a to je da se u pojedinim sektorima pitanja klime uključuju u planiranje i provedbene politike. </w:t>
      </w:r>
    </w:p>
    <w:p w14:paraId="22609319" w14:textId="77777777" w:rsidR="00996A58" w:rsidRPr="006414E6" w:rsidRDefault="00D9280E" w:rsidP="00996A58">
      <w:pPr>
        <w:rPr>
          <w:rFonts w:cs="Times New Roman"/>
        </w:rPr>
      </w:pPr>
      <w:r w:rsidRPr="006414E6">
        <w:rPr>
          <w:rFonts w:cs="Times New Roman"/>
        </w:rPr>
        <w:t xml:space="preserve">Za provođenje </w:t>
      </w:r>
      <w:proofErr w:type="spellStart"/>
      <w:r w:rsidRPr="006414E6">
        <w:rPr>
          <w:rFonts w:cs="Times New Roman"/>
        </w:rPr>
        <w:t>Niskougljične</w:t>
      </w:r>
      <w:proofErr w:type="spellEnd"/>
      <w:r w:rsidRPr="006414E6">
        <w:rPr>
          <w:rFonts w:cs="Times New Roman"/>
        </w:rPr>
        <w:t xml:space="preserve"> strategije potrebno je osigurati snažnije mehanizme za horizontalno djelovanje. M</w:t>
      </w:r>
      <w:r w:rsidR="00B46D04" w:rsidRPr="006414E6">
        <w:rPr>
          <w:rFonts w:cs="Times New Roman"/>
        </w:rPr>
        <w:t xml:space="preserve">ZOE </w:t>
      </w:r>
      <w:r w:rsidRPr="006414E6">
        <w:rPr>
          <w:rFonts w:cs="Times New Roman"/>
        </w:rPr>
        <w:t xml:space="preserve">planira mjere čije je provođenje u nadležnosti drugih sektorskih ministarstava, a takav pristup ima puno izazova. </w:t>
      </w:r>
      <w:r w:rsidR="00996A58" w:rsidRPr="006414E6">
        <w:rPr>
          <w:rFonts w:cs="Times New Roman"/>
        </w:rPr>
        <w:t xml:space="preserve">Potrebno je u više sektora osnažiti kapacitete za rad na aktivnostima vezanima uz klimatske promjene, čime bi se pridonijelo boljem raspoznavanju sinergijskih učinaka </w:t>
      </w:r>
      <w:r w:rsidR="00996A58" w:rsidRPr="006414E6">
        <w:rPr>
          <w:rFonts w:cs="Times New Roman"/>
        </w:rPr>
        <w:lastRenderedPageBreak/>
        <w:t xml:space="preserve">politika i mjera za ublažavanje i prilagodbu klimatskim promjenama. Pojedina pitanja vrlo su složena i mali broj stručnjaka ima potrebne kompetencije pa se ne može očekivati brzi napredak u institucijama nadležnima za pojedine sektore od posebnog interesa. S obzirom da razvojni dokumenti pojedinih područja i djelatnosti moraju biti usklađeni s načelima, osnovnim ciljevima, prioritetima i </w:t>
      </w:r>
      <w:r w:rsidR="009E12D0" w:rsidRPr="006414E6">
        <w:rPr>
          <w:rFonts w:cs="Times New Roman"/>
        </w:rPr>
        <w:t>smjernicama</w:t>
      </w:r>
      <w:r w:rsidR="00996A58" w:rsidRPr="006414E6">
        <w:rPr>
          <w:rFonts w:cs="Times New Roman"/>
        </w:rPr>
        <w:t xml:space="preserve"> </w:t>
      </w:r>
      <w:proofErr w:type="spellStart"/>
      <w:r w:rsidR="00996A58" w:rsidRPr="006414E6">
        <w:rPr>
          <w:rFonts w:cs="Times New Roman"/>
        </w:rPr>
        <w:t>niskougljičnog</w:t>
      </w:r>
      <w:proofErr w:type="spellEnd"/>
      <w:r w:rsidR="00996A58" w:rsidRPr="006414E6">
        <w:rPr>
          <w:rFonts w:cs="Times New Roman"/>
        </w:rPr>
        <w:t xml:space="preserve"> razvoja utvrđenima u </w:t>
      </w:r>
      <w:proofErr w:type="spellStart"/>
      <w:r w:rsidR="00996A58" w:rsidRPr="006414E6">
        <w:rPr>
          <w:rFonts w:cs="Times New Roman"/>
        </w:rPr>
        <w:t>Niskougljičnoj</w:t>
      </w:r>
      <w:proofErr w:type="spellEnd"/>
      <w:r w:rsidR="00996A58" w:rsidRPr="006414E6">
        <w:rPr>
          <w:rFonts w:cs="Times New Roman"/>
        </w:rPr>
        <w:t xml:space="preserve"> strategiji, za očekivati je da će zbog međusektorskog usklađivanja doći do prilagodbe postojećeg pravnog okvira i razvojnih dokumenata pojedinih područja.</w:t>
      </w:r>
    </w:p>
    <w:p w14:paraId="5BEE6BC1" w14:textId="77777777" w:rsidR="00D021AF" w:rsidRPr="006414E6" w:rsidRDefault="00D9280E" w:rsidP="00476F3C">
      <w:pPr>
        <w:rPr>
          <w:rFonts w:cs="Times New Roman"/>
        </w:rPr>
      </w:pPr>
      <w:proofErr w:type="spellStart"/>
      <w:r w:rsidRPr="006414E6">
        <w:rPr>
          <w:rFonts w:cs="Times New Roman"/>
          <w:b/>
        </w:rPr>
        <w:t>Niskougljična</w:t>
      </w:r>
      <w:proofErr w:type="spellEnd"/>
      <w:r w:rsidRPr="006414E6">
        <w:rPr>
          <w:rFonts w:cs="Times New Roman"/>
          <w:b/>
        </w:rPr>
        <w:t xml:space="preserve"> strategija predlaže jedan korak osnaženja instrumenata za međusektorsko djelovanje, a to je osiguranje centralne koordinacijske funkcije za održivi razvoj i </w:t>
      </w:r>
      <w:r w:rsidR="002019AF" w:rsidRPr="006414E6">
        <w:rPr>
          <w:rFonts w:cs="Times New Roman"/>
          <w:b/>
        </w:rPr>
        <w:t>klimatske aktivnosti pri Vladi Republike Hrvatske</w:t>
      </w:r>
      <w:r w:rsidRPr="006414E6">
        <w:rPr>
          <w:rFonts w:cs="Times New Roman"/>
          <w:b/>
        </w:rPr>
        <w:t>.</w:t>
      </w:r>
      <w:r w:rsidRPr="006414E6">
        <w:rPr>
          <w:rFonts w:cs="Times New Roman"/>
        </w:rPr>
        <w:t xml:space="preserve"> Osnivanje centralne koordinacijske funkcije može snažno pomoći učinkovitom provođenju aktivnosti ublažavanja i prilagodbe klimatskim promjenama, a s obzirom na ciljeve koji se odnose na rast gospodarstva i zapošljavanje omogućuje Vladi </w:t>
      </w:r>
      <w:r w:rsidR="004A4063" w:rsidRPr="006414E6">
        <w:rPr>
          <w:rFonts w:cs="Times New Roman"/>
        </w:rPr>
        <w:t xml:space="preserve">Republike Hrvatske </w:t>
      </w:r>
      <w:r w:rsidRPr="006414E6">
        <w:rPr>
          <w:rFonts w:cs="Times New Roman"/>
        </w:rPr>
        <w:t xml:space="preserve">direktan uvid i nadzor nad prioritetnim ciljevima države. </w:t>
      </w:r>
    </w:p>
    <w:p w14:paraId="3511F336" w14:textId="77777777" w:rsidR="004A4063" w:rsidRPr="006414E6" w:rsidRDefault="004A4063" w:rsidP="004A4063">
      <w:pPr>
        <w:rPr>
          <w:rFonts w:cs="Times New Roman"/>
        </w:rPr>
      </w:pPr>
      <w:r w:rsidRPr="006414E6">
        <w:rPr>
          <w:rFonts w:cs="Times New Roman"/>
        </w:rPr>
        <w:t xml:space="preserve">Dio zaduženja i ovlasti, treba locirati u institucije koje već imaju razvijene kapacitete, koje će lako prihvatiti nove funkcije i koje stvaraju sinergiju sa svojim postojećim poslovima. Pravne osobe s javnim ovlastima na državnoj razini trebaju raspoznati priliku za razvoj, konkurirati za vođenje pojedinih segmenata </w:t>
      </w:r>
      <w:proofErr w:type="spellStart"/>
      <w:r w:rsidRPr="006414E6">
        <w:rPr>
          <w:rFonts w:cs="Times New Roman"/>
        </w:rPr>
        <w:t>Niskougljične</w:t>
      </w:r>
      <w:proofErr w:type="spellEnd"/>
      <w:r w:rsidRPr="006414E6">
        <w:rPr>
          <w:rFonts w:cs="Times New Roman"/>
        </w:rPr>
        <w:t xml:space="preserve"> strategije i akcijske planove njene provedbe. Radna mjesta koja su postala nepotrebna treba usmjeriti na nove poslove koji u administrativnom smislu nudi </w:t>
      </w:r>
      <w:proofErr w:type="spellStart"/>
      <w:r w:rsidRPr="006414E6">
        <w:rPr>
          <w:rFonts w:cs="Times New Roman"/>
        </w:rPr>
        <w:t>Niskougljična</w:t>
      </w:r>
      <w:proofErr w:type="spellEnd"/>
      <w:r w:rsidRPr="006414E6">
        <w:rPr>
          <w:rFonts w:cs="Times New Roman"/>
        </w:rPr>
        <w:t xml:space="preserve"> strategija. </w:t>
      </w:r>
    </w:p>
    <w:p w14:paraId="429A993B" w14:textId="77777777" w:rsidR="00E64F17" w:rsidRPr="006414E6" w:rsidRDefault="00E64F17" w:rsidP="00E64F17">
      <w:pPr>
        <w:rPr>
          <w:rFonts w:cs="Times New Roman"/>
          <w:szCs w:val="24"/>
        </w:rPr>
      </w:pPr>
      <w:r w:rsidRPr="006414E6">
        <w:rPr>
          <w:rFonts w:cs="Times New Roman"/>
          <w:szCs w:val="24"/>
        </w:rPr>
        <w:t xml:space="preserve">Kako je već istaknuto u uvodnom dijelu, za uspješnu provedbu </w:t>
      </w:r>
      <w:proofErr w:type="spellStart"/>
      <w:r w:rsidRPr="006414E6">
        <w:rPr>
          <w:rFonts w:cs="Times New Roman"/>
          <w:szCs w:val="24"/>
        </w:rPr>
        <w:t>Niskougljične</w:t>
      </w:r>
      <w:proofErr w:type="spellEnd"/>
      <w:r w:rsidRPr="006414E6">
        <w:rPr>
          <w:rFonts w:cs="Times New Roman"/>
          <w:szCs w:val="24"/>
        </w:rPr>
        <w:t xml:space="preserve"> strategije osim horizontalne suradnje nužna je vertikalna suradnja od državne razine do djelovanja na lokalnoj razini. Jedinice područne (regionalne) i lokalne samouprave i </w:t>
      </w:r>
      <w:r w:rsidRPr="006414E6">
        <w:rPr>
          <w:rFonts w:eastAsia="Times New Roman" w:cs="Times New Roman"/>
          <w:color w:val="000000" w:themeColor="text1"/>
          <w:szCs w:val="24"/>
          <w:lang w:eastAsia="hr-HR"/>
        </w:rPr>
        <w:t xml:space="preserve">pravne osobe s javnim ovlastima osnovanima od strane </w:t>
      </w:r>
      <w:r w:rsidRPr="006414E6">
        <w:rPr>
          <w:rFonts w:cs="Times New Roman"/>
          <w:szCs w:val="24"/>
        </w:rPr>
        <w:t xml:space="preserve">jedinica područne (regionalne) i lokalne samouprave moraju prepoznati nužnost </w:t>
      </w:r>
      <w:proofErr w:type="spellStart"/>
      <w:r w:rsidRPr="006414E6">
        <w:rPr>
          <w:rFonts w:cs="Times New Roman"/>
          <w:szCs w:val="24"/>
        </w:rPr>
        <w:t>niskougljičnog</w:t>
      </w:r>
      <w:proofErr w:type="spellEnd"/>
      <w:r w:rsidRPr="006414E6">
        <w:rPr>
          <w:rFonts w:cs="Times New Roman"/>
          <w:szCs w:val="24"/>
        </w:rPr>
        <w:t xml:space="preserve"> razvoja te ga shvatiti kao izazov i potrebu za opću dobrobit, a ne samo kao opterećenje postojećih kapaciteta. </w:t>
      </w:r>
    </w:p>
    <w:p w14:paraId="420E20A6" w14:textId="3131E359" w:rsidR="00D9280E" w:rsidRPr="006414E6" w:rsidRDefault="006B211F" w:rsidP="00F415A7">
      <w:pPr>
        <w:pStyle w:val="Heading2"/>
      </w:pPr>
      <w:bookmarkStart w:id="335" w:name="_Toc39133325"/>
      <w:r w:rsidRPr="006414E6">
        <w:t>14.2.</w:t>
      </w:r>
      <w:r w:rsidR="00932561">
        <w:t xml:space="preserve"> </w:t>
      </w:r>
      <w:r w:rsidR="00D9280E" w:rsidRPr="006414E6">
        <w:t>POKAZATELJI PROVEDBE</w:t>
      </w:r>
      <w:r w:rsidR="00D96901" w:rsidRPr="006414E6">
        <w:t xml:space="preserve"> NISKOUGLJIČNE STRATEGIJE</w:t>
      </w:r>
      <w:bookmarkEnd w:id="335"/>
      <w:r w:rsidR="00D9280E" w:rsidRPr="006414E6">
        <w:t xml:space="preserve">  </w:t>
      </w:r>
    </w:p>
    <w:p w14:paraId="3E253794" w14:textId="77777777" w:rsidR="00B91F59" w:rsidRPr="006414E6" w:rsidRDefault="004E2317" w:rsidP="00932561">
      <w:r w:rsidRPr="006414E6">
        <w:t>Po</w:t>
      </w:r>
      <w:r w:rsidR="00B91F59" w:rsidRPr="006414E6">
        <w:t xml:space="preserve">kazatelji </w:t>
      </w:r>
      <w:r w:rsidR="00260489" w:rsidRPr="006414E6">
        <w:t xml:space="preserve">za praćenje provedbe </w:t>
      </w:r>
      <w:proofErr w:type="spellStart"/>
      <w:r w:rsidR="00B91F59" w:rsidRPr="006414E6">
        <w:t>Niskougljične</w:t>
      </w:r>
      <w:proofErr w:type="spellEnd"/>
      <w:r w:rsidR="00B91F59" w:rsidRPr="006414E6">
        <w:t xml:space="preserve"> strategije su</w:t>
      </w:r>
      <w:r w:rsidR="0068061D" w:rsidRPr="006414E6">
        <w:t xml:space="preserve"> navedeni u tablici 14-1.</w:t>
      </w:r>
    </w:p>
    <w:p w14:paraId="747EEB39" w14:textId="77777777" w:rsidR="0068061D" w:rsidRPr="00932561" w:rsidRDefault="0068061D" w:rsidP="00932561">
      <w:pPr>
        <w:rPr>
          <w:i/>
        </w:rPr>
      </w:pPr>
      <w:r w:rsidRPr="00932561">
        <w:rPr>
          <w:i/>
        </w:rPr>
        <w:t xml:space="preserve">Tablica 14-1: Pokazatelji provedbe </w:t>
      </w:r>
      <w:proofErr w:type="spellStart"/>
      <w:r w:rsidRPr="00932561">
        <w:rPr>
          <w:i/>
        </w:rPr>
        <w:t>Niskougljične</w:t>
      </w:r>
      <w:proofErr w:type="spellEnd"/>
      <w:r w:rsidRPr="00932561">
        <w:rPr>
          <w:i/>
        </w:rPr>
        <w:t xml:space="preserve"> strategije</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379"/>
      </w:tblGrid>
      <w:tr w:rsidR="0068061D" w:rsidRPr="006414E6" w14:paraId="72C561D7" w14:textId="77777777" w:rsidTr="006B2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right w:val="none" w:sz="0" w:space="0" w:color="auto"/>
            </w:tcBorders>
            <w:shd w:val="clear" w:color="auto" w:fill="auto"/>
          </w:tcPr>
          <w:p w14:paraId="4412E710" w14:textId="77777777" w:rsidR="0068061D" w:rsidRPr="006414E6" w:rsidRDefault="0068061D" w:rsidP="006B211F">
            <w:pPr>
              <w:rPr>
                <w:rFonts w:cs="Times New Roman"/>
                <w:sz w:val="22"/>
              </w:rPr>
            </w:pPr>
            <w:r w:rsidRPr="006414E6">
              <w:rPr>
                <w:rFonts w:cs="Times New Roman"/>
                <w:sz w:val="22"/>
              </w:rPr>
              <w:t>Cilj</w:t>
            </w:r>
          </w:p>
        </w:tc>
        <w:tc>
          <w:tcPr>
            <w:tcW w:w="6379" w:type="dxa"/>
            <w:tcBorders>
              <w:left w:val="none" w:sz="0" w:space="0" w:color="auto"/>
            </w:tcBorders>
            <w:shd w:val="clear" w:color="auto" w:fill="auto"/>
          </w:tcPr>
          <w:p w14:paraId="2437264F" w14:textId="77777777" w:rsidR="0068061D" w:rsidRPr="006414E6" w:rsidRDefault="0068061D" w:rsidP="006B211F">
            <w:pPr>
              <w:cnfStyle w:val="100000000000" w:firstRow="1"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Glavni pokazatelj učinaka (</w:t>
            </w:r>
            <w:proofErr w:type="spellStart"/>
            <w:r w:rsidRPr="006414E6">
              <w:rPr>
                <w:rFonts w:cs="Times New Roman"/>
                <w:sz w:val="22"/>
              </w:rPr>
              <w:t>bold</w:t>
            </w:r>
            <w:proofErr w:type="spellEnd"/>
            <w:r w:rsidRPr="006414E6">
              <w:rPr>
                <w:rFonts w:cs="Times New Roman"/>
                <w:sz w:val="22"/>
              </w:rPr>
              <w:t>)  i ishoda</w:t>
            </w:r>
          </w:p>
        </w:tc>
      </w:tr>
      <w:tr w:rsidR="0068061D" w:rsidRPr="006414E6" w14:paraId="1122B216" w14:textId="77777777" w:rsidTr="006B21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shd w:val="clear" w:color="auto" w:fill="auto"/>
          </w:tcPr>
          <w:p w14:paraId="19475757" w14:textId="77777777" w:rsidR="0068061D" w:rsidRPr="006414E6" w:rsidRDefault="0068061D" w:rsidP="006B211F">
            <w:pPr>
              <w:jc w:val="left"/>
              <w:rPr>
                <w:rFonts w:cs="Times New Roman"/>
                <w:sz w:val="22"/>
              </w:rPr>
            </w:pPr>
            <w:r w:rsidRPr="006414E6">
              <w:rPr>
                <w:rFonts w:cs="Times New Roman"/>
                <w:sz w:val="22"/>
              </w:rPr>
              <w:t xml:space="preserve">Postizanje održivog razvoja temeljenog na znanju i konkurentnom gospodarstvu s niskom razinom ugljika i učinkovitim korištenjem resursa </w:t>
            </w:r>
          </w:p>
        </w:tc>
        <w:tc>
          <w:tcPr>
            <w:tcW w:w="6379" w:type="dxa"/>
            <w:shd w:val="clear" w:color="auto" w:fill="auto"/>
          </w:tcPr>
          <w:p w14:paraId="60EE5D2D" w14:textId="77777777" w:rsidR="0068061D" w:rsidRPr="006414E6" w:rsidRDefault="0068061D" w:rsidP="006B211F">
            <w:pPr>
              <w:pStyle w:val="ListParagraph"/>
              <w:numPr>
                <w:ilvl w:val="0"/>
                <w:numId w:val="88"/>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6414E6">
              <w:rPr>
                <w:rFonts w:cs="Times New Roman"/>
                <w:b/>
                <w:bCs/>
                <w:sz w:val="22"/>
              </w:rPr>
              <w:t>Smanjenje ukupne emisije stakleničkih plinova u odnosu na 1990 godinu</w:t>
            </w:r>
          </w:p>
          <w:p w14:paraId="33796682" w14:textId="77777777" w:rsidR="0068061D" w:rsidRPr="006414E6" w:rsidRDefault="0068061D" w:rsidP="006B211F">
            <w:pPr>
              <w:pStyle w:val="ListParagraph"/>
              <w:numPr>
                <w:ilvl w:val="0"/>
                <w:numId w:val="88"/>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Smanjenje emisija stakleničkih plinova po stanovniku, u odnosu na 1990.</w:t>
            </w:r>
          </w:p>
          <w:p w14:paraId="535E56ED" w14:textId="77777777" w:rsidR="0068061D" w:rsidRPr="006414E6" w:rsidRDefault="0068061D" w:rsidP="006B211F">
            <w:pPr>
              <w:pStyle w:val="ListParagraph"/>
              <w:numPr>
                <w:ilvl w:val="0"/>
                <w:numId w:val="88"/>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6414E6">
              <w:rPr>
                <w:rFonts w:cs="Times New Roman"/>
                <w:b/>
                <w:bCs/>
                <w:sz w:val="22"/>
              </w:rPr>
              <w:t xml:space="preserve">Smanjenje emisija stakleničkih plinova u odnosu na 1990. godinu po jedinici BDP-a </w:t>
            </w:r>
          </w:p>
          <w:p w14:paraId="6539A9CC" w14:textId="77777777" w:rsidR="0068061D" w:rsidRPr="006414E6" w:rsidRDefault="0068061D" w:rsidP="006B211F">
            <w:pPr>
              <w:pStyle w:val="ListParagraph"/>
              <w:numPr>
                <w:ilvl w:val="0"/>
                <w:numId w:val="88"/>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 xml:space="preserve">Smanjenje emisija stakleničkih plinova po jedinici utrošene ukupne energije  </w:t>
            </w:r>
          </w:p>
          <w:p w14:paraId="7033DFEE" w14:textId="77777777" w:rsidR="0068061D" w:rsidRPr="006414E6" w:rsidRDefault="0068061D" w:rsidP="006B211F">
            <w:pPr>
              <w:pStyle w:val="ListParagraph"/>
              <w:numPr>
                <w:ilvl w:val="0"/>
                <w:numId w:val="88"/>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Broj novih zelenih radnih mjesta (potrebno razraditi metodologiju praćenja)</w:t>
            </w:r>
          </w:p>
        </w:tc>
      </w:tr>
      <w:tr w:rsidR="0068061D" w:rsidRPr="006414E6" w14:paraId="0751FF29" w14:textId="77777777" w:rsidTr="006B211F">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shd w:val="clear" w:color="auto" w:fill="auto"/>
          </w:tcPr>
          <w:p w14:paraId="7B16BCF2" w14:textId="77777777" w:rsidR="0068061D" w:rsidRPr="006414E6" w:rsidRDefault="0068061D" w:rsidP="006B211F">
            <w:pPr>
              <w:jc w:val="left"/>
              <w:rPr>
                <w:rFonts w:cs="Times New Roman"/>
                <w:sz w:val="22"/>
              </w:rPr>
            </w:pPr>
            <w:r w:rsidRPr="006414E6">
              <w:rPr>
                <w:rFonts w:cs="Times New Roman"/>
                <w:sz w:val="22"/>
              </w:rPr>
              <w:t xml:space="preserve">Povećanje sigurnosti opskrbe energijom, održivost energetske opskrbe, povećanje dostupnosti energije i </w:t>
            </w:r>
            <w:r w:rsidRPr="006414E6">
              <w:rPr>
                <w:rFonts w:cs="Times New Roman"/>
                <w:sz w:val="22"/>
              </w:rPr>
              <w:lastRenderedPageBreak/>
              <w:t>smanjenje energetske ovisnosti</w:t>
            </w:r>
          </w:p>
        </w:tc>
        <w:tc>
          <w:tcPr>
            <w:tcW w:w="6379" w:type="dxa"/>
            <w:shd w:val="clear" w:color="auto" w:fill="auto"/>
          </w:tcPr>
          <w:p w14:paraId="325B90A4" w14:textId="77777777" w:rsidR="0068061D" w:rsidRPr="006414E6" w:rsidRDefault="0068061D" w:rsidP="006B211F">
            <w:pPr>
              <w:pStyle w:val="ListParagraph"/>
              <w:numPr>
                <w:ilvl w:val="0"/>
                <w:numId w:val="89"/>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lastRenderedPageBreak/>
              <w:t>Ukupna potrošnja energije</w:t>
            </w:r>
          </w:p>
          <w:p w14:paraId="7DC8BFD0" w14:textId="77777777" w:rsidR="0068061D" w:rsidRPr="006414E6" w:rsidRDefault="0068061D" w:rsidP="006B211F">
            <w:pPr>
              <w:pStyle w:val="ListParagraph"/>
              <w:numPr>
                <w:ilvl w:val="0"/>
                <w:numId w:val="89"/>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Neposredna potrošnja energije</w:t>
            </w:r>
          </w:p>
          <w:p w14:paraId="19737F68" w14:textId="77777777" w:rsidR="0068061D" w:rsidRPr="006414E6" w:rsidRDefault="0068061D" w:rsidP="006B211F">
            <w:pPr>
              <w:pStyle w:val="ListParagraph"/>
              <w:numPr>
                <w:ilvl w:val="0"/>
                <w:numId w:val="89"/>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Udio obnovljivih izvora energije u bruto neposrednoj potrošnji energije</w:t>
            </w:r>
          </w:p>
          <w:p w14:paraId="7EEB8188" w14:textId="77777777" w:rsidR="0068061D" w:rsidRPr="006414E6" w:rsidRDefault="0068061D" w:rsidP="006B211F">
            <w:pPr>
              <w:pStyle w:val="ListParagraph"/>
              <w:numPr>
                <w:ilvl w:val="0"/>
                <w:numId w:val="89"/>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Potrošnja električne energije</w:t>
            </w:r>
          </w:p>
          <w:p w14:paraId="2BD54CEC" w14:textId="77777777" w:rsidR="0068061D" w:rsidRPr="006414E6" w:rsidRDefault="0068061D" w:rsidP="006B211F">
            <w:pPr>
              <w:pStyle w:val="ListParagraph"/>
              <w:numPr>
                <w:ilvl w:val="0"/>
                <w:numId w:val="89"/>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lastRenderedPageBreak/>
              <w:t>Proizvodnja električne energije iz obnovljivih izvora energije (% ukupne proizvodnje električne energije)</w:t>
            </w:r>
          </w:p>
          <w:p w14:paraId="30F4BFCB" w14:textId="77777777" w:rsidR="0068061D" w:rsidRPr="006414E6" w:rsidRDefault="0068061D" w:rsidP="006B211F">
            <w:pPr>
              <w:pStyle w:val="ListParagraph"/>
              <w:numPr>
                <w:ilvl w:val="0"/>
                <w:numId w:val="89"/>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b/>
                <w:bCs/>
                <w:sz w:val="22"/>
              </w:rPr>
            </w:pPr>
            <w:r w:rsidRPr="006414E6">
              <w:rPr>
                <w:rFonts w:cs="Times New Roman"/>
                <w:b/>
                <w:bCs/>
                <w:sz w:val="22"/>
              </w:rPr>
              <w:t>Smanjenje uvoza energije</w:t>
            </w:r>
          </w:p>
          <w:p w14:paraId="386EA238" w14:textId="77777777" w:rsidR="0068061D" w:rsidRPr="006414E6" w:rsidRDefault="0068061D" w:rsidP="006B211F">
            <w:pPr>
              <w:pStyle w:val="ListParagraph"/>
              <w:numPr>
                <w:ilvl w:val="0"/>
                <w:numId w:val="89"/>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Smanjenje uvoza električne energije</w:t>
            </w:r>
          </w:p>
        </w:tc>
      </w:tr>
      <w:tr w:rsidR="0068061D" w:rsidRPr="006414E6" w14:paraId="6EA5D4D2" w14:textId="77777777" w:rsidTr="006B211F">
        <w:trPr>
          <w:cnfStyle w:val="000000100000" w:firstRow="0" w:lastRow="0" w:firstColumn="0" w:lastColumn="0" w:oddVBand="0" w:evenVBand="0" w:oddHBand="1" w:evenHBand="0" w:firstRowFirstColumn="0" w:firstRowLastColumn="0" w:lastRowFirstColumn="0" w:lastRowLastColumn="0"/>
          <w:trHeight w:val="2344"/>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shd w:val="clear" w:color="auto" w:fill="auto"/>
          </w:tcPr>
          <w:p w14:paraId="6FB67FF0" w14:textId="77777777" w:rsidR="0068061D" w:rsidRPr="006414E6" w:rsidRDefault="0068061D" w:rsidP="006B211F">
            <w:pPr>
              <w:jc w:val="left"/>
              <w:rPr>
                <w:rFonts w:cs="Times New Roman"/>
                <w:sz w:val="22"/>
              </w:rPr>
            </w:pPr>
            <w:r w:rsidRPr="006414E6">
              <w:rPr>
                <w:rFonts w:cs="Times New Roman"/>
                <w:sz w:val="22"/>
              </w:rPr>
              <w:lastRenderedPageBreak/>
              <w:t xml:space="preserve">Solidarnost izvršavanjem obveza Republike Hrvatske prema međunarodnim sporazumima, u okviru politike Europske unije, kao dio naše povijesne odgovornosti i doprinos globalnim ciljevima </w:t>
            </w:r>
          </w:p>
          <w:p w14:paraId="4757154B" w14:textId="77777777" w:rsidR="0068061D" w:rsidRPr="006414E6" w:rsidRDefault="0068061D" w:rsidP="006B211F">
            <w:pPr>
              <w:jc w:val="left"/>
              <w:rPr>
                <w:rFonts w:cs="Times New Roman"/>
                <w:sz w:val="22"/>
              </w:rPr>
            </w:pPr>
          </w:p>
        </w:tc>
        <w:tc>
          <w:tcPr>
            <w:tcW w:w="6379" w:type="dxa"/>
            <w:shd w:val="clear" w:color="auto" w:fill="auto"/>
          </w:tcPr>
          <w:p w14:paraId="72D8C8DE" w14:textId="77777777" w:rsidR="0068061D" w:rsidRPr="006414E6" w:rsidRDefault="0068061D" w:rsidP="006B211F">
            <w:pPr>
              <w:pStyle w:val="ListParagraph"/>
              <w:numPr>
                <w:ilvl w:val="0"/>
                <w:numId w:val="89"/>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6414E6">
              <w:rPr>
                <w:rFonts w:cs="Times New Roman"/>
                <w:b/>
                <w:bCs/>
                <w:sz w:val="22"/>
              </w:rPr>
              <w:t>Ukupna emisija stakleničkih plinova</w:t>
            </w:r>
          </w:p>
          <w:p w14:paraId="019ED8B3" w14:textId="77777777" w:rsidR="0068061D" w:rsidRPr="006414E6" w:rsidRDefault="0068061D" w:rsidP="006B211F">
            <w:pPr>
              <w:pStyle w:val="ListParagraph"/>
              <w:numPr>
                <w:ilvl w:val="0"/>
                <w:numId w:val="89"/>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Emisija i odlivi po sektorima  (energetski sustav, industrija, promet, LULUCF (korištenje zemljišta, prenamjena korištenja zemljišta i šumarstvo), poljoprivreda, gospodarenje otpadom</w:t>
            </w:r>
          </w:p>
          <w:p w14:paraId="45EBFBCE" w14:textId="77777777" w:rsidR="0068061D" w:rsidRPr="006414E6" w:rsidRDefault="0068061D" w:rsidP="006B211F">
            <w:pPr>
              <w:pStyle w:val="ListParagraph"/>
              <w:numPr>
                <w:ilvl w:val="0"/>
                <w:numId w:val="89"/>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 xml:space="preserve">Emisija stakleničkih plinova ETS sektora </w:t>
            </w:r>
          </w:p>
          <w:p w14:paraId="0927F132" w14:textId="77777777" w:rsidR="0068061D" w:rsidRPr="006414E6" w:rsidRDefault="0068061D" w:rsidP="006B211F">
            <w:pPr>
              <w:pStyle w:val="ListParagraph"/>
              <w:numPr>
                <w:ilvl w:val="0"/>
                <w:numId w:val="89"/>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6414E6">
              <w:rPr>
                <w:rFonts w:cs="Times New Roman"/>
                <w:b/>
                <w:bCs/>
                <w:sz w:val="22"/>
              </w:rPr>
              <w:t xml:space="preserve">Emisija stakleničkih plinova sektora izvan ETS-a </w:t>
            </w:r>
          </w:p>
          <w:p w14:paraId="5C5CC48F" w14:textId="77777777" w:rsidR="0068061D" w:rsidRPr="006414E6" w:rsidRDefault="0068061D" w:rsidP="006B211F">
            <w:pPr>
              <w:pStyle w:val="ListParagraph"/>
              <w:numPr>
                <w:ilvl w:val="0"/>
                <w:numId w:val="89"/>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Razlika emisije stakleničkih plinova u odnosu na utvrđenu kvotu u sektorima izvan ETS-a</w:t>
            </w:r>
          </w:p>
          <w:p w14:paraId="6DED8108" w14:textId="77777777" w:rsidR="0068061D" w:rsidRPr="006414E6" w:rsidRDefault="0068061D" w:rsidP="006B211F">
            <w:pPr>
              <w:pStyle w:val="ListParagraph"/>
              <w:numPr>
                <w:ilvl w:val="0"/>
                <w:numId w:val="89"/>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Uložena sredstva u mjere provođenja tranzicije</w:t>
            </w:r>
          </w:p>
          <w:p w14:paraId="4B7BFD00" w14:textId="77777777" w:rsidR="0068061D" w:rsidRPr="006414E6" w:rsidRDefault="0068061D" w:rsidP="006B211F">
            <w:pPr>
              <w:pStyle w:val="ListParagraph"/>
              <w:numPr>
                <w:ilvl w:val="0"/>
                <w:numId w:val="89"/>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414E6">
              <w:rPr>
                <w:rFonts w:cs="Times New Roman"/>
                <w:sz w:val="22"/>
              </w:rPr>
              <w:t>Uložena sredstva za istraživanje,  razvoj  i inovacije</w:t>
            </w:r>
          </w:p>
        </w:tc>
      </w:tr>
      <w:tr w:rsidR="0068061D" w:rsidRPr="006414E6" w14:paraId="4267F248" w14:textId="77777777" w:rsidTr="006B211F">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tcBorders>
            <w:shd w:val="clear" w:color="auto" w:fill="auto"/>
          </w:tcPr>
          <w:p w14:paraId="6AE264BD" w14:textId="77777777" w:rsidR="0068061D" w:rsidRPr="006414E6" w:rsidRDefault="0068061D" w:rsidP="005027DD">
            <w:pPr>
              <w:pStyle w:val="Default"/>
              <w:spacing w:after="32"/>
              <w:rPr>
                <w:rFonts w:ascii="Times New Roman" w:hAnsi="Times New Roman" w:cs="Times New Roman"/>
                <w:sz w:val="22"/>
                <w:szCs w:val="22"/>
              </w:rPr>
            </w:pPr>
            <w:r w:rsidRPr="006414E6">
              <w:rPr>
                <w:rFonts w:ascii="Times New Roman" w:hAnsi="Times New Roman" w:cs="Times New Roman"/>
                <w:sz w:val="22"/>
                <w:szCs w:val="22"/>
              </w:rPr>
              <w:t>Smanjenje onečišćenja zraka i utjecaja na zdravlje.</w:t>
            </w:r>
          </w:p>
        </w:tc>
        <w:tc>
          <w:tcPr>
            <w:tcW w:w="6379" w:type="dxa"/>
            <w:shd w:val="clear" w:color="auto" w:fill="auto"/>
          </w:tcPr>
          <w:p w14:paraId="0A3F8898" w14:textId="77777777" w:rsidR="0068061D" w:rsidRPr="006414E6" w:rsidRDefault="0068061D" w:rsidP="006B211F">
            <w:pPr>
              <w:pStyle w:val="ListParagraph"/>
              <w:numPr>
                <w:ilvl w:val="0"/>
                <w:numId w:val="90"/>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414E6">
              <w:rPr>
                <w:rFonts w:cs="Times New Roman"/>
                <w:sz w:val="22"/>
              </w:rPr>
              <w:t xml:space="preserve">Broj gradova koje imaju prekoračenja propisane kvalitete zraka i provode Akcijske planove za poboljšanje kvalitete zraka, po onečišćujućim tvarima </w:t>
            </w:r>
          </w:p>
        </w:tc>
      </w:tr>
    </w:tbl>
    <w:p w14:paraId="61C6FDE3" w14:textId="77777777" w:rsidR="00B91F59" w:rsidRPr="006414E6" w:rsidRDefault="004E2317" w:rsidP="000F5595">
      <w:pPr>
        <w:rPr>
          <w:rFonts w:cs="Times New Roman"/>
        </w:rPr>
      </w:pPr>
      <w:r w:rsidRPr="006414E6">
        <w:rPr>
          <w:rFonts w:cs="Times New Roman"/>
        </w:rPr>
        <w:t xml:space="preserve">Navedeni pokazatelji usklađeni su s </w:t>
      </w:r>
      <w:r w:rsidR="00727C39" w:rsidRPr="006414E6">
        <w:rPr>
          <w:rFonts w:cs="Times New Roman"/>
        </w:rPr>
        <w:t xml:space="preserve">relevantnom </w:t>
      </w:r>
      <w:r w:rsidRPr="006414E6">
        <w:rPr>
          <w:rFonts w:cs="Times New Roman"/>
        </w:rPr>
        <w:t>listom nacionalnih pokazatelja iz Biblioteke pokazatelja za sustav strateškog planiranja i upravljanja razvojem Republike Hrvatske</w:t>
      </w:r>
      <w:r w:rsidR="00B91F59" w:rsidRPr="006414E6">
        <w:rPr>
          <w:rFonts w:cs="Times New Roman"/>
        </w:rPr>
        <w:t xml:space="preserve">.   </w:t>
      </w:r>
    </w:p>
    <w:p w14:paraId="3C15E855" w14:textId="07686A68" w:rsidR="005F78EF" w:rsidRPr="006414E6" w:rsidRDefault="006B211F" w:rsidP="00F415A7">
      <w:pPr>
        <w:pStyle w:val="Heading2"/>
      </w:pPr>
      <w:bookmarkStart w:id="336" w:name="_Toc39133326"/>
      <w:r w:rsidRPr="006414E6">
        <w:t>14.3.</w:t>
      </w:r>
      <w:r w:rsidR="00932561">
        <w:t xml:space="preserve"> </w:t>
      </w:r>
      <w:r w:rsidR="005F78EF" w:rsidRPr="006414E6">
        <w:t>PRAĆENJE, IZVJEŠTAVANJE I VERIFIKACIJA</w:t>
      </w:r>
      <w:bookmarkEnd w:id="336"/>
      <w:r w:rsidR="005F78EF" w:rsidRPr="006414E6">
        <w:t xml:space="preserve">  </w:t>
      </w:r>
    </w:p>
    <w:p w14:paraId="33273404" w14:textId="77777777" w:rsidR="00C40D78" w:rsidRPr="006414E6" w:rsidRDefault="00C40D78" w:rsidP="00C40D78">
      <w:pPr>
        <w:rPr>
          <w:rFonts w:cs="Times New Roman"/>
        </w:rPr>
      </w:pPr>
      <w:r w:rsidRPr="006414E6">
        <w:rPr>
          <w:rFonts w:cs="Times New Roman"/>
        </w:rPr>
        <w:t xml:space="preserve">Republika Hrvatska ima obvezu izvještavanja prema UNFCCC-u i prema Europskoj komisiji te prema nizu ostalih europskih i međunarodnih institucija. Nadležno ministarstvo će unaprijediti sustav praćenja, izvještavanja i verifikacije tako što će uspostaviti protokole razmjene podataka, raditi na uspostavi zajedničkih baza podataka i informacijskih sustava, definirati formate i sadržaje izvješća i kalendare izvještavanja. Svi podaci i izvješća koja se odnose na područje politike klimatskih promjena potvrđivat će se kroz sustav kako je prikazano na slici 14-1. Uvest će se obveza dvogodišnjeg izvještavanja napretka provedbe </w:t>
      </w:r>
      <w:proofErr w:type="spellStart"/>
      <w:r w:rsidRPr="006414E6">
        <w:rPr>
          <w:rFonts w:cs="Times New Roman"/>
        </w:rPr>
        <w:t>Niskougljične</w:t>
      </w:r>
      <w:proofErr w:type="spellEnd"/>
      <w:r w:rsidRPr="006414E6">
        <w:rPr>
          <w:rFonts w:cs="Times New Roman"/>
        </w:rPr>
        <w:t xml:space="preserve"> strategije po glavnim sektorima. </w:t>
      </w:r>
    </w:p>
    <w:p w14:paraId="512DD879" w14:textId="7DF245E2" w:rsidR="00532023" w:rsidRPr="006414E6" w:rsidRDefault="00D4789E" w:rsidP="006F7013">
      <w:pPr>
        <w:jc w:val="center"/>
        <w:rPr>
          <w:rFonts w:cs="Times New Roman"/>
        </w:rPr>
      </w:pPr>
      <w:r>
        <w:rPr>
          <w:rFonts w:cs="Times New Roman"/>
          <w:noProof/>
          <w:lang w:eastAsia="hr-HR"/>
        </w:rPr>
        <w:lastRenderedPageBreak/>
        <w:drawing>
          <wp:inline distT="0" distB="0" distL="0" distR="0" wp14:anchorId="526FFC7E" wp14:editId="7D5965B3">
            <wp:extent cx="5525271" cy="3667637"/>
            <wp:effectExtent l="0" t="0" r="0" b="952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4-1.png"/>
                    <pic:cNvPicPr/>
                  </pic:nvPicPr>
                  <pic:blipFill>
                    <a:blip r:embed="rId23">
                      <a:extLst>
                        <a:ext uri="{28A0092B-C50C-407E-A947-70E740481C1C}">
                          <a14:useLocalDpi xmlns:a14="http://schemas.microsoft.com/office/drawing/2010/main" val="0"/>
                        </a:ext>
                      </a:extLst>
                    </a:blip>
                    <a:stretch>
                      <a:fillRect/>
                    </a:stretch>
                  </pic:blipFill>
                  <pic:spPr>
                    <a:xfrm>
                      <a:off x="0" y="0"/>
                      <a:ext cx="5525271" cy="3667637"/>
                    </a:xfrm>
                    <a:prstGeom prst="rect">
                      <a:avLst/>
                    </a:prstGeom>
                  </pic:spPr>
                </pic:pic>
              </a:graphicData>
            </a:graphic>
          </wp:inline>
        </w:drawing>
      </w:r>
    </w:p>
    <w:p w14:paraId="66D68D1F" w14:textId="77777777" w:rsidR="00532023" w:rsidRPr="006414E6" w:rsidRDefault="00532023" w:rsidP="00532023">
      <w:pPr>
        <w:pStyle w:val="Slika"/>
        <w:spacing w:before="120"/>
        <w:jc w:val="center"/>
        <w:rPr>
          <w:rFonts w:ascii="Times New Roman" w:hAnsi="Times New Roman"/>
          <w:i/>
        </w:rPr>
      </w:pPr>
      <w:bookmarkStart w:id="337" w:name="_Toc484158379"/>
      <w:bookmarkStart w:id="338" w:name="_Toc33417104"/>
      <w:r w:rsidRPr="006414E6">
        <w:rPr>
          <w:rFonts w:ascii="Times New Roman" w:hAnsi="Times New Roman"/>
          <w:i/>
        </w:rPr>
        <w:t>Slika 14-1: Shema protoka podataka i izvješća</w:t>
      </w:r>
      <w:bookmarkEnd w:id="337"/>
      <w:bookmarkEnd w:id="338"/>
    </w:p>
    <w:p w14:paraId="65515B63" w14:textId="77777777" w:rsidR="00C40D78" w:rsidRPr="006414E6" w:rsidRDefault="00C40D78" w:rsidP="00C40D78">
      <w:pPr>
        <w:rPr>
          <w:rFonts w:cs="Times New Roman"/>
        </w:rPr>
      </w:pPr>
      <w:proofErr w:type="spellStart"/>
      <w:r w:rsidRPr="006414E6">
        <w:rPr>
          <w:rFonts w:cs="Times New Roman"/>
        </w:rPr>
        <w:t>Niskougljična</w:t>
      </w:r>
      <w:proofErr w:type="spellEnd"/>
      <w:r w:rsidRPr="006414E6">
        <w:rPr>
          <w:rFonts w:cs="Times New Roman"/>
        </w:rPr>
        <w:t xml:space="preserve"> strategija predlaže uvođenje računovodstvenog praćenja troškova za provedbu </w:t>
      </w:r>
      <w:proofErr w:type="spellStart"/>
      <w:r w:rsidRPr="006414E6">
        <w:rPr>
          <w:rFonts w:cs="Times New Roman"/>
        </w:rPr>
        <w:t>Niskougljične</w:t>
      </w:r>
      <w:proofErr w:type="spellEnd"/>
      <w:r w:rsidRPr="006414E6">
        <w:rPr>
          <w:rFonts w:cs="Times New Roman"/>
        </w:rPr>
        <w:t xml:space="preserve"> strategije, što znači, po svim horizontalnim sektorima. Praksu posebno iskazivanja troškova za klimatske aktivnosti ima EU, u okviru ESI fondova.</w:t>
      </w:r>
    </w:p>
    <w:p w14:paraId="12607538" w14:textId="77777777" w:rsidR="00271509" w:rsidRPr="006414E6" w:rsidRDefault="00A13B1B" w:rsidP="006B211F">
      <w:pPr>
        <w:rPr>
          <w:rFonts w:cs="Times New Roman"/>
        </w:rPr>
      </w:pPr>
      <w:r w:rsidRPr="006414E6">
        <w:rPr>
          <w:rFonts w:cs="Times New Roman"/>
        </w:rPr>
        <w:t>Pored izvješća koji su dio klimatske energetske politike, s</w:t>
      </w:r>
      <w:r w:rsidR="00271509" w:rsidRPr="006414E6">
        <w:rPr>
          <w:rFonts w:cs="Times New Roman"/>
        </w:rPr>
        <w:t xml:space="preserve">ustav strateškog planiranja i upravljanja razvojem Republike Hrvatske će se </w:t>
      </w:r>
      <w:r w:rsidRPr="006414E6">
        <w:rPr>
          <w:rFonts w:cs="Times New Roman"/>
        </w:rPr>
        <w:t xml:space="preserve">također </w:t>
      </w:r>
      <w:r w:rsidR="00271509" w:rsidRPr="006414E6">
        <w:rPr>
          <w:rFonts w:cs="Times New Roman"/>
        </w:rPr>
        <w:t xml:space="preserve">koristiti za praćenje i izvještavanje o provedbi </w:t>
      </w:r>
      <w:proofErr w:type="spellStart"/>
      <w:r w:rsidR="00271509" w:rsidRPr="006414E6">
        <w:rPr>
          <w:rFonts w:cs="Times New Roman"/>
        </w:rPr>
        <w:t>Niskougljične</w:t>
      </w:r>
      <w:proofErr w:type="spellEnd"/>
      <w:r w:rsidR="00271509" w:rsidRPr="006414E6">
        <w:rPr>
          <w:rFonts w:cs="Times New Roman"/>
        </w:rPr>
        <w:t xml:space="preserve"> strategije.</w:t>
      </w:r>
    </w:p>
    <w:p w14:paraId="3DD86091" w14:textId="3D2E6C49" w:rsidR="009867B3" w:rsidRPr="006414E6" w:rsidRDefault="006B211F" w:rsidP="00F415A7">
      <w:pPr>
        <w:pStyle w:val="Heading2"/>
      </w:pPr>
      <w:bookmarkStart w:id="339" w:name="_Toc39133327"/>
      <w:r w:rsidRPr="006414E6">
        <w:t>14.4.</w:t>
      </w:r>
      <w:r w:rsidR="00DB4117" w:rsidRPr="006414E6">
        <w:t xml:space="preserve"> </w:t>
      </w:r>
      <w:r w:rsidR="009867B3" w:rsidRPr="006414E6">
        <w:t>STRATEŠKA PROCJENA UTJECAJA NISKOUGLJIČNE STRATEGIJE NA OKOLIŠ</w:t>
      </w:r>
      <w:bookmarkEnd w:id="332"/>
      <w:bookmarkEnd w:id="333"/>
      <w:bookmarkEnd w:id="339"/>
    </w:p>
    <w:p w14:paraId="07F5A2EA" w14:textId="77777777" w:rsidR="00EA1E84" w:rsidRPr="006414E6" w:rsidRDefault="00EA1E84" w:rsidP="00C052BB">
      <w:pPr>
        <w:rPr>
          <w:rFonts w:cs="Times New Roman"/>
        </w:rPr>
      </w:pPr>
      <w:r w:rsidRPr="006414E6">
        <w:rPr>
          <w:rFonts w:cs="Times New Roman"/>
        </w:rPr>
        <w:t xml:space="preserve">Sukladno propisima koji uređuju zaštitu okoliša, za </w:t>
      </w:r>
      <w:proofErr w:type="spellStart"/>
      <w:r w:rsidRPr="006414E6">
        <w:rPr>
          <w:rFonts w:cs="Times New Roman"/>
        </w:rPr>
        <w:t>Niskougljičnu</w:t>
      </w:r>
      <w:proofErr w:type="spellEnd"/>
      <w:r w:rsidRPr="006414E6">
        <w:rPr>
          <w:rFonts w:cs="Times New Roman"/>
        </w:rPr>
        <w:t xml:space="preserve"> strategiju provodi se postupak strateške procjene utjecaja na okoliš. Podloga za postupak strateške procjene utjecaja na okoliš je Strateška studija utjecaja na okoliš Strategije </w:t>
      </w:r>
      <w:proofErr w:type="spellStart"/>
      <w:r w:rsidRPr="006414E6">
        <w:rPr>
          <w:rFonts w:cs="Times New Roman"/>
        </w:rPr>
        <w:t>niskougljičnog</w:t>
      </w:r>
      <w:proofErr w:type="spellEnd"/>
      <w:r w:rsidRPr="006414E6">
        <w:rPr>
          <w:rFonts w:cs="Times New Roman"/>
        </w:rPr>
        <w:t xml:space="preserve"> razvoja Republike Hrvatske za razdoblje do 2030. s pogledom na 2050. godinu. Sastavni dio Strateške studije i Glavna ocjena prihvatljivosti </w:t>
      </w:r>
      <w:proofErr w:type="spellStart"/>
      <w:r w:rsidRPr="006414E6">
        <w:rPr>
          <w:rFonts w:cs="Times New Roman"/>
        </w:rPr>
        <w:t>Niskougljične</w:t>
      </w:r>
      <w:proofErr w:type="spellEnd"/>
      <w:r w:rsidRPr="006414E6">
        <w:rPr>
          <w:rFonts w:cs="Times New Roman"/>
        </w:rPr>
        <w:t xml:space="preserve"> strategije za ekološku mrežu. </w:t>
      </w:r>
    </w:p>
    <w:p w14:paraId="093B8A65" w14:textId="458E65EF" w:rsidR="00EA1E84" w:rsidRPr="006414E6" w:rsidRDefault="00EA1E84" w:rsidP="00C052BB">
      <w:pPr>
        <w:rPr>
          <w:rFonts w:cs="Times New Roman"/>
        </w:rPr>
      </w:pPr>
      <w:r w:rsidRPr="006414E6">
        <w:rPr>
          <w:rFonts w:cs="Times New Roman"/>
        </w:rPr>
        <w:t xml:space="preserve">U Strateškoj studiji sagledan je mogući utjecaj </w:t>
      </w:r>
      <w:proofErr w:type="spellStart"/>
      <w:r w:rsidRPr="006414E6">
        <w:rPr>
          <w:rFonts w:cs="Times New Roman"/>
        </w:rPr>
        <w:t>Niskougljične</w:t>
      </w:r>
      <w:proofErr w:type="spellEnd"/>
      <w:r w:rsidRPr="006414E6">
        <w:rPr>
          <w:rFonts w:cs="Times New Roman"/>
        </w:rPr>
        <w:t xml:space="preserve"> strategije na okoliš i ekološku mrežu te su </w:t>
      </w:r>
      <w:r w:rsidR="00D96901" w:rsidRPr="006414E6">
        <w:rPr>
          <w:rFonts w:cs="Times New Roman"/>
        </w:rPr>
        <w:t>određene mjere zaštite okoliša</w:t>
      </w:r>
      <w:r w:rsidRPr="006414E6">
        <w:rPr>
          <w:rFonts w:cs="Times New Roman"/>
        </w:rPr>
        <w:t xml:space="preserve"> i mjere ublažavanja utjecaja na ciljeve očuvanja i cjelovitost područja ekološk</w:t>
      </w:r>
      <w:r w:rsidR="00C561C6" w:rsidRPr="006414E6">
        <w:rPr>
          <w:rFonts w:cs="Times New Roman"/>
        </w:rPr>
        <w:t>e mreže</w:t>
      </w:r>
      <w:r w:rsidRPr="006414E6">
        <w:rPr>
          <w:rFonts w:cs="Times New Roman"/>
        </w:rPr>
        <w:t xml:space="preserve">. </w:t>
      </w:r>
      <w:r w:rsidR="00D96901" w:rsidRPr="006414E6">
        <w:rPr>
          <w:rFonts w:cs="Times New Roman"/>
        </w:rPr>
        <w:t>Mjere zaštite okoliša navedene su u tablici 14-</w:t>
      </w:r>
      <w:r w:rsidR="0068061D" w:rsidRPr="006414E6">
        <w:rPr>
          <w:rFonts w:cs="Times New Roman"/>
        </w:rPr>
        <w:t>2</w:t>
      </w:r>
      <w:r w:rsidR="00D96901" w:rsidRPr="006414E6">
        <w:rPr>
          <w:rFonts w:cs="Times New Roman"/>
        </w:rPr>
        <w:t xml:space="preserve">, a mjere ublažavanja </w:t>
      </w:r>
      <w:r w:rsidR="00C7606C" w:rsidRPr="006414E6">
        <w:rPr>
          <w:rFonts w:cs="Times New Roman"/>
        </w:rPr>
        <w:t xml:space="preserve">negativnih </w:t>
      </w:r>
      <w:r w:rsidR="00D96901" w:rsidRPr="006414E6">
        <w:rPr>
          <w:rFonts w:cs="Times New Roman"/>
        </w:rPr>
        <w:t>utjecaja na ciljeve očuvanja i cjelovitost područja ekološke mreže navedene su u tablici 14-</w:t>
      </w:r>
      <w:r w:rsidR="0068061D" w:rsidRPr="006414E6">
        <w:rPr>
          <w:rFonts w:cs="Times New Roman"/>
        </w:rPr>
        <w:t>3</w:t>
      </w:r>
      <w:r w:rsidR="00D96901" w:rsidRPr="006414E6">
        <w:rPr>
          <w:rFonts w:cs="Times New Roman"/>
        </w:rPr>
        <w:t xml:space="preserve">. </w:t>
      </w:r>
    </w:p>
    <w:p w14:paraId="40E5D7AC" w14:textId="77777777" w:rsidR="006452A6" w:rsidRPr="00806692" w:rsidRDefault="006452A6" w:rsidP="00806692">
      <w:pPr>
        <w:rPr>
          <w:i/>
        </w:rPr>
      </w:pPr>
      <w:bookmarkStart w:id="340" w:name="_Hlk36541396"/>
      <w:r w:rsidRPr="00806692">
        <w:rPr>
          <w:i/>
        </w:rPr>
        <w:t>Tablica 14-</w:t>
      </w:r>
      <w:r w:rsidR="0068061D" w:rsidRPr="00806692">
        <w:rPr>
          <w:i/>
        </w:rPr>
        <w:t>2</w:t>
      </w:r>
      <w:r w:rsidRPr="00806692">
        <w:rPr>
          <w:i/>
        </w:rPr>
        <w:t xml:space="preserve">: </w:t>
      </w:r>
      <w:r w:rsidR="006834EA" w:rsidRPr="00806692">
        <w:rPr>
          <w:i/>
        </w:rPr>
        <w:tab/>
      </w:r>
      <w:r w:rsidRPr="00806692">
        <w:rPr>
          <w:i/>
        </w:rPr>
        <w:t>Mjere zaštite okoliša</w:t>
      </w:r>
    </w:p>
    <w:tbl>
      <w:tblPr>
        <w:tblStyle w:val="Izvjescetablica3"/>
        <w:tblW w:w="9067" w:type="dxa"/>
        <w:tblLook w:val="04A0" w:firstRow="1" w:lastRow="0" w:firstColumn="1" w:lastColumn="0" w:noHBand="0" w:noVBand="1"/>
      </w:tblPr>
      <w:tblGrid>
        <w:gridCol w:w="6516"/>
        <w:gridCol w:w="2551"/>
      </w:tblGrid>
      <w:tr w:rsidR="004F6674" w:rsidRPr="006414E6" w14:paraId="2327C523" w14:textId="77777777" w:rsidTr="008C2A8A">
        <w:trPr>
          <w:tblHeader/>
        </w:trPr>
        <w:tc>
          <w:tcPr>
            <w:tcW w:w="6516" w:type="dxa"/>
            <w:shd w:val="clear" w:color="auto" w:fill="EAF1DD"/>
            <w:vAlign w:val="center"/>
          </w:tcPr>
          <w:p w14:paraId="4C8FBA93" w14:textId="77777777" w:rsidR="004F6674" w:rsidRPr="006414E6" w:rsidRDefault="004F6674" w:rsidP="00C7606C">
            <w:pPr>
              <w:jc w:val="center"/>
              <w:rPr>
                <w:rFonts w:eastAsia="Calibri" w:cs="Times New Roman"/>
                <w:szCs w:val="24"/>
              </w:rPr>
            </w:pPr>
            <w:r w:rsidRPr="006414E6">
              <w:rPr>
                <w:rFonts w:eastAsia="Calibri" w:cs="Times New Roman"/>
                <w:szCs w:val="24"/>
              </w:rPr>
              <w:t>MJERA</w:t>
            </w:r>
          </w:p>
        </w:tc>
        <w:tc>
          <w:tcPr>
            <w:tcW w:w="2551" w:type="dxa"/>
            <w:shd w:val="clear" w:color="auto" w:fill="EAF1DD"/>
            <w:vAlign w:val="center"/>
          </w:tcPr>
          <w:p w14:paraId="40F5721E" w14:textId="77777777" w:rsidR="004F6674" w:rsidRPr="006414E6" w:rsidRDefault="004F6674" w:rsidP="00620D27">
            <w:pPr>
              <w:jc w:val="center"/>
              <w:rPr>
                <w:rFonts w:eastAsia="Calibri" w:cs="Times New Roman"/>
                <w:szCs w:val="24"/>
              </w:rPr>
            </w:pPr>
            <w:r w:rsidRPr="006414E6">
              <w:rPr>
                <w:rFonts w:eastAsia="Calibri" w:cs="Times New Roman"/>
                <w:szCs w:val="24"/>
              </w:rPr>
              <w:t>NOSITELJ PROVEDBE</w:t>
            </w:r>
          </w:p>
        </w:tc>
      </w:tr>
      <w:tr w:rsidR="004F6674" w:rsidRPr="006414E6" w14:paraId="5D68B7C7" w14:textId="77777777" w:rsidTr="00C37D83">
        <w:tc>
          <w:tcPr>
            <w:tcW w:w="6516" w:type="dxa"/>
            <w:vAlign w:val="center"/>
          </w:tcPr>
          <w:p w14:paraId="47C29A32" w14:textId="77777777" w:rsidR="004F6674" w:rsidRPr="006414E6" w:rsidRDefault="004F6674" w:rsidP="004F6674">
            <w:pPr>
              <w:rPr>
                <w:rFonts w:eastAsia="Calibri" w:cs="Times New Roman"/>
                <w:szCs w:val="24"/>
              </w:rPr>
            </w:pPr>
            <w:r w:rsidRPr="006414E6">
              <w:rPr>
                <w:rFonts w:eastAsia="Calibri" w:cs="Times New Roman"/>
                <w:color w:val="000000"/>
                <w:kern w:val="24"/>
                <w:szCs w:val="24"/>
              </w:rPr>
              <w:t>Sadnju „energetskih“ kultura na poljoprivrednim površinama planirati na način da i dalje bude raspoloživa potrebna količina površina za proizvodnju hrane.</w:t>
            </w:r>
          </w:p>
        </w:tc>
        <w:tc>
          <w:tcPr>
            <w:tcW w:w="2551" w:type="dxa"/>
            <w:vAlign w:val="center"/>
          </w:tcPr>
          <w:p w14:paraId="0FA238C6" w14:textId="77777777" w:rsidR="004F6674" w:rsidRPr="006414E6" w:rsidRDefault="004F6674" w:rsidP="004F6674">
            <w:pPr>
              <w:rPr>
                <w:rFonts w:eastAsia="Calibri" w:cs="Times New Roman"/>
                <w:szCs w:val="24"/>
              </w:rPr>
            </w:pPr>
            <w:r w:rsidRPr="006414E6">
              <w:rPr>
                <w:rFonts w:eastAsia="Calibri" w:cs="Times New Roman"/>
                <w:color w:val="000000"/>
                <w:kern w:val="24"/>
                <w:szCs w:val="24"/>
              </w:rPr>
              <w:t>Ministarstvo nadležno za poljoprivredu</w:t>
            </w:r>
          </w:p>
        </w:tc>
      </w:tr>
      <w:tr w:rsidR="004F6674" w:rsidRPr="006414E6" w14:paraId="13B7A1A6" w14:textId="77777777" w:rsidTr="00C37D83">
        <w:trPr>
          <w:trHeight w:val="686"/>
        </w:trPr>
        <w:tc>
          <w:tcPr>
            <w:tcW w:w="6516" w:type="dxa"/>
            <w:vAlign w:val="center"/>
          </w:tcPr>
          <w:p w14:paraId="155F41CF" w14:textId="77777777" w:rsidR="004F6674" w:rsidRPr="006414E6" w:rsidRDefault="004F6674" w:rsidP="004F6674">
            <w:pPr>
              <w:rPr>
                <w:rFonts w:eastAsia="Calibri" w:cs="Times New Roman"/>
                <w:szCs w:val="24"/>
              </w:rPr>
            </w:pPr>
            <w:r w:rsidRPr="006414E6">
              <w:rPr>
                <w:rFonts w:eastAsia="Calibri" w:cs="Times New Roman"/>
                <w:color w:val="000000"/>
                <w:kern w:val="24"/>
                <w:szCs w:val="24"/>
              </w:rPr>
              <w:lastRenderedPageBreak/>
              <w:t>Prilikom odabira novih kultivara s povećanom otpornošću i smanjenom potrebom za hranjivima, prednost dati autohtonim vrstama.</w:t>
            </w:r>
          </w:p>
        </w:tc>
        <w:tc>
          <w:tcPr>
            <w:tcW w:w="2551" w:type="dxa"/>
            <w:vAlign w:val="center"/>
          </w:tcPr>
          <w:p w14:paraId="026C66FD" w14:textId="77777777" w:rsidR="004F6674" w:rsidRPr="006414E6" w:rsidRDefault="004F6674" w:rsidP="004F6674">
            <w:pPr>
              <w:rPr>
                <w:rFonts w:eastAsia="Calibri" w:cs="Times New Roman"/>
                <w:szCs w:val="24"/>
              </w:rPr>
            </w:pPr>
            <w:r w:rsidRPr="006414E6">
              <w:rPr>
                <w:rFonts w:eastAsia="Calibri" w:cs="Times New Roman"/>
                <w:color w:val="000000"/>
                <w:kern w:val="24"/>
                <w:szCs w:val="24"/>
              </w:rPr>
              <w:t>Ministarstvo nadležno za poljoprivredu</w:t>
            </w:r>
          </w:p>
        </w:tc>
      </w:tr>
      <w:tr w:rsidR="004F6674" w:rsidRPr="006414E6" w14:paraId="73F3AA78" w14:textId="77777777" w:rsidTr="00C37D83">
        <w:tc>
          <w:tcPr>
            <w:tcW w:w="6516" w:type="dxa"/>
            <w:vAlign w:val="center"/>
          </w:tcPr>
          <w:p w14:paraId="06C11775" w14:textId="77777777" w:rsidR="004F6674" w:rsidRPr="006414E6" w:rsidRDefault="004F6674" w:rsidP="004F6674">
            <w:pPr>
              <w:rPr>
                <w:rFonts w:eastAsia="Calibri" w:cs="Times New Roman"/>
                <w:szCs w:val="24"/>
              </w:rPr>
            </w:pPr>
            <w:r w:rsidRPr="006414E6">
              <w:rPr>
                <w:rFonts w:eastAsia="Calibri" w:cs="Times New Roman"/>
                <w:color w:val="000000"/>
                <w:kern w:val="24"/>
                <w:szCs w:val="24"/>
              </w:rPr>
              <w:t>Prilikom realizacije mjere unutar sektora Poljoprivreda, koja glasi: „</w:t>
            </w:r>
            <w:r w:rsidRPr="006414E6">
              <w:rPr>
                <w:rFonts w:eastAsia="Calibri" w:cs="Times New Roman"/>
                <w:i/>
                <w:color w:val="000000"/>
                <w:kern w:val="24"/>
                <w:szCs w:val="24"/>
              </w:rPr>
              <w:t>Poboljšanje uzgojno-selekcijskog programa, zdravlja i dobrobiti životinja</w:t>
            </w:r>
            <w:r w:rsidRPr="006414E6">
              <w:rPr>
                <w:rFonts w:eastAsia="Calibri" w:cs="Times New Roman"/>
                <w:color w:val="000000"/>
                <w:kern w:val="24"/>
                <w:szCs w:val="24"/>
              </w:rPr>
              <w:t xml:space="preserve">“, paziti na očuvanje genetske raznolikosti kako ne bi došlo do </w:t>
            </w:r>
            <w:proofErr w:type="spellStart"/>
            <w:r w:rsidRPr="006414E6">
              <w:rPr>
                <w:rFonts w:eastAsia="Calibri" w:cs="Times New Roman"/>
                <w:i/>
                <w:kern w:val="24"/>
                <w:szCs w:val="24"/>
              </w:rPr>
              <w:t>inbreeding</w:t>
            </w:r>
            <w:proofErr w:type="spellEnd"/>
            <w:r w:rsidRPr="006414E6">
              <w:rPr>
                <w:rFonts w:eastAsia="Calibri" w:cs="Times New Roman"/>
                <w:kern w:val="24"/>
                <w:szCs w:val="24"/>
              </w:rPr>
              <w:t>-</w:t>
            </w:r>
            <w:r w:rsidRPr="006414E6">
              <w:rPr>
                <w:rFonts w:eastAsia="Calibri" w:cs="Times New Roman"/>
                <w:color w:val="000000"/>
                <w:kern w:val="24"/>
                <w:szCs w:val="24"/>
              </w:rPr>
              <w:t>a (križanja u srodstvu).</w:t>
            </w:r>
          </w:p>
        </w:tc>
        <w:tc>
          <w:tcPr>
            <w:tcW w:w="2551" w:type="dxa"/>
            <w:vAlign w:val="center"/>
          </w:tcPr>
          <w:p w14:paraId="38AD85D2" w14:textId="77777777" w:rsidR="004F6674" w:rsidRPr="006414E6" w:rsidRDefault="004F6674" w:rsidP="004F6674">
            <w:pPr>
              <w:rPr>
                <w:rFonts w:eastAsia="Calibri" w:cs="Times New Roman"/>
                <w:szCs w:val="24"/>
              </w:rPr>
            </w:pPr>
            <w:r w:rsidRPr="006414E6">
              <w:rPr>
                <w:rFonts w:eastAsia="Calibri" w:cs="Times New Roman"/>
                <w:color w:val="000000"/>
                <w:kern w:val="24"/>
                <w:szCs w:val="24"/>
              </w:rPr>
              <w:t>Ministarstvo nadležno za poljoprivredu</w:t>
            </w:r>
          </w:p>
        </w:tc>
      </w:tr>
      <w:tr w:rsidR="004F6674" w:rsidRPr="006414E6" w14:paraId="1BBADFE5" w14:textId="77777777" w:rsidTr="00C37D83">
        <w:tc>
          <w:tcPr>
            <w:tcW w:w="6516" w:type="dxa"/>
          </w:tcPr>
          <w:p w14:paraId="42925F88" w14:textId="77777777" w:rsidR="004F6674" w:rsidRPr="006414E6" w:rsidRDefault="004F6674" w:rsidP="004F6674">
            <w:pPr>
              <w:rPr>
                <w:rFonts w:eastAsia="Calibri" w:cs="Times New Roman"/>
                <w:szCs w:val="24"/>
              </w:rPr>
            </w:pPr>
            <w:r w:rsidRPr="006414E6">
              <w:rPr>
                <w:rFonts w:eastAsia="Calibri" w:cs="Times New Roman"/>
                <w:szCs w:val="24"/>
              </w:rPr>
              <w:t>Izraditi smjernice za procjene utjecaja vjetroelektrana, fotonaponskog sustava i hidroelektrana na kulturnu baštinu i kulturni krajobraz, pri čemu treba uzeti u obzir i možebitne indirektne utjecaje</w:t>
            </w:r>
            <w:r w:rsidRPr="006414E6">
              <w:rPr>
                <w:rFonts w:eastAsia="Calibri" w:cs="Times New Roman"/>
                <w:color w:val="FF0000"/>
                <w:szCs w:val="24"/>
              </w:rPr>
              <w:t>.</w:t>
            </w:r>
          </w:p>
        </w:tc>
        <w:tc>
          <w:tcPr>
            <w:tcW w:w="2551" w:type="dxa"/>
            <w:vAlign w:val="center"/>
          </w:tcPr>
          <w:p w14:paraId="0467C345" w14:textId="77777777" w:rsidR="004F6674" w:rsidRPr="006414E6" w:rsidRDefault="004F6674" w:rsidP="004F6674">
            <w:pPr>
              <w:rPr>
                <w:rFonts w:eastAsia="Calibri" w:cs="Times New Roman"/>
                <w:szCs w:val="24"/>
              </w:rPr>
            </w:pPr>
            <w:r w:rsidRPr="006414E6">
              <w:rPr>
                <w:rFonts w:eastAsia="Calibri" w:cs="Times New Roman"/>
                <w:color w:val="000000"/>
                <w:kern w:val="24"/>
                <w:szCs w:val="24"/>
              </w:rPr>
              <w:t>Ministarstvo nadležno za zaštitu kulture</w:t>
            </w:r>
          </w:p>
        </w:tc>
      </w:tr>
      <w:tr w:rsidR="004F6674" w:rsidRPr="006414E6" w14:paraId="6B19062A" w14:textId="77777777" w:rsidTr="00C37D83">
        <w:tc>
          <w:tcPr>
            <w:tcW w:w="6516" w:type="dxa"/>
            <w:vAlign w:val="center"/>
          </w:tcPr>
          <w:p w14:paraId="6B2C2603" w14:textId="77777777" w:rsidR="004F6674" w:rsidRPr="006414E6" w:rsidRDefault="004F6674" w:rsidP="004F6674">
            <w:pPr>
              <w:suppressAutoHyphens/>
              <w:rPr>
                <w:rFonts w:eastAsia="Times New Roman" w:cs="Times New Roman"/>
                <w:szCs w:val="24"/>
                <w:lang w:eastAsia="ar-SA"/>
              </w:rPr>
            </w:pPr>
            <w:r w:rsidRPr="006414E6">
              <w:rPr>
                <w:rFonts w:eastAsia="Times New Roman" w:cs="Times New Roman"/>
                <w:szCs w:val="24"/>
                <w:lang w:eastAsia="ar-SA"/>
              </w:rPr>
              <w:t>Izraditi Krajobraznu osnovu Hrvatske i utvrditi standarde i kriterije za provođenje tipološke klasifikacije i ocjene karaktera krajobraza na svim razinama (n</w:t>
            </w:r>
            <w:r w:rsidR="006834EA" w:rsidRPr="006414E6">
              <w:rPr>
                <w:rFonts w:eastAsia="Times New Roman" w:cs="Times New Roman"/>
                <w:szCs w:val="24"/>
                <w:lang w:eastAsia="ar-SA"/>
              </w:rPr>
              <w:t>acionalna, regionalna, lokalna).</w:t>
            </w:r>
          </w:p>
        </w:tc>
        <w:tc>
          <w:tcPr>
            <w:tcW w:w="2551" w:type="dxa"/>
            <w:vAlign w:val="center"/>
          </w:tcPr>
          <w:p w14:paraId="17BB286B" w14:textId="77777777" w:rsidR="004F6674" w:rsidRPr="006414E6" w:rsidRDefault="004F6674" w:rsidP="004F6674">
            <w:pPr>
              <w:rPr>
                <w:rFonts w:eastAsia="Calibri" w:cs="Times New Roman"/>
                <w:color w:val="000000"/>
                <w:kern w:val="24"/>
                <w:szCs w:val="24"/>
              </w:rPr>
            </w:pPr>
            <w:r w:rsidRPr="006414E6">
              <w:rPr>
                <w:rFonts w:eastAsia="Calibri" w:cs="Times New Roman"/>
                <w:color w:val="000000"/>
                <w:kern w:val="24"/>
                <w:szCs w:val="24"/>
              </w:rPr>
              <w:t>Ministarstvo nadležno za zaštitu okoliša,</w:t>
            </w:r>
          </w:p>
          <w:p w14:paraId="020A56EF" w14:textId="77777777" w:rsidR="004F6674" w:rsidRPr="006414E6" w:rsidRDefault="004F6674" w:rsidP="004F6674">
            <w:pPr>
              <w:rPr>
                <w:rFonts w:eastAsia="Calibri" w:cs="Times New Roman"/>
                <w:color w:val="000000"/>
                <w:kern w:val="24"/>
                <w:szCs w:val="24"/>
              </w:rPr>
            </w:pPr>
            <w:r w:rsidRPr="006414E6">
              <w:rPr>
                <w:rFonts w:eastAsia="Calibri" w:cs="Times New Roman"/>
                <w:color w:val="000000"/>
                <w:kern w:val="24"/>
                <w:szCs w:val="24"/>
              </w:rPr>
              <w:t>Ministarstvo nadležno za urbanizam i gradnju,</w:t>
            </w:r>
          </w:p>
          <w:p w14:paraId="61B5BBEE" w14:textId="77777777" w:rsidR="004F6674" w:rsidRPr="006414E6" w:rsidRDefault="004F6674" w:rsidP="004F6674">
            <w:pPr>
              <w:rPr>
                <w:rFonts w:eastAsia="Calibri" w:cs="Times New Roman"/>
                <w:color w:val="000000"/>
                <w:kern w:val="24"/>
                <w:szCs w:val="24"/>
              </w:rPr>
            </w:pPr>
            <w:r w:rsidRPr="006414E6">
              <w:rPr>
                <w:rFonts w:eastAsia="Calibri" w:cs="Times New Roman"/>
                <w:color w:val="000000"/>
                <w:kern w:val="24"/>
                <w:szCs w:val="24"/>
              </w:rPr>
              <w:t>Ministarstvo nadležno</w:t>
            </w:r>
          </w:p>
          <w:p w14:paraId="13F780A4" w14:textId="77777777" w:rsidR="004F6674" w:rsidRPr="006414E6" w:rsidRDefault="004F6674" w:rsidP="004F6674">
            <w:pPr>
              <w:rPr>
                <w:rFonts w:eastAsia="Calibri" w:cs="Times New Roman"/>
                <w:color w:val="000000"/>
                <w:kern w:val="24"/>
                <w:szCs w:val="24"/>
              </w:rPr>
            </w:pPr>
            <w:r w:rsidRPr="006414E6">
              <w:rPr>
                <w:rFonts w:eastAsia="Calibri" w:cs="Times New Roman"/>
                <w:color w:val="000000"/>
                <w:kern w:val="24"/>
                <w:szCs w:val="24"/>
              </w:rPr>
              <w:t>za poslove prostornog uređenja,</w:t>
            </w:r>
          </w:p>
          <w:p w14:paraId="190EE2A1" w14:textId="77777777" w:rsidR="004F6674" w:rsidRPr="006414E6" w:rsidRDefault="004F6674" w:rsidP="004F6674">
            <w:pPr>
              <w:rPr>
                <w:rFonts w:eastAsia="Calibri" w:cs="Times New Roman"/>
                <w:color w:val="000000"/>
                <w:kern w:val="24"/>
                <w:szCs w:val="24"/>
              </w:rPr>
            </w:pPr>
            <w:r w:rsidRPr="006414E6">
              <w:rPr>
                <w:rFonts w:eastAsia="Calibri" w:cs="Times New Roman"/>
                <w:color w:val="000000"/>
                <w:kern w:val="24"/>
                <w:szCs w:val="24"/>
              </w:rPr>
              <w:t>Ministarstvo nadležno za zaštitu kulture</w:t>
            </w:r>
          </w:p>
        </w:tc>
      </w:tr>
      <w:tr w:rsidR="004F6674" w:rsidRPr="006414E6" w14:paraId="4773EACA" w14:textId="77777777" w:rsidTr="00C37D83">
        <w:tc>
          <w:tcPr>
            <w:tcW w:w="6516" w:type="dxa"/>
          </w:tcPr>
          <w:p w14:paraId="3A0E64A1" w14:textId="77777777" w:rsidR="004F6674" w:rsidRPr="006414E6" w:rsidRDefault="004F6674" w:rsidP="004F6674">
            <w:pPr>
              <w:rPr>
                <w:rFonts w:eastAsia="Calibri" w:cs="Times New Roman"/>
                <w:szCs w:val="24"/>
              </w:rPr>
            </w:pPr>
            <w:r w:rsidRPr="006414E6">
              <w:rPr>
                <w:rFonts w:eastAsia="Calibri" w:cs="Times New Roman"/>
                <w:szCs w:val="24"/>
              </w:rPr>
              <w:t xml:space="preserve">Kod projektiranja sustava hlađenja </w:t>
            </w:r>
            <w:proofErr w:type="spellStart"/>
            <w:r w:rsidRPr="006414E6">
              <w:rPr>
                <w:rFonts w:eastAsia="Calibri" w:cs="Times New Roman"/>
                <w:szCs w:val="24"/>
              </w:rPr>
              <w:t>kogeneracijskih</w:t>
            </w:r>
            <w:proofErr w:type="spellEnd"/>
            <w:r w:rsidRPr="006414E6">
              <w:rPr>
                <w:rFonts w:eastAsia="Calibri" w:cs="Times New Roman"/>
                <w:szCs w:val="24"/>
              </w:rPr>
              <w:t xml:space="preserve"> postrojenja, u obzir uzeti negativne učinke termičkog onečišćenja na okoliš i mogućnosti za smanjenje topl</w:t>
            </w:r>
            <w:r w:rsidR="006834EA" w:rsidRPr="006414E6">
              <w:rPr>
                <w:rFonts w:eastAsia="Calibri" w:cs="Times New Roman"/>
                <w:szCs w:val="24"/>
              </w:rPr>
              <w:t>ine raspršene u površinsku vodu.</w:t>
            </w:r>
          </w:p>
        </w:tc>
        <w:tc>
          <w:tcPr>
            <w:tcW w:w="2551" w:type="dxa"/>
            <w:vAlign w:val="center"/>
          </w:tcPr>
          <w:p w14:paraId="55375991" w14:textId="77777777" w:rsidR="004F6674" w:rsidRPr="006414E6" w:rsidRDefault="004F6674" w:rsidP="004F6674">
            <w:pPr>
              <w:rPr>
                <w:rFonts w:eastAsia="Calibri" w:cs="Times New Roman"/>
                <w:szCs w:val="24"/>
              </w:rPr>
            </w:pPr>
            <w:r w:rsidRPr="006414E6">
              <w:rPr>
                <w:rFonts w:eastAsia="Calibri" w:cs="Times New Roman"/>
                <w:szCs w:val="24"/>
              </w:rPr>
              <w:t>Investitor</w:t>
            </w:r>
          </w:p>
        </w:tc>
      </w:tr>
    </w:tbl>
    <w:p w14:paraId="29BD3EA1" w14:textId="55ADC1A3" w:rsidR="004F6674" w:rsidRPr="006414E6" w:rsidRDefault="004F6674" w:rsidP="00BA36E6">
      <w:pPr>
        <w:spacing w:after="120"/>
        <w:ind w:left="1418" w:hanging="1418"/>
        <w:rPr>
          <w:rFonts w:eastAsia="Times New Roman" w:cs="Times New Roman"/>
          <w:i/>
          <w:iCs/>
          <w:szCs w:val="24"/>
          <w:lang w:eastAsia="ar-SA"/>
        </w:rPr>
      </w:pPr>
      <w:r w:rsidRPr="006414E6">
        <w:rPr>
          <w:rFonts w:cs="Times New Roman"/>
          <w:i/>
          <w:szCs w:val="24"/>
        </w:rPr>
        <w:t xml:space="preserve">Tablica 14-3: </w:t>
      </w:r>
      <w:r w:rsidRPr="006414E6">
        <w:rPr>
          <w:rFonts w:eastAsia="Times New Roman" w:cs="Times New Roman"/>
          <w:i/>
          <w:iCs/>
          <w:szCs w:val="24"/>
          <w:lang w:eastAsia="ar-SA"/>
        </w:rPr>
        <w:t xml:space="preserve">Mjere ublažavanja </w:t>
      </w:r>
      <w:r w:rsidR="00C7606C" w:rsidRPr="006414E6">
        <w:rPr>
          <w:rFonts w:eastAsia="Times New Roman" w:cs="Times New Roman"/>
          <w:i/>
          <w:iCs/>
          <w:szCs w:val="24"/>
          <w:lang w:eastAsia="ar-SA"/>
        </w:rPr>
        <w:t xml:space="preserve">negativnih </w:t>
      </w:r>
      <w:r w:rsidRPr="006414E6">
        <w:rPr>
          <w:rFonts w:eastAsia="Times New Roman" w:cs="Times New Roman"/>
          <w:i/>
          <w:iCs/>
          <w:szCs w:val="24"/>
          <w:lang w:eastAsia="ar-SA"/>
        </w:rPr>
        <w:t>utjecaja na ciljeve očuvanja i cjelovitost područja</w:t>
      </w:r>
      <w:r w:rsidR="00BA36E6" w:rsidRPr="006414E6">
        <w:rPr>
          <w:rFonts w:eastAsia="Times New Roman" w:cs="Times New Roman"/>
          <w:i/>
          <w:iCs/>
          <w:szCs w:val="24"/>
          <w:lang w:eastAsia="ar-SA"/>
        </w:rPr>
        <w:t xml:space="preserve"> </w:t>
      </w:r>
      <w:r w:rsidRPr="006414E6">
        <w:rPr>
          <w:rFonts w:eastAsia="Times New Roman" w:cs="Times New Roman"/>
          <w:i/>
          <w:iCs/>
          <w:szCs w:val="24"/>
          <w:lang w:eastAsia="ar-SA"/>
        </w:rPr>
        <w:t>ekološke mreže</w:t>
      </w:r>
    </w:p>
    <w:tbl>
      <w:tblPr>
        <w:tblStyle w:val="TableGrid"/>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2551"/>
      </w:tblGrid>
      <w:tr w:rsidR="00556C34" w:rsidRPr="006414E6" w14:paraId="22B28D4D" w14:textId="77777777" w:rsidTr="00556C34">
        <w:trPr>
          <w:cnfStyle w:val="100000000000" w:firstRow="1" w:lastRow="0" w:firstColumn="0" w:lastColumn="0" w:oddVBand="0" w:evenVBand="0" w:oddHBand="0" w:evenHBand="0" w:firstRowFirstColumn="0" w:firstRowLastColumn="0" w:lastRowFirstColumn="0" w:lastRowLastColumn="0"/>
          <w:trHeight w:val="556"/>
          <w:tblHeader/>
        </w:trPr>
        <w:tc>
          <w:tcPr>
            <w:cnfStyle w:val="001000000000" w:firstRow="0" w:lastRow="0" w:firstColumn="1" w:lastColumn="0" w:oddVBand="0" w:evenVBand="0" w:oddHBand="0" w:evenHBand="0" w:firstRowFirstColumn="0" w:firstRowLastColumn="0" w:lastRowFirstColumn="0" w:lastRowLastColumn="0"/>
            <w:tcW w:w="6520" w:type="dxa"/>
            <w:tcBorders>
              <w:bottom w:val="none" w:sz="0" w:space="0" w:color="auto"/>
              <w:right w:val="none" w:sz="0" w:space="0" w:color="auto"/>
            </w:tcBorders>
            <w:shd w:val="clear" w:color="auto" w:fill="EAF1DD"/>
          </w:tcPr>
          <w:p w14:paraId="66BA7B77" w14:textId="73C24180" w:rsidR="001932C5" w:rsidRPr="006414E6" w:rsidRDefault="000A711B" w:rsidP="0021090A">
            <w:pPr>
              <w:pStyle w:val="tekstutablicama"/>
              <w:rPr>
                <w:rFonts w:ascii="Times New Roman" w:hAnsi="Times New Roman" w:cs="Times New Roman"/>
                <w:sz w:val="24"/>
                <w:szCs w:val="24"/>
              </w:rPr>
            </w:pPr>
            <w:r w:rsidRPr="006414E6">
              <w:rPr>
                <w:rFonts w:ascii="Times New Roman" w:hAnsi="Times New Roman" w:cs="Times New Roman"/>
                <w:sz w:val="24"/>
                <w:szCs w:val="24"/>
              </w:rPr>
              <w:t>MJERA</w:t>
            </w:r>
          </w:p>
        </w:tc>
        <w:tc>
          <w:tcPr>
            <w:tcW w:w="2551" w:type="dxa"/>
            <w:tcBorders>
              <w:left w:val="none" w:sz="0" w:space="0" w:color="auto"/>
            </w:tcBorders>
            <w:shd w:val="clear" w:color="auto" w:fill="EAF1DD"/>
          </w:tcPr>
          <w:p w14:paraId="1B1F815D" w14:textId="065A2ABB" w:rsidR="001932C5" w:rsidRPr="006414E6" w:rsidRDefault="000A711B" w:rsidP="0021090A">
            <w:pPr>
              <w:pStyle w:val="tekstutablicama"/>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14E6">
              <w:rPr>
                <w:rFonts w:ascii="Times New Roman" w:hAnsi="Times New Roman" w:cs="Times New Roman"/>
                <w:sz w:val="24"/>
                <w:szCs w:val="24"/>
              </w:rPr>
              <w:t>NOSITELJ PROVEDBE</w:t>
            </w:r>
          </w:p>
        </w:tc>
      </w:tr>
      <w:tr w:rsidR="00556C34" w:rsidRPr="006414E6" w14:paraId="10F59831" w14:textId="77777777" w:rsidTr="00556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tcBorders>
              <w:top w:val="none" w:sz="0" w:space="0" w:color="auto"/>
              <w:bottom w:val="none" w:sz="0" w:space="0" w:color="auto"/>
            </w:tcBorders>
            <w:shd w:val="clear" w:color="auto" w:fill="auto"/>
            <w:vAlign w:val="center"/>
          </w:tcPr>
          <w:p w14:paraId="36E38583" w14:textId="77777777" w:rsidR="001932C5" w:rsidRPr="006414E6" w:rsidRDefault="001932C5" w:rsidP="0021090A">
            <w:pPr>
              <w:pStyle w:val="tekstutablicama"/>
              <w:rPr>
                <w:rFonts w:ascii="Times New Roman" w:hAnsi="Times New Roman" w:cs="Times New Roman"/>
                <w:sz w:val="24"/>
                <w:szCs w:val="24"/>
              </w:rPr>
            </w:pPr>
            <w:r w:rsidRPr="006414E6">
              <w:rPr>
                <w:rFonts w:ascii="Times New Roman" w:hAnsi="Times New Roman" w:cs="Times New Roman"/>
                <w:sz w:val="24"/>
                <w:szCs w:val="24"/>
              </w:rPr>
              <w:t>Izraditi smjernice o zonama osjetljivosti za vjetroelektrane i izraditi karte osjetljivosti prostora Republike Hrvatske, obzirom na ptice, šišmiše, i morske sisavce te unutar zona visoke osjetljivosti izbjegavati planiranje objekata vjetroelektrana.</w:t>
            </w:r>
          </w:p>
        </w:tc>
        <w:tc>
          <w:tcPr>
            <w:tcW w:w="2551" w:type="dxa"/>
            <w:shd w:val="clear" w:color="auto" w:fill="auto"/>
            <w:vAlign w:val="center"/>
          </w:tcPr>
          <w:p w14:paraId="6BA69A1B" w14:textId="77777777" w:rsidR="00C7606C" w:rsidRPr="006414E6" w:rsidRDefault="001932C5" w:rsidP="0021090A">
            <w:pPr>
              <w:pStyle w:val="tekstutablicama"/>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14E6">
              <w:rPr>
                <w:rFonts w:ascii="Times New Roman" w:hAnsi="Times New Roman" w:cs="Times New Roman"/>
                <w:sz w:val="24"/>
                <w:szCs w:val="24"/>
              </w:rPr>
              <w:t xml:space="preserve">Ministarstvo nadležno za energetiku, </w:t>
            </w:r>
          </w:p>
          <w:p w14:paraId="5185B174" w14:textId="1F611D1D" w:rsidR="001932C5" w:rsidRPr="006414E6" w:rsidRDefault="001932C5" w:rsidP="0021090A">
            <w:pPr>
              <w:pStyle w:val="tekstutablicama"/>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14E6">
              <w:rPr>
                <w:rFonts w:ascii="Times New Roman" w:hAnsi="Times New Roman" w:cs="Times New Roman"/>
                <w:sz w:val="24"/>
                <w:szCs w:val="24"/>
              </w:rPr>
              <w:t>Ministarstvo nadležno za prirodu</w:t>
            </w:r>
          </w:p>
        </w:tc>
      </w:tr>
      <w:tr w:rsidR="00556C34" w:rsidRPr="006414E6" w14:paraId="466199AA" w14:textId="77777777" w:rsidTr="00556C34">
        <w:tc>
          <w:tcPr>
            <w:cnfStyle w:val="001000000000" w:firstRow="0" w:lastRow="0" w:firstColumn="1" w:lastColumn="0" w:oddVBand="0" w:evenVBand="0" w:oddHBand="0" w:evenHBand="0" w:firstRowFirstColumn="0" w:firstRowLastColumn="0" w:lastRowFirstColumn="0" w:lastRowLastColumn="0"/>
            <w:tcW w:w="6520" w:type="dxa"/>
            <w:tcBorders>
              <w:top w:val="none" w:sz="0" w:space="0" w:color="auto"/>
              <w:bottom w:val="none" w:sz="0" w:space="0" w:color="auto"/>
            </w:tcBorders>
            <w:shd w:val="clear" w:color="auto" w:fill="auto"/>
            <w:vAlign w:val="center"/>
          </w:tcPr>
          <w:p w14:paraId="38DC5C9A" w14:textId="77777777" w:rsidR="001932C5" w:rsidRPr="006414E6" w:rsidRDefault="001932C5" w:rsidP="0021090A">
            <w:pPr>
              <w:pStyle w:val="tekstutablicama"/>
              <w:rPr>
                <w:rFonts w:ascii="Times New Roman" w:hAnsi="Times New Roman" w:cs="Times New Roman"/>
                <w:sz w:val="24"/>
                <w:szCs w:val="24"/>
              </w:rPr>
            </w:pPr>
            <w:r w:rsidRPr="006414E6">
              <w:rPr>
                <w:rFonts w:ascii="Times New Roman" w:hAnsi="Times New Roman" w:cs="Times New Roman"/>
                <w:kern w:val="24"/>
                <w:sz w:val="24"/>
                <w:szCs w:val="24"/>
              </w:rPr>
              <w:t>Izraditi karte zona osjetljivosti vrsta/stanišnih tipova vezanih uz vodene i močvarne ekosustave u odnosu na iskorištavanje hidroenergije i izgradnju hidroelektrana te unutar zona visoke osjetljivosti izbjegavati planiranje hidroenergetskih objekata</w:t>
            </w:r>
          </w:p>
        </w:tc>
        <w:tc>
          <w:tcPr>
            <w:tcW w:w="2551" w:type="dxa"/>
            <w:shd w:val="clear" w:color="auto" w:fill="auto"/>
            <w:vAlign w:val="center"/>
          </w:tcPr>
          <w:p w14:paraId="78D960C0" w14:textId="77777777" w:rsidR="001932C5" w:rsidRPr="006414E6" w:rsidRDefault="001932C5" w:rsidP="0021090A">
            <w:pPr>
              <w:pStyle w:val="tekstutablicama"/>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14E6">
              <w:rPr>
                <w:rFonts w:ascii="Times New Roman" w:hAnsi="Times New Roman" w:cs="Times New Roman"/>
                <w:sz w:val="24"/>
                <w:szCs w:val="24"/>
              </w:rPr>
              <w:t>Ministarstvo nadležno za energetiku, Ministarstvo nadležno za prirodu</w:t>
            </w:r>
          </w:p>
        </w:tc>
      </w:tr>
      <w:tr w:rsidR="00556C34" w:rsidRPr="006414E6" w14:paraId="093B2202" w14:textId="77777777" w:rsidTr="00556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tcBorders>
              <w:top w:val="none" w:sz="0" w:space="0" w:color="auto"/>
              <w:bottom w:val="none" w:sz="0" w:space="0" w:color="auto"/>
            </w:tcBorders>
            <w:shd w:val="clear" w:color="auto" w:fill="auto"/>
            <w:vAlign w:val="center"/>
          </w:tcPr>
          <w:p w14:paraId="2950E899" w14:textId="77777777" w:rsidR="001932C5" w:rsidRPr="006414E6" w:rsidRDefault="001932C5" w:rsidP="0021090A">
            <w:pPr>
              <w:pStyle w:val="tekstutablicama"/>
              <w:rPr>
                <w:rFonts w:ascii="Times New Roman" w:hAnsi="Times New Roman" w:cs="Times New Roman"/>
                <w:sz w:val="24"/>
                <w:szCs w:val="24"/>
              </w:rPr>
            </w:pPr>
            <w:r w:rsidRPr="006414E6">
              <w:rPr>
                <w:rFonts w:ascii="Times New Roman" w:hAnsi="Times New Roman" w:cs="Times New Roman"/>
                <w:kern w:val="24"/>
                <w:sz w:val="24"/>
                <w:szCs w:val="24"/>
              </w:rPr>
              <w:t>Dugoročno planirati uspostavu sustava monitoringa stradalih vrsta te definirati način razmjene prikupljenih podataka za postojeće i planirane vjetroelektrane.</w:t>
            </w:r>
          </w:p>
        </w:tc>
        <w:tc>
          <w:tcPr>
            <w:tcW w:w="2551" w:type="dxa"/>
            <w:shd w:val="clear" w:color="auto" w:fill="auto"/>
            <w:vAlign w:val="center"/>
          </w:tcPr>
          <w:p w14:paraId="1FF80742" w14:textId="77777777" w:rsidR="001932C5" w:rsidRPr="006414E6" w:rsidRDefault="001932C5" w:rsidP="0021090A">
            <w:pPr>
              <w:pStyle w:val="tekstutablicama"/>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14E6">
              <w:rPr>
                <w:rFonts w:ascii="Times New Roman" w:hAnsi="Times New Roman" w:cs="Times New Roman"/>
                <w:sz w:val="24"/>
                <w:szCs w:val="24"/>
              </w:rPr>
              <w:t>Ministarstvo nadležno za energetiku, Ministarstvo nadležno za prirodu</w:t>
            </w:r>
          </w:p>
        </w:tc>
      </w:tr>
      <w:tr w:rsidR="00556C34" w:rsidRPr="006414E6" w14:paraId="7911A6A5" w14:textId="77777777" w:rsidTr="00556C34">
        <w:trPr>
          <w:trHeight w:val="1230"/>
        </w:trPr>
        <w:tc>
          <w:tcPr>
            <w:cnfStyle w:val="001000000000" w:firstRow="0" w:lastRow="0" w:firstColumn="1" w:lastColumn="0" w:oddVBand="0" w:evenVBand="0" w:oddHBand="0" w:evenHBand="0" w:firstRowFirstColumn="0" w:firstRowLastColumn="0" w:lastRowFirstColumn="0" w:lastRowLastColumn="0"/>
            <w:tcW w:w="6520" w:type="dxa"/>
            <w:tcBorders>
              <w:top w:val="none" w:sz="0" w:space="0" w:color="auto"/>
              <w:bottom w:val="none" w:sz="0" w:space="0" w:color="auto"/>
            </w:tcBorders>
            <w:shd w:val="clear" w:color="auto" w:fill="auto"/>
            <w:vAlign w:val="center"/>
          </w:tcPr>
          <w:p w14:paraId="3C944E97" w14:textId="77777777" w:rsidR="001932C5" w:rsidRPr="006414E6" w:rsidRDefault="001932C5" w:rsidP="0021090A">
            <w:pPr>
              <w:pStyle w:val="tekstutablicama"/>
              <w:rPr>
                <w:rFonts w:ascii="Times New Roman" w:hAnsi="Times New Roman" w:cs="Times New Roman"/>
                <w:sz w:val="24"/>
                <w:szCs w:val="24"/>
              </w:rPr>
            </w:pPr>
            <w:r w:rsidRPr="006414E6">
              <w:rPr>
                <w:rFonts w:ascii="Times New Roman" w:hAnsi="Times New Roman" w:cs="Times New Roman"/>
                <w:sz w:val="24"/>
                <w:szCs w:val="24"/>
              </w:rPr>
              <w:t>Izraditi smjernice za procjenu kumulativnih utjecaja izgradnje hidroelektrana prilagođenu vrstama i stanišnim tipovima Republike Hrvatske.</w:t>
            </w:r>
          </w:p>
        </w:tc>
        <w:tc>
          <w:tcPr>
            <w:tcW w:w="2551" w:type="dxa"/>
            <w:shd w:val="clear" w:color="auto" w:fill="auto"/>
            <w:vAlign w:val="center"/>
          </w:tcPr>
          <w:p w14:paraId="2097C29C" w14:textId="77777777" w:rsidR="001932C5" w:rsidRPr="006414E6" w:rsidRDefault="001932C5" w:rsidP="0021090A">
            <w:pPr>
              <w:pStyle w:val="tekstutablicama"/>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14E6">
              <w:rPr>
                <w:rFonts w:ascii="Times New Roman" w:hAnsi="Times New Roman" w:cs="Times New Roman"/>
                <w:sz w:val="24"/>
                <w:szCs w:val="24"/>
              </w:rPr>
              <w:t>Ministarstvo nadležno za energetiku, Ministarstvo nadležno za prirodu</w:t>
            </w:r>
          </w:p>
        </w:tc>
      </w:tr>
      <w:tr w:rsidR="00556C34" w:rsidRPr="006414E6" w14:paraId="12620485" w14:textId="77777777" w:rsidTr="00556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tcBorders>
              <w:top w:val="none" w:sz="0" w:space="0" w:color="auto"/>
              <w:bottom w:val="none" w:sz="0" w:space="0" w:color="auto"/>
            </w:tcBorders>
            <w:shd w:val="clear" w:color="auto" w:fill="auto"/>
          </w:tcPr>
          <w:p w14:paraId="35330F30" w14:textId="77777777" w:rsidR="001932C5" w:rsidRPr="006414E6" w:rsidRDefault="001932C5" w:rsidP="0021090A">
            <w:pPr>
              <w:pStyle w:val="tekstutablicama"/>
              <w:rPr>
                <w:rFonts w:ascii="Times New Roman" w:hAnsi="Times New Roman" w:cs="Times New Roman"/>
                <w:sz w:val="24"/>
                <w:szCs w:val="24"/>
              </w:rPr>
            </w:pPr>
            <w:r w:rsidRPr="006414E6">
              <w:rPr>
                <w:rFonts w:ascii="Times New Roman" w:hAnsi="Times New Roman" w:cs="Times New Roman"/>
                <w:sz w:val="24"/>
                <w:szCs w:val="24"/>
              </w:rPr>
              <w:t xml:space="preserve">Prilikom planiranja </w:t>
            </w:r>
            <w:proofErr w:type="spellStart"/>
            <w:r w:rsidRPr="006414E6">
              <w:rPr>
                <w:rFonts w:ascii="Times New Roman" w:hAnsi="Times New Roman" w:cs="Times New Roman"/>
                <w:sz w:val="24"/>
                <w:szCs w:val="24"/>
              </w:rPr>
              <w:t>hidromelioracijskih</w:t>
            </w:r>
            <w:proofErr w:type="spellEnd"/>
            <w:r w:rsidRPr="006414E6">
              <w:rPr>
                <w:rFonts w:ascii="Times New Roman" w:hAnsi="Times New Roman" w:cs="Times New Roman"/>
                <w:sz w:val="24"/>
                <w:szCs w:val="24"/>
              </w:rPr>
              <w:t xml:space="preserve"> zahvata i sustava zaštite od nepogoda (obrana od poplava) te hidroelektrana pri izradi studije isplativosti ili izvedivosti (eng. </w:t>
            </w:r>
            <w:proofErr w:type="spellStart"/>
            <w:r w:rsidRPr="006414E6">
              <w:rPr>
                <w:rFonts w:ascii="Times New Roman" w:hAnsi="Times New Roman" w:cs="Times New Roman"/>
                <w:i/>
                <w:sz w:val="24"/>
                <w:szCs w:val="24"/>
              </w:rPr>
              <w:t>Feasibility</w:t>
            </w:r>
            <w:proofErr w:type="spellEnd"/>
            <w:r w:rsidRPr="006414E6">
              <w:rPr>
                <w:rFonts w:ascii="Times New Roman" w:hAnsi="Times New Roman" w:cs="Times New Roman"/>
                <w:i/>
                <w:sz w:val="24"/>
                <w:szCs w:val="24"/>
              </w:rPr>
              <w:t xml:space="preserve"> </w:t>
            </w:r>
            <w:proofErr w:type="spellStart"/>
            <w:r w:rsidRPr="006414E6">
              <w:rPr>
                <w:rFonts w:ascii="Times New Roman" w:hAnsi="Times New Roman" w:cs="Times New Roman"/>
                <w:i/>
                <w:sz w:val="24"/>
                <w:szCs w:val="24"/>
              </w:rPr>
              <w:t>study</w:t>
            </w:r>
            <w:proofErr w:type="spellEnd"/>
            <w:r w:rsidRPr="006414E6">
              <w:rPr>
                <w:rFonts w:ascii="Times New Roman" w:hAnsi="Times New Roman" w:cs="Times New Roman"/>
                <w:sz w:val="24"/>
                <w:szCs w:val="24"/>
              </w:rPr>
              <w:t xml:space="preserve">) uzeti u obzir i vrednovanje usluga ekosustava (eng. </w:t>
            </w:r>
            <w:proofErr w:type="spellStart"/>
            <w:r w:rsidRPr="006414E6">
              <w:rPr>
                <w:rFonts w:ascii="Times New Roman" w:hAnsi="Times New Roman" w:cs="Times New Roman"/>
                <w:i/>
                <w:sz w:val="24"/>
                <w:szCs w:val="24"/>
              </w:rPr>
              <w:t>Ecosystem</w:t>
            </w:r>
            <w:proofErr w:type="spellEnd"/>
            <w:r w:rsidRPr="006414E6">
              <w:rPr>
                <w:rFonts w:ascii="Times New Roman" w:hAnsi="Times New Roman" w:cs="Times New Roman"/>
                <w:i/>
                <w:sz w:val="24"/>
                <w:szCs w:val="24"/>
              </w:rPr>
              <w:t xml:space="preserve"> </w:t>
            </w:r>
            <w:proofErr w:type="spellStart"/>
            <w:r w:rsidRPr="006414E6">
              <w:rPr>
                <w:rFonts w:ascii="Times New Roman" w:hAnsi="Times New Roman" w:cs="Times New Roman"/>
                <w:i/>
                <w:sz w:val="24"/>
                <w:szCs w:val="24"/>
              </w:rPr>
              <w:t>services</w:t>
            </w:r>
            <w:proofErr w:type="spellEnd"/>
            <w:r w:rsidRPr="006414E6">
              <w:rPr>
                <w:rFonts w:ascii="Times New Roman" w:hAnsi="Times New Roman" w:cs="Times New Roman"/>
                <w:sz w:val="24"/>
                <w:szCs w:val="24"/>
              </w:rPr>
              <w:t xml:space="preserve">), osobito u smislu analize vrijednosti očuvanih poplavnih područja koja ublažavaju klimatske promjene (prirodne retencije za prihvat </w:t>
            </w:r>
            <w:r w:rsidRPr="006414E6">
              <w:rPr>
                <w:rFonts w:ascii="Times New Roman" w:hAnsi="Times New Roman" w:cs="Times New Roman"/>
                <w:sz w:val="24"/>
                <w:szCs w:val="24"/>
              </w:rPr>
              <w:lastRenderedPageBreak/>
              <w:t xml:space="preserve">poplavnih valova) i vežu stakleničke plinove (močvare i šumski ekosustavi). Ova mjera provodit će se nakon projekta kartiranja i procjene vrijednosti ekosustava </w:t>
            </w:r>
            <w:r w:rsidRPr="006414E6">
              <w:rPr>
                <w:rFonts w:ascii="Times New Roman" w:eastAsiaTheme="minorEastAsia" w:hAnsi="Times New Roman" w:cs="Times New Roman"/>
                <w:kern w:val="24"/>
                <w:sz w:val="24"/>
                <w:szCs w:val="24"/>
              </w:rPr>
              <w:t>te izrade priručnika za vrednovanje usluge ekosustava,</w:t>
            </w:r>
            <w:r w:rsidRPr="006414E6">
              <w:rPr>
                <w:rFonts w:ascii="Times New Roman" w:hAnsi="Times New Roman" w:cs="Times New Roman"/>
                <w:sz w:val="24"/>
                <w:szCs w:val="24"/>
              </w:rPr>
              <w:t xml:space="preserve"> koji će provesti Ministarstvo nadležno za prirodu (do 2023. g.).</w:t>
            </w:r>
          </w:p>
        </w:tc>
        <w:tc>
          <w:tcPr>
            <w:tcW w:w="2551" w:type="dxa"/>
            <w:shd w:val="clear" w:color="auto" w:fill="auto"/>
            <w:vAlign w:val="center"/>
          </w:tcPr>
          <w:p w14:paraId="02DA7909" w14:textId="77777777" w:rsidR="001932C5" w:rsidRPr="006414E6" w:rsidRDefault="001932C5" w:rsidP="0021090A">
            <w:pPr>
              <w:pStyle w:val="tekstutablicam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414E6">
              <w:rPr>
                <w:rFonts w:ascii="Times New Roman" w:hAnsi="Times New Roman" w:cs="Times New Roman"/>
                <w:sz w:val="24"/>
                <w:szCs w:val="24"/>
              </w:rPr>
              <w:lastRenderedPageBreak/>
              <w:t>Investitor</w:t>
            </w:r>
          </w:p>
        </w:tc>
      </w:tr>
      <w:tr w:rsidR="00556C34" w:rsidRPr="006414E6" w14:paraId="255B8C22" w14:textId="77777777" w:rsidTr="00556C34">
        <w:tc>
          <w:tcPr>
            <w:cnfStyle w:val="001000000000" w:firstRow="0" w:lastRow="0" w:firstColumn="1" w:lastColumn="0" w:oddVBand="0" w:evenVBand="0" w:oddHBand="0" w:evenHBand="0" w:firstRowFirstColumn="0" w:firstRowLastColumn="0" w:lastRowFirstColumn="0" w:lastRowLastColumn="0"/>
            <w:tcW w:w="6520" w:type="dxa"/>
            <w:tcBorders>
              <w:top w:val="none" w:sz="0" w:space="0" w:color="auto"/>
            </w:tcBorders>
            <w:shd w:val="clear" w:color="auto" w:fill="auto"/>
            <w:vAlign w:val="center"/>
          </w:tcPr>
          <w:p w14:paraId="55542946" w14:textId="77777777" w:rsidR="001932C5" w:rsidRPr="006414E6" w:rsidRDefault="001932C5" w:rsidP="0021090A">
            <w:pPr>
              <w:pStyle w:val="tekstutablicama"/>
              <w:rPr>
                <w:rFonts w:ascii="Times New Roman" w:hAnsi="Times New Roman" w:cs="Times New Roman"/>
                <w:sz w:val="24"/>
                <w:szCs w:val="24"/>
              </w:rPr>
            </w:pPr>
            <w:r w:rsidRPr="006414E6">
              <w:rPr>
                <w:rFonts w:ascii="Times New Roman" w:hAnsi="Times New Roman" w:cs="Times New Roman"/>
                <w:sz w:val="24"/>
                <w:szCs w:val="24"/>
              </w:rPr>
              <w:t>Izraditi smjernice o zonama osjetljivosti za FN sustave i izraditi karte osjetljivosti prostora Republike Hrvatske, obzirom na ugrožena i rijetka staništa i o njima ovisne vrste.</w:t>
            </w:r>
          </w:p>
        </w:tc>
        <w:tc>
          <w:tcPr>
            <w:tcW w:w="2551" w:type="dxa"/>
            <w:shd w:val="clear" w:color="auto" w:fill="auto"/>
            <w:vAlign w:val="center"/>
          </w:tcPr>
          <w:p w14:paraId="18C053CD" w14:textId="77777777" w:rsidR="001932C5" w:rsidRPr="006414E6" w:rsidRDefault="001932C5" w:rsidP="0021090A">
            <w:pPr>
              <w:pStyle w:val="tekstutablicama"/>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414E6">
              <w:rPr>
                <w:rFonts w:ascii="Times New Roman" w:hAnsi="Times New Roman" w:cs="Times New Roman"/>
                <w:sz w:val="24"/>
                <w:szCs w:val="24"/>
              </w:rPr>
              <w:t>Ministarstvo nadležno za energetiku, Ministarstvo nadležno za prirodu</w:t>
            </w:r>
          </w:p>
        </w:tc>
      </w:tr>
    </w:tbl>
    <w:bookmarkEnd w:id="340"/>
    <w:p w14:paraId="0821A0BA" w14:textId="77777777" w:rsidR="006452A6" w:rsidRPr="006414E6" w:rsidRDefault="006452A6" w:rsidP="006452A6">
      <w:pPr>
        <w:rPr>
          <w:rFonts w:cs="Times New Roman"/>
        </w:rPr>
      </w:pPr>
      <w:r w:rsidRPr="006414E6">
        <w:rPr>
          <w:rFonts w:cs="Times New Roman"/>
        </w:rPr>
        <w:t xml:space="preserve">Uz primjenu mjera zaštite okoliša i mjera ublažavanja negativnih utjecaja na ciljeve očuvanja i cjelovitost područja ekološke mreže, Strategija </w:t>
      </w:r>
      <w:proofErr w:type="spellStart"/>
      <w:r w:rsidRPr="006414E6">
        <w:rPr>
          <w:rFonts w:cs="Times New Roman"/>
        </w:rPr>
        <w:t>niskougljičnog</w:t>
      </w:r>
      <w:proofErr w:type="spellEnd"/>
      <w:r w:rsidRPr="006414E6">
        <w:rPr>
          <w:rFonts w:cs="Times New Roman"/>
        </w:rPr>
        <w:t xml:space="preserve"> razvoja Republike Hrvatske do 2030. s pogledom na 2050. godinu prihvatljiva je za okoliš i ekološku mrežu.</w:t>
      </w:r>
    </w:p>
    <w:p w14:paraId="005E4843" w14:textId="38754BBD" w:rsidR="00522861" w:rsidRPr="00806692" w:rsidRDefault="00311FED" w:rsidP="00F415A7">
      <w:pPr>
        <w:pStyle w:val="Heading1"/>
      </w:pPr>
      <w:bookmarkStart w:id="341" w:name="_Toc39133328"/>
      <w:r w:rsidRPr="00806692">
        <w:t>PRILOG I</w:t>
      </w:r>
      <w:r w:rsidR="00B37DF8" w:rsidRPr="00806692">
        <w:t>.</w:t>
      </w:r>
      <w:r w:rsidR="007937D9" w:rsidRPr="00806692">
        <w:t xml:space="preserve">  -  </w:t>
      </w:r>
      <w:r w:rsidR="00522861" w:rsidRPr="00806692">
        <w:t>OPIS REFERENTNOG SCENARIJA (NUR)</w:t>
      </w:r>
      <w:bookmarkEnd w:id="341"/>
    </w:p>
    <w:p w14:paraId="6E0D6738" w14:textId="77777777" w:rsidR="00522861" w:rsidRPr="006414E6" w:rsidRDefault="00522861" w:rsidP="00F415A7">
      <w:pPr>
        <w:pStyle w:val="Heading2"/>
      </w:pPr>
      <w:bookmarkStart w:id="342" w:name="_Toc436823716"/>
      <w:bookmarkStart w:id="343" w:name="_Toc434968018"/>
      <w:bookmarkStart w:id="344" w:name="_Toc39133329"/>
      <w:bookmarkStart w:id="345" w:name="_Toc20841328"/>
      <w:bookmarkStart w:id="346" w:name="_Toc20841434"/>
      <w:r w:rsidRPr="006414E6">
        <w:t xml:space="preserve">I.1. </w:t>
      </w:r>
      <w:r w:rsidRPr="006414E6">
        <w:tab/>
        <w:t>ENERGETSKA POSTROJENJA</w:t>
      </w:r>
      <w:bookmarkEnd w:id="342"/>
      <w:bookmarkEnd w:id="343"/>
      <w:bookmarkEnd w:id="344"/>
    </w:p>
    <w:p w14:paraId="4458CABA" w14:textId="77777777" w:rsidR="00522861" w:rsidRPr="006414E6" w:rsidRDefault="00522861" w:rsidP="00522861">
      <w:pPr>
        <w:rPr>
          <w:rFonts w:cs="Times New Roman"/>
          <w:u w:val="single"/>
        </w:rPr>
      </w:pPr>
      <w:r w:rsidRPr="006414E6">
        <w:rPr>
          <w:rFonts w:cs="Times New Roman"/>
          <w:u w:val="single"/>
        </w:rPr>
        <w:t>Neposredna potrošnja energije</w:t>
      </w:r>
    </w:p>
    <w:p w14:paraId="738F21C9" w14:textId="77777777" w:rsidR="00522861" w:rsidRPr="006414E6" w:rsidRDefault="00522861" w:rsidP="00522861">
      <w:pPr>
        <w:rPr>
          <w:rFonts w:cs="Times New Roman"/>
        </w:rPr>
      </w:pPr>
      <w:r w:rsidRPr="006414E6">
        <w:rPr>
          <w:rFonts w:cs="Times New Roman"/>
        </w:rPr>
        <w:t>U Referentnom scenariju (NUR), neposredna potrošnja energije do 2030. godine raste za ukupno 5%, a zatim se smanjuje za 10% do 2050. godine, promatrano u odnosu na razinu neposredne potrošnje energije u 2018. godini.</w:t>
      </w:r>
    </w:p>
    <w:p w14:paraId="636E472D" w14:textId="77777777" w:rsidR="00522861" w:rsidRPr="006414E6" w:rsidRDefault="00522861" w:rsidP="00522861">
      <w:pPr>
        <w:rPr>
          <w:rFonts w:cs="Times New Roman"/>
        </w:rPr>
      </w:pPr>
      <w:r w:rsidRPr="006414E6">
        <w:rPr>
          <w:rFonts w:cs="Times New Roman"/>
        </w:rPr>
        <w:t>Mijenja se struktura utrošenih oblika energije. Očekuje se porast udjela električne energije, prirodnog plina i vodika, a smanjuje se udio krutih i tekućih fosilnih goriva. Ukupni udio fosilnih goriva opada sa na 54,0% u 2030. godini i na 49,2% u 2050. godini.</w:t>
      </w:r>
    </w:p>
    <w:p w14:paraId="536BE470" w14:textId="77777777" w:rsidR="00522861" w:rsidRPr="006414E6" w:rsidRDefault="00522861" w:rsidP="00522861">
      <w:pPr>
        <w:rPr>
          <w:rFonts w:cs="Times New Roman"/>
        </w:rPr>
      </w:pPr>
      <w:r w:rsidRPr="006414E6">
        <w:rPr>
          <w:rFonts w:cs="Times New Roman"/>
        </w:rPr>
        <w:t xml:space="preserve">Udio neposredne potrošnje energije u industriji zadržat će se na oko 17% tijekom cijelog promatranog razdoblja. Očekuje se smanjenje udjela prometa te sektora opće potrošnje (kućanstva, usluge i poljoprivreda). </w:t>
      </w:r>
    </w:p>
    <w:p w14:paraId="2053AFB0" w14:textId="77777777" w:rsidR="00522861" w:rsidRPr="006414E6" w:rsidRDefault="00522861" w:rsidP="00522861">
      <w:pPr>
        <w:rPr>
          <w:rFonts w:cs="Times New Roman"/>
        </w:rPr>
      </w:pPr>
      <w:r w:rsidRPr="006414E6">
        <w:rPr>
          <w:rFonts w:cs="Times New Roman"/>
        </w:rPr>
        <w:t>U tablici I.1-1 i tablici I.1-2 prikazane su projekcije neposredne potrošnje energije u NUR scenariju.</w:t>
      </w:r>
    </w:p>
    <w:p w14:paraId="03215E7D" w14:textId="77777777" w:rsidR="00522861" w:rsidRPr="006414E6" w:rsidRDefault="00522861" w:rsidP="00522861">
      <w:pPr>
        <w:rPr>
          <w:rFonts w:cs="Times New Roman"/>
        </w:rPr>
      </w:pPr>
      <w:r w:rsidRPr="006414E6">
        <w:rPr>
          <w:rFonts w:cs="Times New Roman"/>
          <w:i/>
        </w:rPr>
        <w:t>Tablica I.1-1: Neposredna potrošnja energije po gorivima, NUR</w:t>
      </w:r>
    </w:p>
    <w:tbl>
      <w:tblPr>
        <w:tblW w:w="7086" w:type="dxa"/>
        <w:tblLook w:val="04A0" w:firstRow="1" w:lastRow="0" w:firstColumn="1" w:lastColumn="0" w:noHBand="0" w:noVBand="1"/>
      </w:tblPr>
      <w:tblGrid>
        <w:gridCol w:w="2835"/>
        <w:gridCol w:w="1417"/>
        <w:gridCol w:w="1417"/>
        <w:gridCol w:w="1417"/>
      </w:tblGrid>
      <w:tr w:rsidR="00522861" w:rsidRPr="006414E6" w14:paraId="0B2A8FAA"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32A1ED" w14:textId="77777777" w:rsidR="00522861" w:rsidRPr="006414E6" w:rsidRDefault="00522861">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7AC3A3"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B01A16"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E5779C"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13F6FD6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AD62720"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Ugljen i koks</w:t>
            </w:r>
          </w:p>
        </w:tc>
        <w:tc>
          <w:tcPr>
            <w:tcW w:w="1417" w:type="dxa"/>
            <w:tcBorders>
              <w:top w:val="nil"/>
              <w:left w:val="nil"/>
              <w:bottom w:val="single" w:sz="4" w:space="0" w:color="auto"/>
              <w:right w:val="single" w:sz="4" w:space="0" w:color="auto"/>
            </w:tcBorders>
            <w:noWrap/>
            <w:vAlign w:val="center"/>
            <w:hideMark/>
          </w:tcPr>
          <w:p w14:paraId="04A7E393"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57,3</w:t>
            </w:r>
          </w:p>
        </w:tc>
        <w:tc>
          <w:tcPr>
            <w:tcW w:w="1417" w:type="dxa"/>
            <w:tcBorders>
              <w:top w:val="nil"/>
              <w:left w:val="nil"/>
              <w:bottom w:val="single" w:sz="4" w:space="0" w:color="auto"/>
              <w:right w:val="single" w:sz="4" w:space="0" w:color="auto"/>
            </w:tcBorders>
            <w:noWrap/>
            <w:vAlign w:val="center"/>
            <w:hideMark/>
          </w:tcPr>
          <w:p w14:paraId="37D23613"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45,0</w:t>
            </w:r>
          </w:p>
        </w:tc>
        <w:tc>
          <w:tcPr>
            <w:tcW w:w="1417" w:type="dxa"/>
            <w:tcBorders>
              <w:top w:val="nil"/>
              <w:left w:val="nil"/>
              <w:bottom w:val="single" w:sz="4" w:space="0" w:color="auto"/>
              <w:right w:val="single" w:sz="4" w:space="0" w:color="auto"/>
            </w:tcBorders>
            <w:noWrap/>
            <w:vAlign w:val="center"/>
            <w:hideMark/>
          </w:tcPr>
          <w:p w14:paraId="16714F2C"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32,4</w:t>
            </w:r>
          </w:p>
        </w:tc>
      </w:tr>
      <w:tr w:rsidR="00522861" w:rsidRPr="006414E6" w14:paraId="3086474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564885A"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Neobnovljivi otpad</w:t>
            </w:r>
          </w:p>
        </w:tc>
        <w:tc>
          <w:tcPr>
            <w:tcW w:w="1417" w:type="dxa"/>
            <w:tcBorders>
              <w:top w:val="nil"/>
              <w:left w:val="nil"/>
              <w:bottom w:val="single" w:sz="4" w:space="0" w:color="auto"/>
              <w:right w:val="single" w:sz="4" w:space="0" w:color="auto"/>
            </w:tcBorders>
            <w:noWrap/>
            <w:vAlign w:val="center"/>
            <w:hideMark/>
          </w:tcPr>
          <w:p w14:paraId="7CCFAB0D"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10,6</w:t>
            </w:r>
          </w:p>
        </w:tc>
        <w:tc>
          <w:tcPr>
            <w:tcW w:w="1417" w:type="dxa"/>
            <w:tcBorders>
              <w:top w:val="nil"/>
              <w:left w:val="nil"/>
              <w:bottom w:val="single" w:sz="4" w:space="0" w:color="auto"/>
              <w:right w:val="single" w:sz="4" w:space="0" w:color="auto"/>
            </w:tcBorders>
            <w:noWrap/>
            <w:vAlign w:val="center"/>
            <w:hideMark/>
          </w:tcPr>
          <w:p w14:paraId="45E20111"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10,0</w:t>
            </w:r>
          </w:p>
        </w:tc>
        <w:tc>
          <w:tcPr>
            <w:tcW w:w="1417" w:type="dxa"/>
            <w:tcBorders>
              <w:top w:val="nil"/>
              <w:left w:val="nil"/>
              <w:bottom w:val="single" w:sz="4" w:space="0" w:color="auto"/>
              <w:right w:val="single" w:sz="4" w:space="0" w:color="auto"/>
            </w:tcBorders>
            <w:noWrap/>
            <w:vAlign w:val="center"/>
            <w:hideMark/>
          </w:tcPr>
          <w:p w14:paraId="0A4FC005"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8,1</w:t>
            </w:r>
          </w:p>
        </w:tc>
      </w:tr>
      <w:tr w:rsidR="00522861" w:rsidRPr="006414E6" w14:paraId="41E64D7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A6A1364"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Obnovljivi izvori</w:t>
            </w:r>
          </w:p>
        </w:tc>
        <w:tc>
          <w:tcPr>
            <w:tcW w:w="1417" w:type="dxa"/>
            <w:tcBorders>
              <w:top w:val="nil"/>
              <w:left w:val="nil"/>
              <w:bottom w:val="single" w:sz="4" w:space="0" w:color="auto"/>
              <w:right w:val="single" w:sz="4" w:space="0" w:color="auto"/>
            </w:tcBorders>
            <w:noWrap/>
            <w:vAlign w:val="center"/>
            <w:hideMark/>
          </w:tcPr>
          <w:p w14:paraId="4276A291"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1505,2</w:t>
            </w:r>
          </w:p>
        </w:tc>
        <w:tc>
          <w:tcPr>
            <w:tcW w:w="1417" w:type="dxa"/>
            <w:tcBorders>
              <w:top w:val="nil"/>
              <w:left w:val="nil"/>
              <w:bottom w:val="single" w:sz="4" w:space="0" w:color="auto"/>
              <w:right w:val="single" w:sz="4" w:space="0" w:color="auto"/>
            </w:tcBorders>
            <w:noWrap/>
            <w:vAlign w:val="center"/>
            <w:hideMark/>
          </w:tcPr>
          <w:p w14:paraId="5C477A34"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1363,9</w:t>
            </w:r>
          </w:p>
        </w:tc>
        <w:tc>
          <w:tcPr>
            <w:tcW w:w="1417" w:type="dxa"/>
            <w:tcBorders>
              <w:top w:val="nil"/>
              <w:left w:val="nil"/>
              <w:bottom w:val="single" w:sz="4" w:space="0" w:color="auto"/>
              <w:right w:val="single" w:sz="4" w:space="0" w:color="auto"/>
            </w:tcBorders>
            <w:noWrap/>
            <w:vAlign w:val="center"/>
            <w:hideMark/>
          </w:tcPr>
          <w:p w14:paraId="3D27FB73"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1110,2</w:t>
            </w:r>
          </w:p>
        </w:tc>
      </w:tr>
      <w:tr w:rsidR="00522861" w:rsidRPr="006414E6" w14:paraId="1A745A3E"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B3663CF"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Tekuća fosilna goriva</w:t>
            </w:r>
          </w:p>
        </w:tc>
        <w:tc>
          <w:tcPr>
            <w:tcW w:w="1417" w:type="dxa"/>
            <w:tcBorders>
              <w:top w:val="nil"/>
              <w:left w:val="nil"/>
              <w:bottom w:val="single" w:sz="4" w:space="0" w:color="auto"/>
              <w:right w:val="single" w:sz="4" w:space="0" w:color="auto"/>
            </w:tcBorders>
            <w:noWrap/>
            <w:vAlign w:val="center"/>
            <w:hideMark/>
          </w:tcPr>
          <w:p w14:paraId="309FE207"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2596,2</w:t>
            </w:r>
          </w:p>
        </w:tc>
        <w:tc>
          <w:tcPr>
            <w:tcW w:w="1417" w:type="dxa"/>
            <w:tcBorders>
              <w:top w:val="nil"/>
              <w:left w:val="nil"/>
              <w:bottom w:val="single" w:sz="4" w:space="0" w:color="auto"/>
              <w:right w:val="single" w:sz="4" w:space="0" w:color="auto"/>
            </w:tcBorders>
            <w:noWrap/>
            <w:vAlign w:val="center"/>
            <w:hideMark/>
          </w:tcPr>
          <w:p w14:paraId="00AEFA9E"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2253,1</w:t>
            </w:r>
          </w:p>
        </w:tc>
        <w:tc>
          <w:tcPr>
            <w:tcW w:w="1417" w:type="dxa"/>
            <w:tcBorders>
              <w:top w:val="nil"/>
              <w:left w:val="nil"/>
              <w:bottom w:val="single" w:sz="4" w:space="0" w:color="auto"/>
              <w:right w:val="single" w:sz="4" w:space="0" w:color="auto"/>
            </w:tcBorders>
            <w:noWrap/>
            <w:vAlign w:val="center"/>
            <w:hideMark/>
          </w:tcPr>
          <w:p w14:paraId="53D12B3B"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1653,1</w:t>
            </w:r>
          </w:p>
        </w:tc>
      </w:tr>
      <w:tr w:rsidR="00522861" w:rsidRPr="006414E6" w14:paraId="1D1991B7"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CB6B95D"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Prirodni plin</w:t>
            </w:r>
          </w:p>
        </w:tc>
        <w:tc>
          <w:tcPr>
            <w:tcW w:w="1417" w:type="dxa"/>
            <w:tcBorders>
              <w:top w:val="nil"/>
              <w:left w:val="nil"/>
              <w:bottom w:val="single" w:sz="4" w:space="0" w:color="auto"/>
              <w:right w:val="single" w:sz="4" w:space="0" w:color="auto"/>
            </w:tcBorders>
            <w:noWrap/>
            <w:vAlign w:val="center"/>
            <w:hideMark/>
          </w:tcPr>
          <w:p w14:paraId="08F21183"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1189,7</w:t>
            </w:r>
          </w:p>
        </w:tc>
        <w:tc>
          <w:tcPr>
            <w:tcW w:w="1417" w:type="dxa"/>
            <w:tcBorders>
              <w:top w:val="nil"/>
              <w:left w:val="nil"/>
              <w:bottom w:val="single" w:sz="4" w:space="0" w:color="auto"/>
              <w:right w:val="single" w:sz="4" w:space="0" w:color="auto"/>
            </w:tcBorders>
            <w:noWrap/>
            <w:vAlign w:val="center"/>
            <w:hideMark/>
          </w:tcPr>
          <w:p w14:paraId="49967148"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1269,8</w:t>
            </w:r>
          </w:p>
        </w:tc>
        <w:tc>
          <w:tcPr>
            <w:tcW w:w="1417" w:type="dxa"/>
            <w:tcBorders>
              <w:top w:val="nil"/>
              <w:left w:val="nil"/>
              <w:bottom w:val="single" w:sz="4" w:space="0" w:color="auto"/>
              <w:right w:val="single" w:sz="4" w:space="0" w:color="auto"/>
            </w:tcBorders>
            <w:noWrap/>
            <w:vAlign w:val="center"/>
            <w:hideMark/>
          </w:tcPr>
          <w:p w14:paraId="2B84B4D1"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1316,9</w:t>
            </w:r>
          </w:p>
        </w:tc>
      </w:tr>
      <w:tr w:rsidR="00522861" w:rsidRPr="006414E6" w14:paraId="577B32E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8F7E082"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Električna energija</w:t>
            </w:r>
          </w:p>
        </w:tc>
        <w:tc>
          <w:tcPr>
            <w:tcW w:w="1417" w:type="dxa"/>
            <w:tcBorders>
              <w:top w:val="nil"/>
              <w:left w:val="nil"/>
              <w:bottom w:val="single" w:sz="4" w:space="0" w:color="auto"/>
              <w:right w:val="single" w:sz="4" w:space="0" w:color="auto"/>
            </w:tcBorders>
            <w:noWrap/>
            <w:vAlign w:val="center"/>
            <w:hideMark/>
          </w:tcPr>
          <w:p w14:paraId="586CE2EC"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1507,5</w:t>
            </w:r>
          </w:p>
        </w:tc>
        <w:tc>
          <w:tcPr>
            <w:tcW w:w="1417" w:type="dxa"/>
            <w:tcBorders>
              <w:top w:val="nil"/>
              <w:left w:val="nil"/>
              <w:bottom w:val="single" w:sz="4" w:space="0" w:color="auto"/>
              <w:right w:val="single" w:sz="4" w:space="0" w:color="auto"/>
            </w:tcBorders>
            <w:noWrap/>
            <w:vAlign w:val="center"/>
            <w:hideMark/>
          </w:tcPr>
          <w:p w14:paraId="644A4FC6"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1612,0</w:t>
            </w:r>
          </w:p>
        </w:tc>
        <w:tc>
          <w:tcPr>
            <w:tcW w:w="1417" w:type="dxa"/>
            <w:tcBorders>
              <w:top w:val="nil"/>
              <w:left w:val="nil"/>
              <w:bottom w:val="single" w:sz="4" w:space="0" w:color="auto"/>
              <w:right w:val="single" w:sz="4" w:space="0" w:color="auto"/>
            </w:tcBorders>
            <w:noWrap/>
            <w:vAlign w:val="center"/>
            <w:hideMark/>
          </w:tcPr>
          <w:p w14:paraId="11E3492E"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1717,1</w:t>
            </w:r>
          </w:p>
        </w:tc>
      </w:tr>
      <w:tr w:rsidR="00522861" w:rsidRPr="006414E6" w14:paraId="4E3D054F"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C5D269B"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Toplinska energija</w:t>
            </w:r>
          </w:p>
        </w:tc>
        <w:tc>
          <w:tcPr>
            <w:tcW w:w="1417" w:type="dxa"/>
            <w:tcBorders>
              <w:top w:val="nil"/>
              <w:left w:val="nil"/>
              <w:bottom w:val="single" w:sz="4" w:space="0" w:color="auto"/>
              <w:right w:val="single" w:sz="4" w:space="0" w:color="auto"/>
            </w:tcBorders>
            <w:noWrap/>
            <w:vAlign w:val="center"/>
            <w:hideMark/>
          </w:tcPr>
          <w:p w14:paraId="0C9EDBDB"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243,0</w:t>
            </w:r>
          </w:p>
        </w:tc>
        <w:tc>
          <w:tcPr>
            <w:tcW w:w="1417" w:type="dxa"/>
            <w:tcBorders>
              <w:top w:val="nil"/>
              <w:left w:val="nil"/>
              <w:bottom w:val="single" w:sz="4" w:space="0" w:color="auto"/>
              <w:right w:val="single" w:sz="4" w:space="0" w:color="auto"/>
            </w:tcBorders>
            <w:noWrap/>
            <w:vAlign w:val="center"/>
            <w:hideMark/>
          </w:tcPr>
          <w:p w14:paraId="45652857"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250,3</w:t>
            </w:r>
          </w:p>
        </w:tc>
        <w:tc>
          <w:tcPr>
            <w:tcW w:w="1417" w:type="dxa"/>
            <w:tcBorders>
              <w:top w:val="nil"/>
              <w:left w:val="nil"/>
              <w:bottom w:val="single" w:sz="4" w:space="0" w:color="auto"/>
              <w:right w:val="single" w:sz="4" w:space="0" w:color="auto"/>
            </w:tcBorders>
            <w:noWrap/>
            <w:vAlign w:val="center"/>
            <w:hideMark/>
          </w:tcPr>
          <w:p w14:paraId="54C96BE5"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245,4</w:t>
            </w:r>
          </w:p>
        </w:tc>
      </w:tr>
      <w:tr w:rsidR="00522861" w:rsidRPr="006414E6" w14:paraId="2781A74F"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16018EBA"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Vodik</w:t>
            </w:r>
          </w:p>
        </w:tc>
        <w:tc>
          <w:tcPr>
            <w:tcW w:w="1417" w:type="dxa"/>
            <w:tcBorders>
              <w:top w:val="nil"/>
              <w:left w:val="nil"/>
              <w:bottom w:val="double" w:sz="4" w:space="0" w:color="auto"/>
              <w:right w:val="single" w:sz="4" w:space="0" w:color="auto"/>
            </w:tcBorders>
            <w:noWrap/>
            <w:vAlign w:val="center"/>
            <w:hideMark/>
          </w:tcPr>
          <w:p w14:paraId="54CD460B"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0,004</w:t>
            </w:r>
          </w:p>
        </w:tc>
        <w:tc>
          <w:tcPr>
            <w:tcW w:w="1417" w:type="dxa"/>
            <w:tcBorders>
              <w:top w:val="nil"/>
              <w:left w:val="nil"/>
              <w:bottom w:val="double" w:sz="4" w:space="0" w:color="auto"/>
              <w:right w:val="single" w:sz="4" w:space="0" w:color="auto"/>
            </w:tcBorders>
            <w:noWrap/>
            <w:vAlign w:val="center"/>
            <w:hideMark/>
          </w:tcPr>
          <w:p w14:paraId="6204F0FB"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0,2</w:t>
            </w:r>
          </w:p>
        </w:tc>
        <w:tc>
          <w:tcPr>
            <w:tcW w:w="1417" w:type="dxa"/>
            <w:tcBorders>
              <w:top w:val="nil"/>
              <w:left w:val="nil"/>
              <w:bottom w:val="double" w:sz="4" w:space="0" w:color="auto"/>
              <w:right w:val="single" w:sz="4" w:space="0" w:color="auto"/>
            </w:tcBorders>
            <w:noWrap/>
            <w:vAlign w:val="center"/>
            <w:hideMark/>
          </w:tcPr>
          <w:p w14:paraId="729DB6FB"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15,9</w:t>
            </w:r>
          </w:p>
        </w:tc>
      </w:tr>
      <w:tr w:rsidR="00522861" w:rsidRPr="006414E6" w14:paraId="71F2CFF8"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FC395F"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6E31C9C6"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7109,7</w:t>
            </w:r>
          </w:p>
        </w:tc>
        <w:tc>
          <w:tcPr>
            <w:tcW w:w="1417" w:type="dxa"/>
            <w:tcBorders>
              <w:top w:val="double" w:sz="4" w:space="0" w:color="auto"/>
              <w:left w:val="nil"/>
              <w:bottom w:val="single" w:sz="4" w:space="0" w:color="auto"/>
              <w:right w:val="single" w:sz="4" w:space="0" w:color="auto"/>
            </w:tcBorders>
            <w:noWrap/>
            <w:vAlign w:val="center"/>
            <w:hideMark/>
          </w:tcPr>
          <w:p w14:paraId="0716B016"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6804,3</w:t>
            </w:r>
          </w:p>
        </w:tc>
        <w:tc>
          <w:tcPr>
            <w:tcW w:w="1417" w:type="dxa"/>
            <w:tcBorders>
              <w:top w:val="double" w:sz="4" w:space="0" w:color="auto"/>
              <w:left w:val="nil"/>
              <w:bottom w:val="single" w:sz="4" w:space="0" w:color="auto"/>
              <w:right w:val="single" w:sz="4" w:space="0" w:color="auto"/>
            </w:tcBorders>
            <w:noWrap/>
            <w:vAlign w:val="center"/>
            <w:hideMark/>
          </w:tcPr>
          <w:p w14:paraId="0C6DF8EA"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6098,9</w:t>
            </w:r>
          </w:p>
        </w:tc>
      </w:tr>
    </w:tbl>
    <w:p w14:paraId="16E02292" w14:textId="77777777" w:rsidR="00522861" w:rsidRPr="006414E6" w:rsidRDefault="00522861" w:rsidP="00522861">
      <w:pPr>
        <w:rPr>
          <w:rFonts w:cs="Times New Roman"/>
          <w:i/>
        </w:rPr>
      </w:pPr>
      <w:r w:rsidRPr="006414E6">
        <w:rPr>
          <w:rFonts w:cs="Times New Roman"/>
          <w:i/>
        </w:rPr>
        <w:lastRenderedPageBreak/>
        <w:t>Tablica I.1-2: Neposredna potrošnja energije po granama potrošnje, NUR</w:t>
      </w:r>
    </w:p>
    <w:tbl>
      <w:tblPr>
        <w:tblW w:w="0" w:type="auto"/>
        <w:tblLayout w:type="fixed"/>
        <w:tblLook w:val="04A0" w:firstRow="1" w:lastRow="0" w:firstColumn="1" w:lastColumn="0" w:noHBand="0" w:noVBand="1"/>
      </w:tblPr>
      <w:tblGrid>
        <w:gridCol w:w="2835"/>
        <w:gridCol w:w="1417"/>
        <w:gridCol w:w="1417"/>
        <w:gridCol w:w="1417"/>
      </w:tblGrid>
      <w:tr w:rsidR="00522861" w:rsidRPr="006414E6" w14:paraId="1012FC54"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F9AF808" w14:textId="77777777" w:rsidR="00522861" w:rsidRPr="006414E6" w:rsidRDefault="00522861">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2A1F33"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FBCEA1"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32CDEE"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3B199B82"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366E653" w14:textId="77777777" w:rsidR="00522861" w:rsidRPr="006414E6" w:rsidRDefault="00522861">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Industrija</w:t>
            </w:r>
          </w:p>
        </w:tc>
        <w:tc>
          <w:tcPr>
            <w:tcW w:w="1417" w:type="dxa"/>
            <w:tcBorders>
              <w:top w:val="nil"/>
              <w:left w:val="nil"/>
              <w:bottom w:val="single" w:sz="4" w:space="0" w:color="auto"/>
              <w:right w:val="single" w:sz="4" w:space="0" w:color="auto"/>
            </w:tcBorders>
            <w:noWrap/>
            <w:vAlign w:val="center"/>
            <w:hideMark/>
          </w:tcPr>
          <w:p w14:paraId="5D9EE6C0"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1186,7</w:t>
            </w:r>
          </w:p>
        </w:tc>
        <w:tc>
          <w:tcPr>
            <w:tcW w:w="1417" w:type="dxa"/>
            <w:tcBorders>
              <w:top w:val="nil"/>
              <w:left w:val="nil"/>
              <w:bottom w:val="single" w:sz="4" w:space="0" w:color="auto"/>
              <w:right w:val="single" w:sz="4" w:space="0" w:color="auto"/>
            </w:tcBorders>
            <w:noWrap/>
            <w:vAlign w:val="center"/>
            <w:hideMark/>
          </w:tcPr>
          <w:p w14:paraId="34074378"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1152,4</w:t>
            </w:r>
          </w:p>
        </w:tc>
        <w:tc>
          <w:tcPr>
            <w:tcW w:w="1417" w:type="dxa"/>
            <w:tcBorders>
              <w:top w:val="nil"/>
              <w:left w:val="nil"/>
              <w:bottom w:val="single" w:sz="4" w:space="0" w:color="auto"/>
              <w:right w:val="single" w:sz="4" w:space="0" w:color="auto"/>
            </w:tcBorders>
            <w:noWrap/>
            <w:vAlign w:val="center"/>
            <w:hideMark/>
          </w:tcPr>
          <w:p w14:paraId="15B425C4"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1077,8</w:t>
            </w:r>
          </w:p>
        </w:tc>
      </w:tr>
      <w:tr w:rsidR="00522861" w:rsidRPr="006414E6" w14:paraId="6DF9C156"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06F92C1" w14:textId="77777777" w:rsidR="00522861" w:rsidRPr="006414E6" w:rsidRDefault="00522861">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Promet</w:t>
            </w:r>
          </w:p>
        </w:tc>
        <w:tc>
          <w:tcPr>
            <w:tcW w:w="1417" w:type="dxa"/>
            <w:tcBorders>
              <w:top w:val="nil"/>
              <w:left w:val="nil"/>
              <w:bottom w:val="single" w:sz="4" w:space="0" w:color="auto"/>
              <w:right w:val="single" w:sz="4" w:space="0" w:color="auto"/>
            </w:tcBorders>
            <w:noWrap/>
            <w:vAlign w:val="center"/>
            <w:hideMark/>
          </w:tcPr>
          <w:p w14:paraId="335DEFB9"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2319,7</w:t>
            </w:r>
          </w:p>
        </w:tc>
        <w:tc>
          <w:tcPr>
            <w:tcW w:w="1417" w:type="dxa"/>
            <w:tcBorders>
              <w:top w:val="nil"/>
              <w:left w:val="nil"/>
              <w:bottom w:val="single" w:sz="4" w:space="0" w:color="auto"/>
              <w:right w:val="single" w:sz="4" w:space="0" w:color="auto"/>
            </w:tcBorders>
            <w:noWrap/>
            <w:vAlign w:val="center"/>
            <w:hideMark/>
          </w:tcPr>
          <w:p w14:paraId="35C25E7B"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2189,6</w:t>
            </w:r>
          </w:p>
        </w:tc>
        <w:tc>
          <w:tcPr>
            <w:tcW w:w="1417" w:type="dxa"/>
            <w:tcBorders>
              <w:top w:val="nil"/>
              <w:left w:val="nil"/>
              <w:bottom w:val="single" w:sz="4" w:space="0" w:color="auto"/>
              <w:right w:val="single" w:sz="4" w:space="0" w:color="auto"/>
            </w:tcBorders>
            <w:noWrap/>
            <w:vAlign w:val="center"/>
            <w:hideMark/>
          </w:tcPr>
          <w:p w14:paraId="7CAF5917"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1870,2</w:t>
            </w:r>
          </w:p>
        </w:tc>
      </w:tr>
      <w:tr w:rsidR="00522861" w:rsidRPr="006414E6" w14:paraId="187D575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17AF55B" w14:textId="77777777" w:rsidR="00522861" w:rsidRPr="006414E6" w:rsidRDefault="00522861">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Opća potrošnja</w:t>
            </w:r>
          </w:p>
        </w:tc>
        <w:tc>
          <w:tcPr>
            <w:tcW w:w="1417" w:type="dxa"/>
            <w:tcBorders>
              <w:top w:val="nil"/>
              <w:left w:val="nil"/>
              <w:bottom w:val="single" w:sz="4" w:space="0" w:color="auto"/>
              <w:right w:val="single" w:sz="4" w:space="0" w:color="auto"/>
            </w:tcBorders>
            <w:noWrap/>
            <w:vAlign w:val="center"/>
            <w:hideMark/>
          </w:tcPr>
          <w:p w14:paraId="05237A4E" w14:textId="77777777" w:rsidR="00522861" w:rsidRPr="006414E6" w:rsidRDefault="00522861">
            <w:pPr>
              <w:spacing w:line="240" w:lineRule="auto"/>
              <w:jc w:val="center"/>
              <w:rPr>
                <w:rFonts w:eastAsia="Times New Roman" w:cs="Times New Roman"/>
                <w:color w:val="000000"/>
                <w:sz w:val="20"/>
                <w:lang w:eastAsia="hr-HR"/>
              </w:rPr>
            </w:pPr>
            <w:r w:rsidRPr="006414E6">
              <w:rPr>
                <w:rFonts w:cs="Times New Roman"/>
                <w:sz w:val="20"/>
              </w:rPr>
              <w:t>3603,2</w:t>
            </w:r>
          </w:p>
        </w:tc>
        <w:tc>
          <w:tcPr>
            <w:tcW w:w="1417" w:type="dxa"/>
            <w:tcBorders>
              <w:top w:val="nil"/>
              <w:left w:val="nil"/>
              <w:bottom w:val="single" w:sz="4" w:space="0" w:color="auto"/>
              <w:right w:val="single" w:sz="4" w:space="0" w:color="auto"/>
            </w:tcBorders>
            <w:noWrap/>
            <w:vAlign w:val="center"/>
            <w:hideMark/>
          </w:tcPr>
          <w:p w14:paraId="3D17B86F" w14:textId="77777777" w:rsidR="00522861" w:rsidRPr="006414E6" w:rsidRDefault="00522861">
            <w:pPr>
              <w:spacing w:line="240" w:lineRule="auto"/>
              <w:jc w:val="center"/>
              <w:rPr>
                <w:rFonts w:eastAsia="Times New Roman" w:cs="Times New Roman"/>
                <w:color w:val="000000"/>
                <w:sz w:val="20"/>
                <w:lang w:eastAsia="hr-HR"/>
              </w:rPr>
            </w:pPr>
            <w:r w:rsidRPr="006414E6">
              <w:rPr>
                <w:rFonts w:cs="Times New Roman"/>
                <w:sz w:val="20"/>
              </w:rPr>
              <w:t>3462,2</w:t>
            </w:r>
          </w:p>
        </w:tc>
        <w:tc>
          <w:tcPr>
            <w:tcW w:w="1417" w:type="dxa"/>
            <w:tcBorders>
              <w:top w:val="nil"/>
              <w:left w:val="nil"/>
              <w:bottom w:val="single" w:sz="4" w:space="0" w:color="auto"/>
              <w:right w:val="single" w:sz="4" w:space="0" w:color="auto"/>
            </w:tcBorders>
            <w:noWrap/>
            <w:vAlign w:val="center"/>
            <w:hideMark/>
          </w:tcPr>
          <w:p w14:paraId="520B59B5" w14:textId="77777777" w:rsidR="00522861" w:rsidRPr="006414E6" w:rsidRDefault="00522861">
            <w:pPr>
              <w:spacing w:line="240" w:lineRule="auto"/>
              <w:jc w:val="center"/>
              <w:rPr>
                <w:rFonts w:eastAsia="Times New Roman" w:cs="Times New Roman"/>
                <w:color w:val="000000"/>
                <w:sz w:val="20"/>
                <w:lang w:eastAsia="hr-HR"/>
              </w:rPr>
            </w:pPr>
            <w:r w:rsidRPr="006414E6">
              <w:rPr>
                <w:rFonts w:cs="Times New Roman"/>
                <w:sz w:val="20"/>
              </w:rPr>
              <w:t>3151,0</w:t>
            </w:r>
          </w:p>
        </w:tc>
      </w:tr>
      <w:tr w:rsidR="00522861" w:rsidRPr="006414E6" w14:paraId="2921EBC7"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B8D3FC3" w14:textId="77777777" w:rsidR="00522861" w:rsidRPr="006414E6" w:rsidRDefault="00522861">
            <w:pPr>
              <w:spacing w:line="240" w:lineRule="auto"/>
              <w:ind w:left="170"/>
              <w:jc w:val="left"/>
              <w:rPr>
                <w:rFonts w:eastAsia="Times New Roman" w:cs="Times New Roman"/>
                <w:i/>
                <w:iCs/>
                <w:color w:val="000000"/>
                <w:sz w:val="20"/>
                <w:lang w:eastAsia="hr-HR"/>
              </w:rPr>
            </w:pPr>
            <w:r w:rsidRPr="006414E6">
              <w:rPr>
                <w:rFonts w:eastAsia="Times New Roman" w:cs="Times New Roman"/>
                <w:i/>
                <w:iCs/>
                <w:color w:val="000000"/>
                <w:sz w:val="20"/>
                <w:lang w:eastAsia="hr-HR"/>
              </w:rPr>
              <w:t>Kućanstva</w:t>
            </w:r>
          </w:p>
        </w:tc>
        <w:tc>
          <w:tcPr>
            <w:tcW w:w="1417" w:type="dxa"/>
            <w:tcBorders>
              <w:top w:val="nil"/>
              <w:left w:val="nil"/>
              <w:bottom w:val="single" w:sz="4" w:space="0" w:color="auto"/>
              <w:right w:val="single" w:sz="4" w:space="0" w:color="auto"/>
            </w:tcBorders>
            <w:noWrap/>
            <w:vAlign w:val="center"/>
            <w:hideMark/>
          </w:tcPr>
          <w:p w14:paraId="14D3DF6E"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2447,6</w:t>
            </w:r>
          </w:p>
        </w:tc>
        <w:tc>
          <w:tcPr>
            <w:tcW w:w="1417" w:type="dxa"/>
            <w:tcBorders>
              <w:top w:val="nil"/>
              <w:left w:val="nil"/>
              <w:bottom w:val="single" w:sz="4" w:space="0" w:color="auto"/>
              <w:right w:val="single" w:sz="4" w:space="0" w:color="auto"/>
            </w:tcBorders>
            <w:noWrap/>
            <w:vAlign w:val="center"/>
            <w:hideMark/>
          </w:tcPr>
          <w:p w14:paraId="1F2F2C4B"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2267,6</w:t>
            </w:r>
          </w:p>
        </w:tc>
        <w:tc>
          <w:tcPr>
            <w:tcW w:w="1417" w:type="dxa"/>
            <w:tcBorders>
              <w:top w:val="nil"/>
              <w:left w:val="nil"/>
              <w:bottom w:val="single" w:sz="4" w:space="0" w:color="auto"/>
              <w:right w:val="single" w:sz="4" w:space="0" w:color="auto"/>
            </w:tcBorders>
            <w:noWrap/>
            <w:vAlign w:val="center"/>
            <w:hideMark/>
          </w:tcPr>
          <w:p w14:paraId="6FC30EF6"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1978,0</w:t>
            </w:r>
          </w:p>
        </w:tc>
      </w:tr>
      <w:tr w:rsidR="00522861" w:rsidRPr="006414E6" w14:paraId="1CFE3424"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55F073D" w14:textId="77777777" w:rsidR="00522861" w:rsidRPr="006414E6" w:rsidRDefault="00522861">
            <w:pPr>
              <w:spacing w:line="240" w:lineRule="auto"/>
              <w:ind w:left="170"/>
              <w:jc w:val="left"/>
              <w:rPr>
                <w:rFonts w:eastAsia="Times New Roman" w:cs="Times New Roman"/>
                <w:i/>
                <w:iCs/>
                <w:color w:val="000000"/>
                <w:sz w:val="20"/>
                <w:lang w:eastAsia="hr-HR"/>
              </w:rPr>
            </w:pPr>
            <w:r w:rsidRPr="006414E6">
              <w:rPr>
                <w:rFonts w:eastAsia="Times New Roman" w:cs="Times New Roman"/>
                <w:i/>
                <w:iCs/>
                <w:color w:val="000000"/>
                <w:sz w:val="20"/>
                <w:lang w:eastAsia="hr-HR"/>
              </w:rPr>
              <w:t>Uslužni sektor</w:t>
            </w:r>
          </w:p>
        </w:tc>
        <w:tc>
          <w:tcPr>
            <w:tcW w:w="1417" w:type="dxa"/>
            <w:tcBorders>
              <w:top w:val="nil"/>
              <w:left w:val="nil"/>
              <w:bottom w:val="single" w:sz="4" w:space="0" w:color="auto"/>
              <w:right w:val="single" w:sz="4" w:space="0" w:color="auto"/>
            </w:tcBorders>
            <w:noWrap/>
            <w:vAlign w:val="center"/>
            <w:hideMark/>
          </w:tcPr>
          <w:p w14:paraId="79A56FBF"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950,0</w:t>
            </w:r>
          </w:p>
        </w:tc>
        <w:tc>
          <w:tcPr>
            <w:tcW w:w="1417" w:type="dxa"/>
            <w:tcBorders>
              <w:top w:val="nil"/>
              <w:left w:val="nil"/>
              <w:bottom w:val="single" w:sz="4" w:space="0" w:color="auto"/>
              <w:right w:val="single" w:sz="4" w:space="0" w:color="auto"/>
            </w:tcBorders>
            <w:noWrap/>
            <w:vAlign w:val="center"/>
            <w:hideMark/>
          </w:tcPr>
          <w:p w14:paraId="5ABCE241"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1000,0</w:t>
            </w:r>
          </w:p>
        </w:tc>
        <w:tc>
          <w:tcPr>
            <w:tcW w:w="1417" w:type="dxa"/>
            <w:tcBorders>
              <w:top w:val="nil"/>
              <w:left w:val="nil"/>
              <w:bottom w:val="single" w:sz="4" w:space="0" w:color="auto"/>
              <w:right w:val="single" w:sz="4" w:space="0" w:color="auto"/>
            </w:tcBorders>
            <w:noWrap/>
            <w:vAlign w:val="center"/>
            <w:hideMark/>
          </w:tcPr>
          <w:p w14:paraId="1B40B8CC"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995,7</w:t>
            </w:r>
          </w:p>
        </w:tc>
      </w:tr>
      <w:tr w:rsidR="00522861" w:rsidRPr="006414E6" w14:paraId="24882BB6"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5F230E3C" w14:textId="77777777" w:rsidR="00522861" w:rsidRPr="006414E6" w:rsidRDefault="00522861">
            <w:pPr>
              <w:spacing w:line="240" w:lineRule="auto"/>
              <w:ind w:left="170"/>
              <w:jc w:val="left"/>
              <w:rPr>
                <w:rFonts w:eastAsia="Times New Roman" w:cs="Times New Roman"/>
                <w:i/>
                <w:iCs/>
                <w:color w:val="000000"/>
                <w:sz w:val="20"/>
                <w:lang w:eastAsia="hr-HR"/>
              </w:rPr>
            </w:pPr>
            <w:r w:rsidRPr="006414E6">
              <w:rPr>
                <w:rFonts w:eastAsia="Times New Roman" w:cs="Times New Roman"/>
                <w:i/>
                <w:iCs/>
                <w:color w:val="000000"/>
                <w:sz w:val="20"/>
                <w:lang w:eastAsia="hr-HR"/>
              </w:rPr>
              <w:t>Poljoprivreda</w:t>
            </w:r>
          </w:p>
        </w:tc>
        <w:tc>
          <w:tcPr>
            <w:tcW w:w="1417" w:type="dxa"/>
            <w:tcBorders>
              <w:top w:val="nil"/>
              <w:left w:val="nil"/>
              <w:bottom w:val="double" w:sz="4" w:space="0" w:color="auto"/>
              <w:right w:val="single" w:sz="4" w:space="0" w:color="auto"/>
            </w:tcBorders>
            <w:noWrap/>
            <w:vAlign w:val="center"/>
            <w:hideMark/>
          </w:tcPr>
          <w:p w14:paraId="5EE606BC"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205,6</w:t>
            </w:r>
          </w:p>
        </w:tc>
        <w:tc>
          <w:tcPr>
            <w:tcW w:w="1417" w:type="dxa"/>
            <w:tcBorders>
              <w:top w:val="nil"/>
              <w:left w:val="nil"/>
              <w:bottom w:val="double" w:sz="4" w:space="0" w:color="auto"/>
              <w:right w:val="single" w:sz="4" w:space="0" w:color="auto"/>
            </w:tcBorders>
            <w:noWrap/>
            <w:vAlign w:val="center"/>
            <w:hideMark/>
          </w:tcPr>
          <w:p w14:paraId="399D4C90"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194,6</w:t>
            </w:r>
          </w:p>
        </w:tc>
        <w:tc>
          <w:tcPr>
            <w:tcW w:w="1417" w:type="dxa"/>
            <w:tcBorders>
              <w:top w:val="nil"/>
              <w:left w:val="nil"/>
              <w:bottom w:val="double" w:sz="4" w:space="0" w:color="auto"/>
              <w:right w:val="single" w:sz="4" w:space="0" w:color="auto"/>
            </w:tcBorders>
            <w:noWrap/>
            <w:vAlign w:val="center"/>
            <w:hideMark/>
          </w:tcPr>
          <w:p w14:paraId="628F0A3A"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177,3</w:t>
            </w:r>
          </w:p>
        </w:tc>
      </w:tr>
      <w:tr w:rsidR="00522861" w:rsidRPr="006414E6" w14:paraId="59627635"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01BA63" w14:textId="77777777" w:rsidR="00522861" w:rsidRPr="006414E6" w:rsidRDefault="00522861">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38583691"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7109,7</w:t>
            </w:r>
          </w:p>
        </w:tc>
        <w:tc>
          <w:tcPr>
            <w:tcW w:w="1417" w:type="dxa"/>
            <w:tcBorders>
              <w:top w:val="double" w:sz="4" w:space="0" w:color="auto"/>
              <w:left w:val="nil"/>
              <w:bottom w:val="single" w:sz="4" w:space="0" w:color="auto"/>
              <w:right w:val="single" w:sz="4" w:space="0" w:color="auto"/>
            </w:tcBorders>
            <w:noWrap/>
            <w:vAlign w:val="center"/>
            <w:hideMark/>
          </w:tcPr>
          <w:p w14:paraId="2B3220E9"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6804,3</w:t>
            </w:r>
          </w:p>
        </w:tc>
        <w:tc>
          <w:tcPr>
            <w:tcW w:w="1417" w:type="dxa"/>
            <w:tcBorders>
              <w:top w:val="double" w:sz="4" w:space="0" w:color="auto"/>
              <w:left w:val="nil"/>
              <w:bottom w:val="single" w:sz="4" w:space="0" w:color="auto"/>
              <w:right w:val="single" w:sz="4" w:space="0" w:color="auto"/>
            </w:tcBorders>
            <w:noWrap/>
            <w:vAlign w:val="center"/>
            <w:hideMark/>
          </w:tcPr>
          <w:p w14:paraId="3D254204"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6098,9</w:t>
            </w:r>
          </w:p>
        </w:tc>
      </w:tr>
    </w:tbl>
    <w:p w14:paraId="315DB888" w14:textId="6A42716C" w:rsidR="00522861" w:rsidRPr="00016B17" w:rsidRDefault="00522861" w:rsidP="00016B17">
      <w:pPr>
        <w:rPr>
          <w:rFonts w:cs="Times New Roman"/>
          <w:u w:val="single"/>
        </w:rPr>
      </w:pPr>
      <w:r w:rsidRPr="006414E6">
        <w:rPr>
          <w:rFonts w:cs="Times New Roman"/>
          <w:u w:val="single"/>
        </w:rPr>
        <w:t>Ukupna potrošnja energije</w:t>
      </w:r>
    </w:p>
    <w:p w14:paraId="1BC63E32" w14:textId="77777777" w:rsidR="00522861" w:rsidRPr="006414E6" w:rsidRDefault="00522861" w:rsidP="00016B17">
      <w:pPr>
        <w:rPr>
          <w:rFonts w:cs="Times New Roman"/>
        </w:rPr>
      </w:pPr>
      <w:r w:rsidRPr="006414E6">
        <w:rPr>
          <w:rFonts w:cs="Times New Roman"/>
        </w:rPr>
        <w:t>U NUR scenariju ukupne potrebe za energijom rastu do 2030. godine, a zatim opadaju do 2050. godine. Ukupna potrošnja u 2030. godini je za oko 4% veća u odnosu na današnju razinu, dok su u 2050. ukupne potrebe za energijom manje za 8%.</w:t>
      </w:r>
    </w:p>
    <w:p w14:paraId="6144312C" w14:textId="77777777" w:rsidR="00522861" w:rsidRPr="006414E6" w:rsidRDefault="00522861" w:rsidP="00016B17">
      <w:pPr>
        <w:rPr>
          <w:rFonts w:cs="Times New Roman"/>
        </w:rPr>
      </w:pPr>
      <w:r w:rsidRPr="006414E6">
        <w:rPr>
          <w:rFonts w:cs="Times New Roman"/>
        </w:rPr>
        <w:t>U strukturi oblika energije udio krutih i tekućih fosilnih goriva  te električne energije opada, a raste udio prirodnog plina i vodika. Najveća promjena se očekuje na strani OIE čiji udio raste s 21,4% na početku razdoblja na 32,0% u 2030. godini i na 40,9% u 2050. godini.</w:t>
      </w:r>
    </w:p>
    <w:p w14:paraId="1ED2FB9D" w14:textId="77777777" w:rsidR="00522861" w:rsidRPr="006414E6" w:rsidRDefault="00522861" w:rsidP="00522861">
      <w:pPr>
        <w:rPr>
          <w:rFonts w:cs="Times New Roman"/>
        </w:rPr>
      </w:pPr>
      <w:r w:rsidRPr="006414E6">
        <w:rPr>
          <w:rFonts w:cs="Times New Roman"/>
        </w:rPr>
        <w:t>U tablici I.1-3 prikazane su projekcije ukupne potrošnje energije u NUR scenariju.</w:t>
      </w:r>
    </w:p>
    <w:p w14:paraId="151D89C8" w14:textId="77777777" w:rsidR="00522861" w:rsidRPr="00016B17" w:rsidRDefault="00522861" w:rsidP="00016B17">
      <w:pPr>
        <w:rPr>
          <w:i/>
        </w:rPr>
      </w:pPr>
      <w:r w:rsidRPr="00016B17">
        <w:rPr>
          <w:i/>
        </w:rPr>
        <w:t>Tablica I.1-3: Ukupna potrošnja energije po gorivima, NUR</w:t>
      </w:r>
    </w:p>
    <w:tbl>
      <w:tblPr>
        <w:tblW w:w="7086" w:type="dxa"/>
        <w:tblLook w:val="04A0" w:firstRow="1" w:lastRow="0" w:firstColumn="1" w:lastColumn="0" w:noHBand="0" w:noVBand="1"/>
      </w:tblPr>
      <w:tblGrid>
        <w:gridCol w:w="2835"/>
        <w:gridCol w:w="1417"/>
        <w:gridCol w:w="1417"/>
        <w:gridCol w:w="1417"/>
      </w:tblGrid>
      <w:tr w:rsidR="00522861" w:rsidRPr="006414E6" w14:paraId="07CDD757"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3B6F7C" w14:textId="77777777" w:rsidR="00522861" w:rsidRPr="006414E6" w:rsidRDefault="00522861">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30B9DE"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5760FA"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301CCE"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3CA999B6"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ECAE989"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Ugljen i koks</w:t>
            </w:r>
          </w:p>
        </w:tc>
        <w:tc>
          <w:tcPr>
            <w:tcW w:w="1417" w:type="dxa"/>
            <w:tcBorders>
              <w:top w:val="nil"/>
              <w:left w:val="nil"/>
              <w:bottom w:val="single" w:sz="4" w:space="0" w:color="auto"/>
              <w:right w:val="single" w:sz="4" w:space="0" w:color="auto"/>
            </w:tcBorders>
            <w:noWrap/>
            <w:vAlign w:val="center"/>
            <w:hideMark/>
          </w:tcPr>
          <w:p w14:paraId="496E312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253,3</w:t>
            </w:r>
          </w:p>
        </w:tc>
        <w:tc>
          <w:tcPr>
            <w:tcW w:w="1417" w:type="dxa"/>
            <w:tcBorders>
              <w:top w:val="nil"/>
              <w:left w:val="nil"/>
              <w:bottom w:val="single" w:sz="4" w:space="0" w:color="auto"/>
              <w:right w:val="single" w:sz="4" w:space="0" w:color="auto"/>
            </w:tcBorders>
            <w:noWrap/>
            <w:vAlign w:val="center"/>
            <w:hideMark/>
          </w:tcPr>
          <w:p w14:paraId="236116F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46,5</w:t>
            </w:r>
          </w:p>
        </w:tc>
        <w:tc>
          <w:tcPr>
            <w:tcW w:w="1417" w:type="dxa"/>
            <w:tcBorders>
              <w:top w:val="nil"/>
              <w:left w:val="nil"/>
              <w:bottom w:val="single" w:sz="4" w:space="0" w:color="auto"/>
              <w:right w:val="single" w:sz="4" w:space="0" w:color="auto"/>
            </w:tcBorders>
            <w:noWrap/>
            <w:vAlign w:val="center"/>
            <w:hideMark/>
          </w:tcPr>
          <w:p w14:paraId="5EBABB2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33,9</w:t>
            </w:r>
          </w:p>
        </w:tc>
      </w:tr>
      <w:tr w:rsidR="00522861" w:rsidRPr="006414E6" w14:paraId="7B3A169F"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17AA1D9"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Tekuća fosilna goriva</w:t>
            </w:r>
          </w:p>
        </w:tc>
        <w:tc>
          <w:tcPr>
            <w:tcW w:w="1417" w:type="dxa"/>
            <w:tcBorders>
              <w:top w:val="nil"/>
              <w:left w:val="nil"/>
              <w:bottom w:val="single" w:sz="4" w:space="0" w:color="auto"/>
              <w:right w:val="single" w:sz="4" w:space="0" w:color="auto"/>
            </w:tcBorders>
            <w:noWrap/>
            <w:vAlign w:val="center"/>
            <w:hideMark/>
          </w:tcPr>
          <w:p w14:paraId="689FEDA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3203,1</w:t>
            </w:r>
          </w:p>
        </w:tc>
        <w:tc>
          <w:tcPr>
            <w:tcW w:w="1417" w:type="dxa"/>
            <w:tcBorders>
              <w:top w:val="nil"/>
              <w:left w:val="nil"/>
              <w:bottom w:val="single" w:sz="4" w:space="0" w:color="auto"/>
              <w:right w:val="single" w:sz="4" w:space="0" w:color="auto"/>
            </w:tcBorders>
            <w:noWrap/>
            <w:vAlign w:val="center"/>
            <w:hideMark/>
          </w:tcPr>
          <w:p w14:paraId="5A6D081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2797,5</w:t>
            </w:r>
          </w:p>
        </w:tc>
        <w:tc>
          <w:tcPr>
            <w:tcW w:w="1417" w:type="dxa"/>
            <w:tcBorders>
              <w:top w:val="nil"/>
              <w:left w:val="nil"/>
              <w:bottom w:val="single" w:sz="4" w:space="0" w:color="auto"/>
              <w:right w:val="single" w:sz="4" w:space="0" w:color="auto"/>
            </w:tcBorders>
            <w:noWrap/>
            <w:vAlign w:val="center"/>
            <w:hideMark/>
          </w:tcPr>
          <w:p w14:paraId="23DD48A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2192,4</w:t>
            </w:r>
          </w:p>
        </w:tc>
      </w:tr>
      <w:tr w:rsidR="00522861" w:rsidRPr="006414E6" w14:paraId="1766150B"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E82C2AD"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Prirodni plin</w:t>
            </w:r>
          </w:p>
        </w:tc>
        <w:tc>
          <w:tcPr>
            <w:tcW w:w="1417" w:type="dxa"/>
            <w:tcBorders>
              <w:top w:val="nil"/>
              <w:left w:val="nil"/>
              <w:bottom w:val="single" w:sz="4" w:space="0" w:color="auto"/>
              <w:right w:val="single" w:sz="4" w:space="0" w:color="auto"/>
            </w:tcBorders>
            <w:noWrap/>
            <w:vAlign w:val="center"/>
            <w:hideMark/>
          </w:tcPr>
          <w:p w14:paraId="79735CD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2446,8</w:t>
            </w:r>
          </w:p>
        </w:tc>
        <w:tc>
          <w:tcPr>
            <w:tcW w:w="1417" w:type="dxa"/>
            <w:tcBorders>
              <w:top w:val="nil"/>
              <w:left w:val="nil"/>
              <w:bottom w:val="single" w:sz="4" w:space="0" w:color="auto"/>
              <w:right w:val="single" w:sz="4" w:space="0" w:color="auto"/>
            </w:tcBorders>
            <w:noWrap/>
            <w:vAlign w:val="center"/>
            <w:hideMark/>
          </w:tcPr>
          <w:p w14:paraId="59BE410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2696,4</w:t>
            </w:r>
          </w:p>
        </w:tc>
        <w:tc>
          <w:tcPr>
            <w:tcW w:w="1417" w:type="dxa"/>
            <w:tcBorders>
              <w:top w:val="nil"/>
              <w:left w:val="nil"/>
              <w:bottom w:val="single" w:sz="4" w:space="0" w:color="auto"/>
              <w:right w:val="single" w:sz="4" w:space="0" w:color="auto"/>
            </w:tcBorders>
            <w:noWrap/>
            <w:vAlign w:val="center"/>
            <w:hideMark/>
          </w:tcPr>
          <w:p w14:paraId="72D2ADE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2621,2</w:t>
            </w:r>
          </w:p>
        </w:tc>
      </w:tr>
      <w:tr w:rsidR="00522861" w:rsidRPr="006414E6" w14:paraId="772572D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241FB5F"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Obnovljivi izvori</w:t>
            </w:r>
          </w:p>
        </w:tc>
        <w:tc>
          <w:tcPr>
            <w:tcW w:w="1417" w:type="dxa"/>
            <w:tcBorders>
              <w:top w:val="nil"/>
              <w:left w:val="nil"/>
              <w:bottom w:val="single" w:sz="4" w:space="0" w:color="auto"/>
              <w:right w:val="single" w:sz="4" w:space="0" w:color="auto"/>
            </w:tcBorders>
            <w:noWrap/>
            <w:vAlign w:val="center"/>
            <w:hideMark/>
          </w:tcPr>
          <w:p w14:paraId="7855441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2936,3</w:t>
            </w:r>
          </w:p>
        </w:tc>
        <w:tc>
          <w:tcPr>
            <w:tcW w:w="1417" w:type="dxa"/>
            <w:tcBorders>
              <w:top w:val="nil"/>
              <w:left w:val="nil"/>
              <w:bottom w:val="single" w:sz="4" w:space="0" w:color="auto"/>
              <w:right w:val="single" w:sz="4" w:space="0" w:color="auto"/>
            </w:tcBorders>
            <w:noWrap/>
            <w:vAlign w:val="center"/>
            <w:hideMark/>
          </w:tcPr>
          <w:p w14:paraId="7A21819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3269,5</w:t>
            </w:r>
          </w:p>
        </w:tc>
        <w:tc>
          <w:tcPr>
            <w:tcW w:w="1417" w:type="dxa"/>
            <w:tcBorders>
              <w:top w:val="nil"/>
              <w:left w:val="nil"/>
              <w:bottom w:val="single" w:sz="4" w:space="0" w:color="auto"/>
              <w:right w:val="single" w:sz="4" w:space="0" w:color="auto"/>
            </w:tcBorders>
            <w:noWrap/>
            <w:vAlign w:val="center"/>
            <w:hideMark/>
          </w:tcPr>
          <w:p w14:paraId="72746A7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3351,9</w:t>
            </w:r>
          </w:p>
        </w:tc>
      </w:tr>
      <w:tr w:rsidR="00522861" w:rsidRPr="006414E6" w14:paraId="2DFCBAFE"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2B41FBC"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Neobnovljivi otpad</w:t>
            </w:r>
          </w:p>
        </w:tc>
        <w:tc>
          <w:tcPr>
            <w:tcW w:w="1417" w:type="dxa"/>
            <w:tcBorders>
              <w:top w:val="nil"/>
              <w:left w:val="nil"/>
              <w:bottom w:val="single" w:sz="4" w:space="0" w:color="auto"/>
              <w:right w:val="single" w:sz="4" w:space="0" w:color="auto"/>
            </w:tcBorders>
            <w:noWrap/>
            <w:vAlign w:val="center"/>
            <w:hideMark/>
          </w:tcPr>
          <w:p w14:paraId="033269F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10,6</w:t>
            </w:r>
          </w:p>
        </w:tc>
        <w:tc>
          <w:tcPr>
            <w:tcW w:w="1417" w:type="dxa"/>
            <w:tcBorders>
              <w:top w:val="nil"/>
              <w:left w:val="nil"/>
              <w:bottom w:val="single" w:sz="4" w:space="0" w:color="auto"/>
              <w:right w:val="single" w:sz="4" w:space="0" w:color="auto"/>
            </w:tcBorders>
            <w:noWrap/>
            <w:vAlign w:val="center"/>
            <w:hideMark/>
          </w:tcPr>
          <w:p w14:paraId="40179CD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10,0</w:t>
            </w:r>
          </w:p>
        </w:tc>
        <w:tc>
          <w:tcPr>
            <w:tcW w:w="1417" w:type="dxa"/>
            <w:tcBorders>
              <w:top w:val="nil"/>
              <w:left w:val="nil"/>
              <w:bottom w:val="single" w:sz="4" w:space="0" w:color="auto"/>
              <w:right w:val="single" w:sz="4" w:space="0" w:color="auto"/>
            </w:tcBorders>
            <w:noWrap/>
            <w:vAlign w:val="center"/>
            <w:hideMark/>
          </w:tcPr>
          <w:p w14:paraId="64E7DC5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8,1</w:t>
            </w:r>
          </w:p>
        </w:tc>
      </w:tr>
      <w:tr w:rsidR="00522861" w:rsidRPr="006414E6" w14:paraId="55313FF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39E5D64"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Električna energija</w:t>
            </w:r>
          </w:p>
        </w:tc>
        <w:tc>
          <w:tcPr>
            <w:tcW w:w="1417" w:type="dxa"/>
            <w:tcBorders>
              <w:top w:val="nil"/>
              <w:left w:val="nil"/>
              <w:bottom w:val="single" w:sz="4" w:space="0" w:color="auto"/>
              <w:right w:val="single" w:sz="4" w:space="0" w:color="auto"/>
            </w:tcBorders>
            <w:noWrap/>
            <w:vAlign w:val="center"/>
            <w:hideMark/>
          </w:tcPr>
          <w:p w14:paraId="7D71AB3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334,6</w:t>
            </w:r>
          </w:p>
        </w:tc>
        <w:tc>
          <w:tcPr>
            <w:tcW w:w="1417" w:type="dxa"/>
            <w:tcBorders>
              <w:top w:val="nil"/>
              <w:left w:val="nil"/>
              <w:bottom w:val="single" w:sz="4" w:space="0" w:color="auto"/>
              <w:right w:val="single" w:sz="4" w:space="0" w:color="auto"/>
            </w:tcBorders>
            <w:noWrap/>
            <w:vAlign w:val="center"/>
            <w:hideMark/>
          </w:tcPr>
          <w:p w14:paraId="0CC2D17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130,6</w:t>
            </w:r>
          </w:p>
        </w:tc>
        <w:tc>
          <w:tcPr>
            <w:tcW w:w="1417" w:type="dxa"/>
            <w:tcBorders>
              <w:top w:val="nil"/>
              <w:left w:val="nil"/>
              <w:bottom w:val="single" w:sz="4" w:space="0" w:color="auto"/>
              <w:right w:val="single" w:sz="4" w:space="0" w:color="auto"/>
            </w:tcBorders>
            <w:noWrap/>
            <w:vAlign w:val="center"/>
            <w:hideMark/>
          </w:tcPr>
          <w:p w14:paraId="28EADD1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27,1</w:t>
            </w:r>
          </w:p>
        </w:tc>
      </w:tr>
      <w:tr w:rsidR="00522861" w:rsidRPr="006414E6" w14:paraId="09406C13"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5D6F6A1A"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Vodik</w:t>
            </w:r>
          </w:p>
        </w:tc>
        <w:tc>
          <w:tcPr>
            <w:tcW w:w="1417" w:type="dxa"/>
            <w:tcBorders>
              <w:top w:val="nil"/>
              <w:left w:val="nil"/>
              <w:bottom w:val="double" w:sz="4" w:space="0" w:color="auto"/>
              <w:right w:val="single" w:sz="4" w:space="0" w:color="auto"/>
            </w:tcBorders>
            <w:noWrap/>
            <w:vAlign w:val="center"/>
            <w:hideMark/>
          </w:tcPr>
          <w:p w14:paraId="164647F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0,0</w:t>
            </w:r>
          </w:p>
        </w:tc>
        <w:tc>
          <w:tcPr>
            <w:tcW w:w="1417" w:type="dxa"/>
            <w:tcBorders>
              <w:top w:val="nil"/>
              <w:left w:val="nil"/>
              <w:bottom w:val="double" w:sz="4" w:space="0" w:color="auto"/>
              <w:right w:val="single" w:sz="4" w:space="0" w:color="auto"/>
            </w:tcBorders>
            <w:noWrap/>
            <w:vAlign w:val="center"/>
            <w:hideMark/>
          </w:tcPr>
          <w:p w14:paraId="214333A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0,2</w:t>
            </w:r>
          </w:p>
        </w:tc>
        <w:tc>
          <w:tcPr>
            <w:tcW w:w="1417" w:type="dxa"/>
            <w:tcBorders>
              <w:top w:val="nil"/>
              <w:left w:val="nil"/>
              <w:bottom w:val="double" w:sz="4" w:space="0" w:color="auto"/>
              <w:right w:val="single" w:sz="4" w:space="0" w:color="auto"/>
            </w:tcBorders>
            <w:noWrap/>
            <w:vAlign w:val="center"/>
            <w:hideMark/>
          </w:tcPr>
          <w:p w14:paraId="2A22847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15,9</w:t>
            </w:r>
          </w:p>
        </w:tc>
      </w:tr>
      <w:tr w:rsidR="00522861" w:rsidRPr="006414E6" w14:paraId="38FC4F58"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7EDA24"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2883444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9184,7</w:t>
            </w:r>
          </w:p>
        </w:tc>
        <w:tc>
          <w:tcPr>
            <w:tcW w:w="1417" w:type="dxa"/>
            <w:tcBorders>
              <w:top w:val="double" w:sz="4" w:space="0" w:color="auto"/>
              <w:left w:val="nil"/>
              <w:bottom w:val="single" w:sz="4" w:space="0" w:color="auto"/>
              <w:right w:val="single" w:sz="4" w:space="0" w:color="auto"/>
            </w:tcBorders>
            <w:noWrap/>
            <w:vAlign w:val="center"/>
            <w:hideMark/>
          </w:tcPr>
          <w:p w14:paraId="4EDE861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8950,7</w:t>
            </w:r>
          </w:p>
        </w:tc>
        <w:tc>
          <w:tcPr>
            <w:tcW w:w="1417" w:type="dxa"/>
            <w:tcBorders>
              <w:top w:val="double" w:sz="4" w:space="0" w:color="auto"/>
              <w:left w:val="nil"/>
              <w:bottom w:val="single" w:sz="4" w:space="0" w:color="auto"/>
              <w:right w:val="single" w:sz="4" w:space="0" w:color="auto"/>
            </w:tcBorders>
            <w:noWrap/>
            <w:vAlign w:val="center"/>
            <w:hideMark/>
          </w:tcPr>
          <w:p w14:paraId="49CC2D8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8250,5</w:t>
            </w:r>
          </w:p>
        </w:tc>
      </w:tr>
    </w:tbl>
    <w:p w14:paraId="429E4E53" w14:textId="77777777" w:rsidR="00522861" w:rsidRPr="006414E6" w:rsidRDefault="00522861" w:rsidP="00522861">
      <w:pPr>
        <w:rPr>
          <w:rFonts w:cs="Times New Roman"/>
          <w:u w:val="single"/>
        </w:rPr>
      </w:pPr>
      <w:r w:rsidRPr="006414E6">
        <w:rPr>
          <w:rFonts w:cs="Times New Roman"/>
          <w:u w:val="single"/>
        </w:rPr>
        <w:t>Obnovljivi izvori energije</w:t>
      </w:r>
    </w:p>
    <w:p w14:paraId="14925F84" w14:textId="77777777" w:rsidR="00522861" w:rsidRPr="006414E6" w:rsidRDefault="00522861" w:rsidP="00522861">
      <w:pPr>
        <w:rPr>
          <w:rFonts w:cs="Times New Roman"/>
        </w:rPr>
      </w:pPr>
      <w:r w:rsidRPr="006414E6">
        <w:rPr>
          <w:rFonts w:cs="Times New Roman"/>
        </w:rPr>
        <w:t>U NUR scenariju raste korištenje energije iz obnovljivih izvora kao i njihova diversifikacija. Do 2030. godine korištenje obnovljivih izvora energije se povećava za 55%, a do 2050. godine za 77%.</w:t>
      </w:r>
    </w:p>
    <w:p w14:paraId="62F8F413" w14:textId="77777777" w:rsidR="00522861" w:rsidRPr="006414E6" w:rsidRDefault="00522861" w:rsidP="00522861">
      <w:pPr>
        <w:rPr>
          <w:rFonts w:cs="Times New Roman"/>
        </w:rPr>
      </w:pPr>
      <w:r w:rsidRPr="006414E6">
        <w:rPr>
          <w:rFonts w:cs="Times New Roman"/>
        </w:rPr>
        <w:t>U tablici I.1-4 prikazane su projekcije potrošnje obnovljivih izvora energije u NUR scenariju.</w:t>
      </w:r>
    </w:p>
    <w:p w14:paraId="565C9539" w14:textId="77777777" w:rsidR="00522861" w:rsidRPr="00016B17" w:rsidRDefault="00522861" w:rsidP="00016B17">
      <w:pPr>
        <w:rPr>
          <w:i/>
        </w:rPr>
      </w:pPr>
      <w:r w:rsidRPr="00016B17">
        <w:rPr>
          <w:i/>
        </w:rPr>
        <w:t xml:space="preserve">Tablica I.1-4: Projekcije potrošnje obnovljivih izvora energije u NUR scenariju </w:t>
      </w:r>
    </w:p>
    <w:tbl>
      <w:tblPr>
        <w:tblW w:w="7086" w:type="dxa"/>
        <w:tblLook w:val="04A0" w:firstRow="1" w:lastRow="0" w:firstColumn="1" w:lastColumn="0" w:noHBand="0" w:noVBand="1"/>
      </w:tblPr>
      <w:tblGrid>
        <w:gridCol w:w="2835"/>
        <w:gridCol w:w="1417"/>
        <w:gridCol w:w="1417"/>
        <w:gridCol w:w="1417"/>
      </w:tblGrid>
      <w:tr w:rsidR="00522861" w:rsidRPr="006414E6" w14:paraId="22497E26"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8D58E8A" w14:textId="77777777" w:rsidR="00522861" w:rsidRPr="006414E6" w:rsidRDefault="00522861" w:rsidP="00B52A3F">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CA0E02"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98866AD"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D7CFBD"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6E59170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8792E46"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lastRenderedPageBreak/>
              <w:t>Geotermalna energija</w:t>
            </w:r>
          </w:p>
        </w:tc>
        <w:tc>
          <w:tcPr>
            <w:tcW w:w="1417" w:type="dxa"/>
            <w:tcBorders>
              <w:top w:val="nil"/>
              <w:left w:val="nil"/>
              <w:bottom w:val="single" w:sz="4" w:space="0" w:color="auto"/>
              <w:right w:val="single" w:sz="4" w:space="0" w:color="auto"/>
            </w:tcBorders>
            <w:noWrap/>
            <w:vAlign w:val="center"/>
            <w:hideMark/>
          </w:tcPr>
          <w:p w14:paraId="5BF135A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208,5</w:t>
            </w:r>
          </w:p>
        </w:tc>
        <w:tc>
          <w:tcPr>
            <w:tcW w:w="1417" w:type="dxa"/>
            <w:tcBorders>
              <w:top w:val="nil"/>
              <w:left w:val="nil"/>
              <w:bottom w:val="single" w:sz="4" w:space="0" w:color="auto"/>
              <w:right w:val="single" w:sz="4" w:space="0" w:color="auto"/>
            </w:tcBorders>
            <w:noWrap/>
            <w:vAlign w:val="center"/>
            <w:hideMark/>
          </w:tcPr>
          <w:p w14:paraId="4FA43C2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374,1</w:t>
            </w:r>
          </w:p>
        </w:tc>
        <w:tc>
          <w:tcPr>
            <w:tcW w:w="1417" w:type="dxa"/>
            <w:tcBorders>
              <w:top w:val="nil"/>
              <w:left w:val="nil"/>
              <w:bottom w:val="single" w:sz="4" w:space="0" w:color="auto"/>
              <w:right w:val="single" w:sz="4" w:space="0" w:color="auto"/>
            </w:tcBorders>
            <w:noWrap/>
            <w:vAlign w:val="center"/>
            <w:hideMark/>
          </w:tcPr>
          <w:p w14:paraId="6AA59BD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446,3</w:t>
            </w:r>
          </w:p>
        </w:tc>
      </w:tr>
      <w:tr w:rsidR="00522861" w:rsidRPr="006414E6" w14:paraId="6BD0ED9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AD4FB52"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Biogoriva</w:t>
            </w:r>
          </w:p>
        </w:tc>
        <w:tc>
          <w:tcPr>
            <w:tcW w:w="1417" w:type="dxa"/>
            <w:tcBorders>
              <w:top w:val="nil"/>
              <w:left w:val="nil"/>
              <w:bottom w:val="single" w:sz="4" w:space="0" w:color="auto"/>
              <w:right w:val="single" w:sz="4" w:space="0" w:color="auto"/>
            </w:tcBorders>
            <w:noWrap/>
            <w:vAlign w:val="center"/>
            <w:hideMark/>
          </w:tcPr>
          <w:p w14:paraId="07BA773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257,9</w:t>
            </w:r>
          </w:p>
        </w:tc>
        <w:tc>
          <w:tcPr>
            <w:tcW w:w="1417" w:type="dxa"/>
            <w:tcBorders>
              <w:top w:val="nil"/>
              <w:left w:val="nil"/>
              <w:bottom w:val="single" w:sz="4" w:space="0" w:color="auto"/>
              <w:right w:val="single" w:sz="4" w:space="0" w:color="auto"/>
            </w:tcBorders>
            <w:noWrap/>
            <w:vAlign w:val="center"/>
            <w:hideMark/>
          </w:tcPr>
          <w:p w14:paraId="177B7D2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304,5</w:t>
            </w:r>
          </w:p>
        </w:tc>
        <w:tc>
          <w:tcPr>
            <w:tcW w:w="1417" w:type="dxa"/>
            <w:tcBorders>
              <w:top w:val="nil"/>
              <w:left w:val="nil"/>
              <w:bottom w:val="single" w:sz="4" w:space="0" w:color="auto"/>
              <w:right w:val="single" w:sz="4" w:space="0" w:color="auto"/>
            </w:tcBorders>
            <w:noWrap/>
            <w:vAlign w:val="center"/>
            <w:hideMark/>
          </w:tcPr>
          <w:p w14:paraId="777C04C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305,9</w:t>
            </w:r>
          </w:p>
        </w:tc>
      </w:tr>
      <w:tr w:rsidR="00522861" w:rsidRPr="006414E6" w14:paraId="7EFC7583"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937677D"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Bioplin</w:t>
            </w:r>
          </w:p>
        </w:tc>
        <w:tc>
          <w:tcPr>
            <w:tcW w:w="1417" w:type="dxa"/>
            <w:tcBorders>
              <w:top w:val="nil"/>
              <w:left w:val="nil"/>
              <w:bottom w:val="single" w:sz="4" w:space="0" w:color="auto"/>
              <w:right w:val="single" w:sz="4" w:space="0" w:color="auto"/>
            </w:tcBorders>
            <w:noWrap/>
            <w:vAlign w:val="center"/>
            <w:hideMark/>
          </w:tcPr>
          <w:p w14:paraId="6D89F1B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78,1</w:t>
            </w:r>
          </w:p>
        </w:tc>
        <w:tc>
          <w:tcPr>
            <w:tcW w:w="1417" w:type="dxa"/>
            <w:tcBorders>
              <w:top w:val="nil"/>
              <w:left w:val="nil"/>
              <w:bottom w:val="single" w:sz="4" w:space="0" w:color="auto"/>
              <w:right w:val="single" w:sz="4" w:space="0" w:color="auto"/>
            </w:tcBorders>
            <w:noWrap/>
            <w:vAlign w:val="center"/>
            <w:hideMark/>
          </w:tcPr>
          <w:p w14:paraId="600AC20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78,4</w:t>
            </w:r>
          </w:p>
        </w:tc>
        <w:tc>
          <w:tcPr>
            <w:tcW w:w="1417" w:type="dxa"/>
            <w:tcBorders>
              <w:top w:val="nil"/>
              <w:left w:val="nil"/>
              <w:bottom w:val="single" w:sz="4" w:space="0" w:color="auto"/>
              <w:right w:val="single" w:sz="4" w:space="0" w:color="auto"/>
            </w:tcBorders>
            <w:noWrap/>
            <w:vAlign w:val="center"/>
            <w:hideMark/>
          </w:tcPr>
          <w:p w14:paraId="17C1C05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24,5</w:t>
            </w:r>
          </w:p>
        </w:tc>
      </w:tr>
      <w:tr w:rsidR="00522861" w:rsidRPr="006414E6" w14:paraId="2531181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6350D5D"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Kruta biomasa</w:t>
            </w:r>
          </w:p>
        </w:tc>
        <w:tc>
          <w:tcPr>
            <w:tcW w:w="1417" w:type="dxa"/>
            <w:tcBorders>
              <w:top w:val="nil"/>
              <w:left w:val="nil"/>
              <w:bottom w:val="single" w:sz="4" w:space="0" w:color="auto"/>
              <w:right w:val="single" w:sz="4" w:space="0" w:color="auto"/>
            </w:tcBorders>
            <w:noWrap/>
            <w:vAlign w:val="center"/>
            <w:hideMark/>
          </w:tcPr>
          <w:p w14:paraId="2C4E7C7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1417,9</w:t>
            </w:r>
          </w:p>
        </w:tc>
        <w:tc>
          <w:tcPr>
            <w:tcW w:w="1417" w:type="dxa"/>
            <w:tcBorders>
              <w:top w:val="nil"/>
              <w:left w:val="nil"/>
              <w:bottom w:val="single" w:sz="4" w:space="0" w:color="auto"/>
              <w:right w:val="single" w:sz="4" w:space="0" w:color="auto"/>
            </w:tcBorders>
            <w:noWrap/>
            <w:vAlign w:val="center"/>
            <w:hideMark/>
          </w:tcPr>
          <w:p w14:paraId="5A0A506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1284,6</w:t>
            </w:r>
          </w:p>
        </w:tc>
        <w:tc>
          <w:tcPr>
            <w:tcW w:w="1417" w:type="dxa"/>
            <w:tcBorders>
              <w:top w:val="nil"/>
              <w:left w:val="nil"/>
              <w:bottom w:val="single" w:sz="4" w:space="0" w:color="auto"/>
              <w:right w:val="single" w:sz="4" w:space="0" w:color="auto"/>
            </w:tcBorders>
            <w:noWrap/>
            <w:vAlign w:val="center"/>
            <w:hideMark/>
          </w:tcPr>
          <w:p w14:paraId="58BB517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1066,1</w:t>
            </w:r>
          </w:p>
        </w:tc>
      </w:tr>
      <w:tr w:rsidR="00522861" w:rsidRPr="006414E6" w14:paraId="05804FA2"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7765710"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Energija Sunca</w:t>
            </w:r>
          </w:p>
        </w:tc>
        <w:tc>
          <w:tcPr>
            <w:tcW w:w="1417" w:type="dxa"/>
            <w:tcBorders>
              <w:top w:val="nil"/>
              <w:left w:val="nil"/>
              <w:bottom w:val="single" w:sz="4" w:space="0" w:color="auto"/>
              <w:right w:val="single" w:sz="4" w:space="0" w:color="auto"/>
            </w:tcBorders>
            <w:noWrap/>
            <w:vAlign w:val="center"/>
            <w:hideMark/>
          </w:tcPr>
          <w:p w14:paraId="41F6F4C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84,4</w:t>
            </w:r>
          </w:p>
        </w:tc>
        <w:tc>
          <w:tcPr>
            <w:tcW w:w="1417" w:type="dxa"/>
            <w:tcBorders>
              <w:top w:val="nil"/>
              <w:left w:val="nil"/>
              <w:bottom w:val="single" w:sz="4" w:space="0" w:color="auto"/>
              <w:right w:val="single" w:sz="4" w:space="0" w:color="auto"/>
            </w:tcBorders>
            <w:noWrap/>
            <w:vAlign w:val="center"/>
            <w:hideMark/>
          </w:tcPr>
          <w:p w14:paraId="3A1A3D3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184,2</w:t>
            </w:r>
          </w:p>
        </w:tc>
        <w:tc>
          <w:tcPr>
            <w:tcW w:w="1417" w:type="dxa"/>
            <w:tcBorders>
              <w:top w:val="nil"/>
              <w:left w:val="nil"/>
              <w:bottom w:val="single" w:sz="4" w:space="0" w:color="auto"/>
              <w:right w:val="single" w:sz="4" w:space="0" w:color="auto"/>
            </w:tcBorders>
            <w:noWrap/>
            <w:vAlign w:val="center"/>
            <w:hideMark/>
          </w:tcPr>
          <w:p w14:paraId="1BAAE0D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285,7</w:t>
            </w:r>
          </w:p>
        </w:tc>
      </w:tr>
      <w:tr w:rsidR="00522861" w:rsidRPr="006414E6" w14:paraId="268136A3"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67B9DD2"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Energija vjetra</w:t>
            </w:r>
          </w:p>
        </w:tc>
        <w:tc>
          <w:tcPr>
            <w:tcW w:w="1417" w:type="dxa"/>
            <w:tcBorders>
              <w:top w:val="nil"/>
              <w:left w:val="nil"/>
              <w:bottom w:val="single" w:sz="4" w:space="0" w:color="auto"/>
              <w:right w:val="single" w:sz="4" w:space="0" w:color="auto"/>
            </w:tcBorders>
            <w:noWrap/>
            <w:vAlign w:val="center"/>
            <w:hideMark/>
          </w:tcPr>
          <w:p w14:paraId="6F623BF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250,3</w:t>
            </w:r>
          </w:p>
        </w:tc>
        <w:tc>
          <w:tcPr>
            <w:tcW w:w="1417" w:type="dxa"/>
            <w:tcBorders>
              <w:top w:val="nil"/>
              <w:left w:val="nil"/>
              <w:bottom w:val="single" w:sz="4" w:space="0" w:color="auto"/>
              <w:right w:val="single" w:sz="4" w:space="0" w:color="auto"/>
            </w:tcBorders>
            <w:noWrap/>
            <w:vAlign w:val="center"/>
            <w:hideMark/>
          </w:tcPr>
          <w:p w14:paraId="26A3087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382,8</w:t>
            </w:r>
          </w:p>
        </w:tc>
        <w:tc>
          <w:tcPr>
            <w:tcW w:w="1417" w:type="dxa"/>
            <w:tcBorders>
              <w:top w:val="nil"/>
              <w:left w:val="nil"/>
              <w:bottom w:val="single" w:sz="4" w:space="0" w:color="auto"/>
              <w:right w:val="single" w:sz="4" w:space="0" w:color="auto"/>
            </w:tcBorders>
            <w:noWrap/>
            <w:vAlign w:val="center"/>
            <w:hideMark/>
          </w:tcPr>
          <w:p w14:paraId="5788646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521,1</w:t>
            </w:r>
          </w:p>
        </w:tc>
      </w:tr>
      <w:tr w:rsidR="00522861" w:rsidRPr="006414E6" w14:paraId="04770098"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4619D5EB"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Hidroenergija</w:t>
            </w:r>
          </w:p>
        </w:tc>
        <w:tc>
          <w:tcPr>
            <w:tcW w:w="1417" w:type="dxa"/>
            <w:tcBorders>
              <w:top w:val="nil"/>
              <w:left w:val="nil"/>
              <w:bottom w:val="double" w:sz="4" w:space="0" w:color="auto"/>
              <w:right w:val="single" w:sz="4" w:space="0" w:color="auto"/>
            </w:tcBorders>
            <w:noWrap/>
            <w:vAlign w:val="center"/>
            <w:hideMark/>
          </w:tcPr>
          <w:p w14:paraId="683075E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619,3</w:t>
            </w:r>
          </w:p>
        </w:tc>
        <w:tc>
          <w:tcPr>
            <w:tcW w:w="1417" w:type="dxa"/>
            <w:tcBorders>
              <w:top w:val="nil"/>
              <w:left w:val="nil"/>
              <w:bottom w:val="double" w:sz="4" w:space="0" w:color="auto"/>
              <w:right w:val="single" w:sz="4" w:space="0" w:color="auto"/>
            </w:tcBorders>
            <w:noWrap/>
            <w:vAlign w:val="center"/>
            <w:hideMark/>
          </w:tcPr>
          <w:p w14:paraId="26272CF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650,8</w:t>
            </w:r>
          </w:p>
        </w:tc>
        <w:tc>
          <w:tcPr>
            <w:tcW w:w="1417" w:type="dxa"/>
            <w:tcBorders>
              <w:top w:val="nil"/>
              <w:left w:val="nil"/>
              <w:bottom w:val="double" w:sz="4" w:space="0" w:color="auto"/>
              <w:right w:val="single" w:sz="4" w:space="0" w:color="auto"/>
            </w:tcBorders>
            <w:noWrap/>
            <w:vAlign w:val="center"/>
            <w:hideMark/>
          </w:tcPr>
          <w:p w14:paraId="47F45BE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702,3</w:t>
            </w:r>
          </w:p>
        </w:tc>
      </w:tr>
      <w:tr w:rsidR="00522861" w:rsidRPr="006414E6" w14:paraId="3D6E247B"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45E7FDD"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185C276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2916,4</w:t>
            </w:r>
          </w:p>
        </w:tc>
        <w:tc>
          <w:tcPr>
            <w:tcW w:w="1417" w:type="dxa"/>
            <w:tcBorders>
              <w:top w:val="double" w:sz="4" w:space="0" w:color="auto"/>
              <w:left w:val="nil"/>
              <w:bottom w:val="single" w:sz="4" w:space="0" w:color="auto"/>
              <w:right w:val="single" w:sz="4" w:space="0" w:color="auto"/>
            </w:tcBorders>
            <w:noWrap/>
            <w:vAlign w:val="center"/>
            <w:hideMark/>
          </w:tcPr>
          <w:p w14:paraId="2260D71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3259,4</w:t>
            </w:r>
          </w:p>
        </w:tc>
        <w:tc>
          <w:tcPr>
            <w:tcW w:w="1417" w:type="dxa"/>
            <w:tcBorders>
              <w:top w:val="double" w:sz="4" w:space="0" w:color="auto"/>
              <w:left w:val="nil"/>
              <w:bottom w:val="single" w:sz="4" w:space="0" w:color="auto"/>
              <w:right w:val="single" w:sz="4" w:space="0" w:color="auto"/>
            </w:tcBorders>
            <w:noWrap/>
            <w:vAlign w:val="center"/>
            <w:hideMark/>
          </w:tcPr>
          <w:p w14:paraId="78284F1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3351,9</w:t>
            </w:r>
          </w:p>
        </w:tc>
      </w:tr>
    </w:tbl>
    <w:p w14:paraId="0BE80E80" w14:textId="77777777" w:rsidR="00522861" w:rsidRPr="006414E6" w:rsidRDefault="00522861" w:rsidP="00522861">
      <w:pPr>
        <w:rPr>
          <w:rFonts w:cs="Times New Roman"/>
          <w:u w:val="single"/>
        </w:rPr>
      </w:pPr>
      <w:r w:rsidRPr="006414E6">
        <w:rPr>
          <w:rFonts w:cs="Times New Roman"/>
          <w:u w:val="single"/>
        </w:rPr>
        <w:t>Proizvodnja električne energije i topline</w:t>
      </w:r>
    </w:p>
    <w:p w14:paraId="4CA7FB29" w14:textId="77777777" w:rsidR="00522861" w:rsidRPr="006414E6" w:rsidRDefault="00522861" w:rsidP="00522861">
      <w:pPr>
        <w:rPr>
          <w:rFonts w:cs="Times New Roman"/>
        </w:rPr>
      </w:pPr>
      <w:r w:rsidRPr="006414E6">
        <w:rPr>
          <w:rFonts w:cs="Times New Roman"/>
        </w:rPr>
        <w:t>U NUR scenariju očekuje se povećanje domaće proizvodnje i značajna promjena u strukturi proizvodnje električne energije. Povećava se udio obnovljivih izvora energije, a smanjuje udio proizvodnje termoelektrana (općenito – termoelektrane, javne toplane i industrijske kogeneracije). Do kraja promatranog razdoblja sve potrebne količine električne energije mogle bi se proizvesti iz domaćih elektrana, ali je moguća razmjena sa susjednim sustavima (tj. neto uvoz je jednak nuli).</w:t>
      </w:r>
    </w:p>
    <w:p w14:paraId="39EE0E61" w14:textId="77777777" w:rsidR="00522861" w:rsidRPr="006414E6" w:rsidRDefault="00522861" w:rsidP="00522861">
      <w:pPr>
        <w:rPr>
          <w:rFonts w:cs="Times New Roman"/>
        </w:rPr>
      </w:pPr>
      <w:r w:rsidRPr="006414E6">
        <w:rPr>
          <w:rFonts w:cs="Times New Roman"/>
        </w:rPr>
        <w:t>U NUR scenariju ukupna snaga elektrana raste na 6,0 GW u 2030. godini, odnosno na 8,3 GW u 2050. godini. Izgradnja novih elektrana u ovom scenariju je najmanja među razmatranim scenarijima s obzirom da ovaj scenarij ima najsporiji porast potrošnje električne energije i pretpostavljena brzina razvoja obnovljivih izvora energije je sporija. Prosječno je godišnje potrebno izgraditi oko 200 MW novih elektrana.</w:t>
      </w:r>
    </w:p>
    <w:p w14:paraId="2FAF4B93" w14:textId="77777777" w:rsidR="00522861" w:rsidRPr="006414E6" w:rsidRDefault="00522861" w:rsidP="00522861">
      <w:pPr>
        <w:rPr>
          <w:rFonts w:cs="Times New Roman"/>
        </w:rPr>
      </w:pPr>
      <w:r w:rsidRPr="006414E6">
        <w:rPr>
          <w:rFonts w:cs="Times New Roman"/>
        </w:rPr>
        <w:t>U tablici I.1-5 prikazane su projekcije proizvodnje električne energije u NUR scenariju.</w:t>
      </w:r>
    </w:p>
    <w:p w14:paraId="6FD8EDDB" w14:textId="77777777" w:rsidR="00522861" w:rsidRPr="00016B17" w:rsidRDefault="00522861" w:rsidP="00016B17">
      <w:pPr>
        <w:rPr>
          <w:i/>
        </w:rPr>
      </w:pPr>
      <w:r w:rsidRPr="00016B17">
        <w:rPr>
          <w:i/>
        </w:rPr>
        <w:t xml:space="preserve">Tablica I.1-5: Projekcije proizvodnje električne energije u NUR scenariju </w:t>
      </w:r>
    </w:p>
    <w:tbl>
      <w:tblPr>
        <w:tblW w:w="7086" w:type="dxa"/>
        <w:tblLook w:val="04A0" w:firstRow="1" w:lastRow="0" w:firstColumn="1" w:lastColumn="0" w:noHBand="0" w:noVBand="1"/>
      </w:tblPr>
      <w:tblGrid>
        <w:gridCol w:w="2835"/>
        <w:gridCol w:w="1417"/>
        <w:gridCol w:w="1417"/>
        <w:gridCol w:w="1417"/>
      </w:tblGrid>
      <w:tr w:rsidR="00522861" w:rsidRPr="006414E6" w14:paraId="77ADBBD1"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029CDB0" w14:textId="77777777" w:rsidR="00522861" w:rsidRPr="006414E6" w:rsidRDefault="00522861" w:rsidP="00B52A3F">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C4BEC5"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D73959"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BFE47F"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73E56826"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F0B3F67"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Industrijske kogeneracije</w:t>
            </w:r>
          </w:p>
        </w:tc>
        <w:tc>
          <w:tcPr>
            <w:tcW w:w="1417" w:type="dxa"/>
            <w:tcBorders>
              <w:top w:val="nil"/>
              <w:left w:val="nil"/>
              <w:bottom w:val="single" w:sz="4" w:space="0" w:color="auto"/>
              <w:right w:val="single" w:sz="4" w:space="0" w:color="auto"/>
            </w:tcBorders>
            <w:noWrap/>
            <w:vAlign w:val="center"/>
            <w:hideMark/>
          </w:tcPr>
          <w:p w14:paraId="4D8C43A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332,7</w:t>
            </w:r>
          </w:p>
        </w:tc>
        <w:tc>
          <w:tcPr>
            <w:tcW w:w="1417" w:type="dxa"/>
            <w:tcBorders>
              <w:top w:val="nil"/>
              <w:left w:val="nil"/>
              <w:bottom w:val="single" w:sz="4" w:space="0" w:color="auto"/>
              <w:right w:val="single" w:sz="4" w:space="0" w:color="auto"/>
            </w:tcBorders>
            <w:noWrap/>
            <w:vAlign w:val="center"/>
            <w:hideMark/>
          </w:tcPr>
          <w:p w14:paraId="190B894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310,6</w:t>
            </w:r>
          </w:p>
        </w:tc>
        <w:tc>
          <w:tcPr>
            <w:tcW w:w="1417" w:type="dxa"/>
            <w:tcBorders>
              <w:top w:val="nil"/>
              <w:left w:val="nil"/>
              <w:bottom w:val="single" w:sz="4" w:space="0" w:color="auto"/>
              <w:right w:val="single" w:sz="4" w:space="0" w:color="auto"/>
            </w:tcBorders>
            <w:noWrap/>
            <w:vAlign w:val="center"/>
            <w:hideMark/>
          </w:tcPr>
          <w:p w14:paraId="6A9F149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262,1</w:t>
            </w:r>
          </w:p>
        </w:tc>
      </w:tr>
      <w:tr w:rsidR="00522861" w:rsidRPr="006414E6" w14:paraId="0E00AB10"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2D979B5"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Javne kogeneracije</w:t>
            </w:r>
          </w:p>
        </w:tc>
        <w:tc>
          <w:tcPr>
            <w:tcW w:w="1417" w:type="dxa"/>
            <w:tcBorders>
              <w:top w:val="nil"/>
              <w:left w:val="nil"/>
              <w:bottom w:val="single" w:sz="4" w:space="0" w:color="auto"/>
              <w:right w:val="single" w:sz="4" w:space="0" w:color="auto"/>
            </w:tcBorders>
            <w:noWrap/>
            <w:vAlign w:val="center"/>
            <w:hideMark/>
          </w:tcPr>
          <w:p w14:paraId="2C1EF0F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3523,4</w:t>
            </w:r>
          </w:p>
        </w:tc>
        <w:tc>
          <w:tcPr>
            <w:tcW w:w="1417" w:type="dxa"/>
            <w:tcBorders>
              <w:top w:val="nil"/>
              <w:left w:val="nil"/>
              <w:bottom w:val="single" w:sz="4" w:space="0" w:color="auto"/>
              <w:right w:val="single" w:sz="4" w:space="0" w:color="auto"/>
            </w:tcBorders>
            <w:noWrap/>
            <w:vAlign w:val="center"/>
            <w:hideMark/>
          </w:tcPr>
          <w:p w14:paraId="3A100AC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3577,1</w:t>
            </w:r>
          </w:p>
        </w:tc>
        <w:tc>
          <w:tcPr>
            <w:tcW w:w="1417" w:type="dxa"/>
            <w:tcBorders>
              <w:top w:val="nil"/>
              <w:left w:val="nil"/>
              <w:bottom w:val="single" w:sz="4" w:space="0" w:color="auto"/>
              <w:right w:val="single" w:sz="4" w:space="0" w:color="auto"/>
            </w:tcBorders>
            <w:noWrap/>
            <w:vAlign w:val="center"/>
            <w:hideMark/>
          </w:tcPr>
          <w:p w14:paraId="147956B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3164,1</w:t>
            </w:r>
          </w:p>
        </w:tc>
      </w:tr>
      <w:tr w:rsidR="00522861" w:rsidRPr="006414E6" w14:paraId="2D43CB8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AAF2C99"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Termoelektrane</w:t>
            </w:r>
          </w:p>
        </w:tc>
        <w:tc>
          <w:tcPr>
            <w:tcW w:w="1417" w:type="dxa"/>
            <w:tcBorders>
              <w:top w:val="nil"/>
              <w:left w:val="nil"/>
              <w:bottom w:val="single" w:sz="4" w:space="0" w:color="auto"/>
              <w:right w:val="single" w:sz="4" w:space="0" w:color="auto"/>
            </w:tcBorders>
            <w:noWrap/>
            <w:vAlign w:val="center"/>
            <w:hideMark/>
          </w:tcPr>
          <w:p w14:paraId="3D4ED4B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1426,8</w:t>
            </w:r>
          </w:p>
        </w:tc>
        <w:tc>
          <w:tcPr>
            <w:tcW w:w="1417" w:type="dxa"/>
            <w:tcBorders>
              <w:top w:val="nil"/>
              <w:left w:val="nil"/>
              <w:bottom w:val="single" w:sz="4" w:space="0" w:color="auto"/>
              <w:right w:val="single" w:sz="4" w:space="0" w:color="auto"/>
            </w:tcBorders>
            <w:noWrap/>
            <w:vAlign w:val="center"/>
            <w:hideMark/>
          </w:tcPr>
          <w:p w14:paraId="1443DA0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2084,9</w:t>
            </w:r>
          </w:p>
        </w:tc>
        <w:tc>
          <w:tcPr>
            <w:tcW w:w="1417" w:type="dxa"/>
            <w:tcBorders>
              <w:top w:val="nil"/>
              <w:left w:val="nil"/>
              <w:bottom w:val="single" w:sz="4" w:space="0" w:color="auto"/>
              <w:right w:val="single" w:sz="4" w:space="0" w:color="auto"/>
            </w:tcBorders>
            <w:noWrap/>
            <w:vAlign w:val="center"/>
            <w:hideMark/>
          </w:tcPr>
          <w:p w14:paraId="0A10456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2639,0</w:t>
            </w:r>
          </w:p>
        </w:tc>
      </w:tr>
      <w:tr w:rsidR="00522861" w:rsidRPr="006414E6" w14:paraId="71D626A4"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CE4A41C"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Geotermalne elektrane</w:t>
            </w:r>
          </w:p>
        </w:tc>
        <w:tc>
          <w:tcPr>
            <w:tcW w:w="1417" w:type="dxa"/>
            <w:tcBorders>
              <w:top w:val="nil"/>
              <w:left w:val="nil"/>
              <w:bottom w:val="single" w:sz="4" w:space="0" w:color="auto"/>
              <w:right w:val="single" w:sz="4" w:space="0" w:color="auto"/>
            </w:tcBorders>
            <w:noWrap/>
            <w:vAlign w:val="center"/>
            <w:hideMark/>
          </w:tcPr>
          <w:p w14:paraId="0A788F6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196,9</w:t>
            </w:r>
          </w:p>
        </w:tc>
        <w:tc>
          <w:tcPr>
            <w:tcW w:w="1417" w:type="dxa"/>
            <w:tcBorders>
              <w:top w:val="nil"/>
              <w:left w:val="nil"/>
              <w:bottom w:val="single" w:sz="4" w:space="0" w:color="auto"/>
              <w:right w:val="single" w:sz="4" w:space="0" w:color="auto"/>
            </w:tcBorders>
            <w:noWrap/>
            <w:vAlign w:val="center"/>
            <w:hideMark/>
          </w:tcPr>
          <w:p w14:paraId="4E21417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365,8</w:t>
            </w:r>
          </w:p>
        </w:tc>
        <w:tc>
          <w:tcPr>
            <w:tcW w:w="1417" w:type="dxa"/>
            <w:tcBorders>
              <w:top w:val="nil"/>
              <w:left w:val="nil"/>
              <w:bottom w:val="single" w:sz="4" w:space="0" w:color="auto"/>
              <w:right w:val="single" w:sz="4" w:space="0" w:color="auto"/>
            </w:tcBorders>
            <w:noWrap/>
            <w:vAlign w:val="center"/>
            <w:hideMark/>
          </w:tcPr>
          <w:p w14:paraId="6CD9928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427,8</w:t>
            </w:r>
          </w:p>
        </w:tc>
      </w:tr>
      <w:tr w:rsidR="00522861" w:rsidRPr="006414E6" w14:paraId="38F3A622"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F956261"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Sunčane elektrane</w:t>
            </w:r>
          </w:p>
        </w:tc>
        <w:tc>
          <w:tcPr>
            <w:tcW w:w="1417" w:type="dxa"/>
            <w:tcBorders>
              <w:top w:val="nil"/>
              <w:left w:val="nil"/>
              <w:bottom w:val="single" w:sz="4" w:space="0" w:color="auto"/>
              <w:right w:val="single" w:sz="4" w:space="0" w:color="auto"/>
            </w:tcBorders>
            <w:noWrap/>
            <w:vAlign w:val="center"/>
            <w:hideMark/>
          </w:tcPr>
          <w:p w14:paraId="60EC065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670,8</w:t>
            </w:r>
          </w:p>
        </w:tc>
        <w:tc>
          <w:tcPr>
            <w:tcW w:w="1417" w:type="dxa"/>
            <w:tcBorders>
              <w:top w:val="nil"/>
              <w:left w:val="nil"/>
              <w:bottom w:val="single" w:sz="4" w:space="0" w:color="auto"/>
              <w:right w:val="single" w:sz="4" w:space="0" w:color="auto"/>
            </w:tcBorders>
            <w:noWrap/>
            <w:vAlign w:val="center"/>
            <w:hideMark/>
          </w:tcPr>
          <w:p w14:paraId="59BD29E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1643,4</w:t>
            </w:r>
          </w:p>
        </w:tc>
        <w:tc>
          <w:tcPr>
            <w:tcW w:w="1417" w:type="dxa"/>
            <w:tcBorders>
              <w:top w:val="nil"/>
              <w:left w:val="nil"/>
              <w:bottom w:val="single" w:sz="4" w:space="0" w:color="auto"/>
              <w:right w:val="single" w:sz="4" w:space="0" w:color="auto"/>
            </w:tcBorders>
            <w:noWrap/>
            <w:vAlign w:val="center"/>
            <w:hideMark/>
          </w:tcPr>
          <w:p w14:paraId="48FD500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2564,6</w:t>
            </w:r>
          </w:p>
        </w:tc>
      </w:tr>
      <w:tr w:rsidR="00522861" w:rsidRPr="006414E6" w14:paraId="117DF0B8"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63949C7"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Vjetroelektrane</w:t>
            </w:r>
          </w:p>
        </w:tc>
        <w:tc>
          <w:tcPr>
            <w:tcW w:w="1417" w:type="dxa"/>
            <w:tcBorders>
              <w:top w:val="nil"/>
              <w:left w:val="nil"/>
              <w:bottom w:val="single" w:sz="4" w:space="0" w:color="auto"/>
              <w:right w:val="single" w:sz="4" w:space="0" w:color="auto"/>
            </w:tcBorders>
            <w:noWrap/>
            <w:vAlign w:val="center"/>
            <w:hideMark/>
          </w:tcPr>
          <w:p w14:paraId="0ED058E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3026,8</w:t>
            </w:r>
          </w:p>
        </w:tc>
        <w:tc>
          <w:tcPr>
            <w:tcW w:w="1417" w:type="dxa"/>
            <w:tcBorders>
              <w:top w:val="nil"/>
              <w:left w:val="nil"/>
              <w:bottom w:val="single" w:sz="4" w:space="0" w:color="auto"/>
              <w:right w:val="single" w:sz="4" w:space="0" w:color="auto"/>
            </w:tcBorders>
            <w:noWrap/>
            <w:vAlign w:val="center"/>
            <w:hideMark/>
          </w:tcPr>
          <w:p w14:paraId="69F0128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4452,4</w:t>
            </w:r>
          </w:p>
        </w:tc>
        <w:tc>
          <w:tcPr>
            <w:tcW w:w="1417" w:type="dxa"/>
            <w:tcBorders>
              <w:top w:val="nil"/>
              <w:left w:val="nil"/>
              <w:bottom w:val="single" w:sz="4" w:space="0" w:color="auto"/>
              <w:right w:val="single" w:sz="4" w:space="0" w:color="auto"/>
            </w:tcBorders>
            <w:noWrap/>
            <w:vAlign w:val="center"/>
            <w:hideMark/>
          </w:tcPr>
          <w:p w14:paraId="3A029E4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6060,0</w:t>
            </w:r>
          </w:p>
        </w:tc>
      </w:tr>
      <w:tr w:rsidR="00522861" w:rsidRPr="006414E6" w14:paraId="3A105B4D"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278872CD"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Hidroelektrane</w:t>
            </w:r>
          </w:p>
        </w:tc>
        <w:tc>
          <w:tcPr>
            <w:tcW w:w="1417" w:type="dxa"/>
            <w:tcBorders>
              <w:top w:val="nil"/>
              <w:left w:val="nil"/>
              <w:bottom w:val="double" w:sz="4" w:space="0" w:color="auto"/>
              <w:right w:val="single" w:sz="4" w:space="0" w:color="auto"/>
            </w:tcBorders>
            <w:noWrap/>
            <w:vAlign w:val="center"/>
            <w:hideMark/>
          </w:tcPr>
          <w:p w14:paraId="38A8DF8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7201,9</w:t>
            </w:r>
          </w:p>
        </w:tc>
        <w:tc>
          <w:tcPr>
            <w:tcW w:w="1417" w:type="dxa"/>
            <w:tcBorders>
              <w:top w:val="nil"/>
              <w:left w:val="nil"/>
              <w:bottom w:val="double" w:sz="4" w:space="0" w:color="auto"/>
              <w:right w:val="single" w:sz="4" w:space="0" w:color="auto"/>
            </w:tcBorders>
            <w:noWrap/>
            <w:vAlign w:val="center"/>
            <w:hideMark/>
          </w:tcPr>
          <w:p w14:paraId="41948C6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7684,9</w:t>
            </w:r>
          </w:p>
        </w:tc>
        <w:tc>
          <w:tcPr>
            <w:tcW w:w="1417" w:type="dxa"/>
            <w:tcBorders>
              <w:top w:val="nil"/>
              <w:left w:val="nil"/>
              <w:bottom w:val="double" w:sz="4" w:space="0" w:color="auto"/>
              <w:right w:val="single" w:sz="4" w:space="0" w:color="auto"/>
            </w:tcBorders>
            <w:noWrap/>
            <w:vAlign w:val="center"/>
            <w:hideMark/>
          </w:tcPr>
          <w:p w14:paraId="7ADAE1A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8167,8</w:t>
            </w:r>
          </w:p>
        </w:tc>
      </w:tr>
      <w:tr w:rsidR="00522861" w:rsidRPr="006414E6" w14:paraId="01AC4060"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08B6E51"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2013EEF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16379,5</w:t>
            </w:r>
          </w:p>
        </w:tc>
        <w:tc>
          <w:tcPr>
            <w:tcW w:w="1417" w:type="dxa"/>
            <w:tcBorders>
              <w:top w:val="double" w:sz="4" w:space="0" w:color="auto"/>
              <w:left w:val="nil"/>
              <w:bottom w:val="single" w:sz="4" w:space="0" w:color="auto"/>
              <w:right w:val="single" w:sz="4" w:space="0" w:color="auto"/>
            </w:tcBorders>
            <w:noWrap/>
            <w:vAlign w:val="center"/>
            <w:hideMark/>
          </w:tcPr>
          <w:p w14:paraId="37C470B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20119,1</w:t>
            </w:r>
          </w:p>
        </w:tc>
        <w:tc>
          <w:tcPr>
            <w:tcW w:w="1417" w:type="dxa"/>
            <w:tcBorders>
              <w:top w:val="double" w:sz="4" w:space="0" w:color="auto"/>
              <w:left w:val="nil"/>
              <w:bottom w:val="single" w:sz="4" w:space="0" w:color="auto"/>
              <w:right w:val="single" w:sz="4" w:space="0" w:color="auto"/>
            </w:tcBorders>
            <w:noWrap/>
            <w:vAlign w:val="center"/>
            <w:hideMark/>
          </w:tcPr>
          <w:p w14:paraId="06262D8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23285,4</w:t>
            </w:r>
          </w:p>
        </w:tc>
      </w:tr>
    </w:tbl>
    <w:p w14:paraId="33ED354B" w14:textId="77777777" w:rsidR="00522861" w:rsidRPr="006414E6" w:rsidRDefault="00522861" w:rsidP="00522861">
      <w:pPr>
        <w:rPr>
          <w:rFonts w:cs="Times New Roman"/>
          <w:u w:val="single"/>
        </w:rPr>
      </w:pPr>
      <w:r w:rsidRPr="006414E6">
        <w:rPr>
          <w:rFonts w:cs="Times New Roman"/>
          <w:u w:val="single"/>
        </w:rPr>
        <w:t>Proizvodnja i uvoz energije</w:t>
      </w:r>
    </w:p>
    <w:p w14:paraId="769A15A9" w14:textId="77777777" w:rsidR="00522861" w:rsidRPr="006414E6" w:rsidRDefault="00522861" w:rsidP="00522861">
      <w:pPr>
        <w:rPr>
          <w:rFonts w:cs="Times New Roman"/>
        </w:rPr>
      </w:pPr>
      <w:r w:rsidRPr="006414E6">
        <w:rPr>
          <w:rFonts w:cs="Times New Roman"/>
        </w:rPr>
        <w:t>U NUR scenariju udio domaće proizvodnje energije u ukupnoj potrošnji energije opada prema kraju razdoblja zbog snažnog opadanja proizvodnje iz domaćih naftnih i plinskih ležišta, kao i sporijeg povećanja proizvodnje iz obnovljivih izvora energije.</w:t>
      </w:r>
    </w:p>
    <w:p w14:paraId="33CC241B" w14:textId="77777777" w:rsidR="00522861" w:rsidRPr="006414E6" w:rsidRDefault="00522861" w:rsidP="00522861">
      <w:pPr>
        <w:rPr>
          <w:rFonts w:cs="Times New Roman"/>
        </w:rPr>
      </w:pPr>
      <w:r w:rsidRPr="006414E6">
        <w:rPr>
          <w:rFonts w:cs="Times New Roman"/>
        </w:rPr>
        <w:t>U tablici I.1-6 prikazane su projekcije proizvodnje i uvoza energije u NUR scenariju.</w:t>
      </w:r>
    </w:p>
    <w:p w14:paraId="2F121344" w14:textId="77777777" w:rsidR="00522861" w:rsidRPr="00016B17" w:rsidRDefault="00522861" w:rsidP="00016B17">
      <w:pPr>
        <w:rPr>
          <w:i/>
        </w:rPr>
      </w:pPr>
      <w:r w:rsidRPr="00016B17">
        <w:rPr>
          <w:i/>
        </w:rPr>
        <w:lastRenderedPageBreak/>
        <w:t xml:space="preserve">Tablica I.1-6: Projekcije proizvodnje i uvoza energije u NUR scenariju </w:t>
      </w:r>
    </w:p>
    <w:tbl>
      <w:tblPr>
        <w:tblW w:w="7086" w:type="dxa"/>
        <w:tblLook w:val="04A0" w:firstRow="1" w:lastRow="0" w:firstColumn="1" w:lastColumn="0" w:noHBand="0" w:noVBand="1"/>
      </w:tblPr>
      <w:tblGrid>
        <w:gridCol w:w="2835"/>
        <w:gridCol w:w="1417"/>
        <w:gridCol w:w="1417"/>
        <w:gridCol w:w="1417"/>
      </w:tblGrid>
      <w:tr w:rsidR="00522861" w:rsidRPr="006414E6" w14:paraId="3475FADC"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79D298" w14:textId="77777777" w:rsidR="00522861" w:rsidRPr="006414E6" w:rsidRDefault="00522861" w:rsidP="00B52A3F">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910894"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02FD2A"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B72792"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131A301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D259633"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Domaća energija</w:t>
            </w:r>
          </w:p>
        </w:tc>
        <w:tc>
          <w:tcPr>
            <w:tcW w:w="1417" w:type="dxa"/>
            <w:tcBorders>
              <w:top w:val="nil"/>
              <w:left w:val="nil"/>
              <w:bottom w:val="single" w:sz="4" w:space="0" w:color="auto"/>
              <w:right w:val="single" w:sz="4" w:space="0" w:color="auto"/>
            </w:tcBorders>
            <w:noWrap/>
            <w:vAlign w:val="center"/>
            <w:hideMark/>
          </w:tcPr>
          <w:p w14:paraId="15FFF8E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5020,6</w:t>
            </w:r>
          </w:p>
        </w:tc>
        <w:tc>
          <w:tcPr>
            <w:tcW w:w="1417" w:type="dxa"/>
            <w:tcBorders>
              <w:top w:val="nil"/>
              <w:left w:val="nil"/>
              <w:bottom w:val="single" w:sz="4" w:space="0" w:color="auto"/>
              <w:right w:val="single" w:sz="4" w:space="0" w:color="auto"/>
            </w:tcBorders>
            <w:noWrap/>
            <w:vAlign w:val="center"/>
            <w:hideMark/>
          </w:tcPr>
          <w:p w14:paraId="17FD39C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4692,2</w:t>
            </w:r>
          </w:p>
        </w:tc>
        <w:tc>
          <w:tcPr>
            <w:tcW w:w="1417" w:type="dxa"/>
            <w:tcBorders>
              <w:top w:val="nil"/>
              <w:left w:val="nil"/>
              <w:bottom w:val="single" w:sz="4" w:space="0" w:color="auto"/>
              <w:right w:val="single" w:sz="4" w:space="0" w:color="auto"/>
            </w:tcBorders>
            <w:noWrap/>
            <w:vAlign w:val="center"/>
            <w:hideMark/>
          </w:tcPr>
          <w:p w14:paraId="689E11B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3750,6</w:t>
            </w:r>
          </w:p>
        </w:tc>
      </w:tr>
      <w:tr w:rsidR="00522861" w:rsidRPr="006414E6" w14:paraId="7EF480D6"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EB47677"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Uvozna energija</w:t>
            </w:r>
          </w:p>
        </w:tc>
        <w:tc>
          <w:tcPr>
            <w:tcW w:w="1417" w:type="dxa"/>
            <w:tcBorders>
              <w:top w:val="nil"/>
              <w:left w:val="nil"/>
              <w:bottom w:val="single" w:sz="4" w:space="0" w:color="auto"/>
              <w:right w:val="single" w:sz="4" w:space="0" w:color="auto"/>
            </w:tcBorders>
            <w:noWrap/>
            <w:vAlign w:val="center"/>
            <w:hideMark/>
          </w:tcPr>
          <w:p w14:paraId="1C319A5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4164,2</w:t>
            </w:r>
          </w:p>
        </w:tc>
        <w:tc>
          <w:tcPr>
            <w:tcW w:w="1417" w:type="dxa"/>
            <w:tcBorders>
              <w:top w:val="nil"/>
              <w:left w:val="nil"/>
              <w:bottom w:val="single" w:sz="4" w:space="0" w:color="auto"/>
              <w:right w:val="single" w:sz="4" w:space="0" w:color="auto"/>
            </w:tcBorders>
            <w:noWrap/>
            <w:vAlign w:val="center"/>
            <w:hideMark/>
          </w:tcPr>
          <w:p w14:paraId="35FA865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4258,5</w:t>
            </w:r>
          </w:p>
        </w:tc>
        <w:tc>
          <w:tcPr>
            <w:tcW w:w="1417" w:type="dxa"/>
            <w:tcBorders>
              <w:top w:val="nil"/>
              <w:left w:val="nil"/>
              <w:bottom w:val="single" w:sz="4" w:space="0" w:color="auto"/>
              <w:right w:val="single" w:sz="4" w:space="0" w:color="auto"/>
            </w:tcBorders>
            <w:noWrap/>
            <w:vAlign w:val="center"/>
            <w:hideMark/>
          </w:tcPr>
          <w:p w14:paraId="66FFD0A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4445,6</w:t>
            </w:r>
          </w:p>
        </w:tc>
      </w:tr>
      <w:tr w:rsidR="00522861" w:rsidRPr="006414E6" w14:paraId="09B88F0A"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FFA0B6" w14:textId="77777777" w:rsidR="00522861" w:rsidRPr="006414E6" w:rsidRDefault="00522861" w:rsidP="00B52A3F">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5DC5091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9184,9</w:t>
            </w:r>
          </w:p>
        </w:tc>
        <w:tc>
          <w:tcPr>
            <w:tcW w:w="1417" w:type="dxa"/>
            <w:tcBorders>
              <w:top w:val="double" w:sz="4" w:space="0" w:color="auto"/>
              <w:left w:val="nil"/>
              <w:bottom w:val="single" w:sz="4" w:space="0" w:color="auto"/>
              <w:right w:val="single" w:sz="4" w:space="0" w:color="auto"/>
            </w:tcBorders>
            <w:noWrap/>
            <w:vAlign w:val="center"/>
            <w:hideMark/>
          </w:tcPr>
          <w:p w14:paraId="6AFB4A5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8950,7</w:t>
            </w:r>
          </w:p>
        </w:tc>
        <w:tc>
          <w:tcPr>
            <w:tcW w:w="1417" w:type="dxa"/>
            <w:tcBorders>
              <w:top w:val="double" w:sz="4" w:space="0" w:color="auto"/>
              <w:left w:val="nil"/>
              <w:bottom w:val="single" w:sz="4" w:space="0" w:color="auto"/>
              <w:right w:val="single" w:sz="4" w:space="0" w:color="auto"/>
            </w:tcBorders>
            <w:noWrap/>
            <w:vAlign w:val="center"/>
            <w:hideMark/>
          </w:tcPr>
          <w:p w14:paraId="455FDD4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8196,3</w:t>
            </w:r>
          </w:p>
        </w:tc>
      </w:tr>
    </w:tbl>
    <w:p w14:paraId="1F553133" w14:textId="77777777" w:rsidR="00522861" w:rsidRPr="006414E6" w:rsidRDefault="00522861" w:rsidP="00F415A7">
      <w:pPr>
        <w:pStyle w:val="Heading2"/>
      </w:pPr>
      <w:bookmarkStart w:id="347" w:name="_Toc436823717"/>
      <w:bookmarkStart w:id="348" w:name="_Toc434968019"/>
      <w:bookmarkStart w:id="349" w:name="_Toc39133330"/>
      <w:r w:rsidRPr="006414E6">
        <w:t xml:space="preserve">I.2. </w:t>
      </w:r>
      <w:r w:rsidRPr="006414E6">
        <w:tab/>
        <w:t>INDUSTRIJA</w:t>
      </w:r>
      <w:bookmarkEnd w:id="347"/>
      <w:bookmarkEnd w:id="348"/>
      <w:bookmarkEnd w:id="349"/>
    </w:p>
    <w:p w14:paraId="07296B2A" w14:textId="77777777" w:rsidR="00522861" w:rsidRPr="006414E6" w:rsidRDefault="00522861" w:rsidP="00016B17">
      <w:pPr>
        <w:rPr>
          <w:rFonts w:eastAsia="MS Mincho" w:cs="Times New Roman"/>
          <w:szCs w:val="24"/>
          <w:lang w:eastAsia="ja-JP"/>
        </w:rPr>
      </w:pPr>
      <w:r w:rsidRPr="006414E6">
        <w:rPr>
          <w:rFonts w:eastAsia="MS Mincho" w:cs="Times New Roman"/>
          <w:szCs w:val="24"/>
          <w:lang w:eastAsia="ja-JP"/>
        </w:rPr>
        <w:t xml:space="preserve">Sektor industrije uključuje emisije stakleničkih plinova od izgaranja goriva i procesne emisije u prerađivačkoj industriji te emisije uslijed uporabe </w:t>
      </w:r>
      <w:proofErr w:type="spellStart"/>
      <w:r w:rsidRPr="006414E6">
        <w:rPr>
          <w:rFonts w:eastAsia="MS Mincho" w:cs="Times New Roman"/>
          <w:szCs w:val="24"/>
          <w:lang w:eastAsia="ja-JP"/>
        </w:rPr>
        <w:t>fluoriranih</w:t>
      </w:r>
      <w:proofErr w:type="spellEnd"/>
      <w:r w:rsidRPr="006414E6">
        <w:rPr>
          <w:rFonts w:eastAsia="MS Mincho" w:cs="Times New Roman"/>
          <w:szCs w:val="24"/>
          <w:lang w:eastAsia="ja-JP"/>
        </w:rPr>
        <w:t xml:space="preserve"> stakleničkih plinova. </w:t>
      </w:r>
    </w:p>
    <w:p w14:paraId="4C471B75" w14:textId="77777777" w:rsidR="00522861" w:rsidRPr="00016B17" w:rsidRDefault="00522861" w:rsidP="00016B17">
      <w:pPr>
        <w:rPr>
          <w:rFonts w:cs="Times New Roman"/>
          <w:u w:val="single"/>
        </w:rPr>
      </w:pPr>
      <w:r w:rsidRPr="00016B17">
        <w:rPr>
          <w:rFonts w:cs="Times New Roman"/>
          <w:u w:val="single"/>
        </w:rPr>
        <w:t>Prerađivačka industrija</w:t>
      </w:r>
    </w:p>
    <w:p w14:paraId="01E85253" w14:textId="77777777" w:rsidR="00522861" w:rsidRPr="006414E6" w:rsidRDefault="00522861" w:rsidP="00522861">
      <w:pPr>
        <w:rPr>
          <w:rFonts w:eastAsia="MS Mincho" w:cs="Times New Roman"/>
          <w:szCs w:val="24"/>
          <w:lang w:eastAsia="ja-JP"/>
        </w:rPr>
      </w:pPr>
      <w:r w:rsidRPr="006414E6">
        <w:rPr>
          <w:rFonts w:eastAsia="MS Mincho" w:cs="Times New Roman"/>
          <w:szCs w:val="24"/>
          <w:lang w:eastAsia="ja-JP"/>
        </w:rPr>
        <w:t>Projekcije su provedene na temelju očekivanog razvoja pojedinih industrijskih grana koji uključuje ciljeve do 2050. godine. Uključene su sljedeće ključne pretpostavke:</w:t>
      </w:r>
    </w:p>
    <w:p w14:paraId="5D548EBA" w14:textId="77777777" w:rsidR="00522861" w:rsidRPr="006414E6" w:rsidRDefault="00522861" w:rsidP="006B211F">
      <w:pPr>
        <w:pStyle w:val="ListParagraph"/>
        <w:numPr>
          <w:ilvl w:val="0"/>
          <w:numId w:val="84"/>
        </w:numPr>
        <w:spacing w:line="240" w:lineRule="auto"/>
        <w:ind w:left="714" w:hanging="357"/>
        <w:rPr>
          <w:rFonts w:eastAsia="MS Mincho" w:cs="Times New Roman"/>
          <w:szCs w:val="24"/>
          <w:lang w:eastAsia="ja-JP"/>
        </w:rPr>
      </w:pPr>
      <w:r w:rsidRPr="006414E6">
        <w:rPr>
          <w:rFonts w:eastAsia="MS Mincho" w:cs="Times New Roman"/>
          <w:szCs w:val="24"/>
          <w:lang w:eastAsia="ja-JP"/>
        </w:rPr>
        <w:t xml:space="preserve">Projekcije polaze od stanja i projekcija makroekonomskih parametara i rezultata sektorskih analiza. </w:t>
      </w:r>
    </w:p>
    <w:p w14:paraId="0FF4545C" w14:textId="77777777" w:rsidR="00522861" w:rsidRPr="006414E6" w:rsidRDefault="00522861" w:rsidP="006B211F">
      <w:pPr>
        <w:pStyle w:val="ListParagraph"/>
        <w:numPr>
          <w:ilvl w:val="0"/>
          <w:numId w:val="84"/>
        </w:numPr>
        <w:spacing w:line="240" w:lineRule="auto"/>
        <w:ind w:left="714" w:hanging="357"/>
        <w:rPr>
          <w:rFonts w:eastAsia="MS Mincho" w:cs="Times New Roman"/>
          <w:szCs w:val="24"/>
          <w:lang w:eastAsia="ja-JP"/>
        </w:rPr>
      </w:pPr>
      <w:r w:rsidRPr="006414E6">
        <w:rPr>
          <w:rFonts w:eastAsia="MS Mincho" w:cs="Times New Roman"/>
          <w:szCs w:val="24"/>
          <w:lang w:eastAsia="ja-JP"/>
        </w:rPr>
        <w:t>Industrijska ekonomska aktivnost prema industrijskim granama procijenjena je temeljem sektorskih analiza o planiranoj proizvodnji pojedinih industrijskih grana te projiciranih makroekonomskih pokazatelja o bruto dodanoj vrijednosti po industrijskim granama.</w:t>
      </w:r>
    </w:p>
    <w:p w14:paraId="2B54F848" w14:textId="77777777" w:rsidR="00522861" w:rsidRPr="006414E6" w:rsidRDefault="00522861" w:rsidP="006B211F">
      <w:pPr>
        <w:pStyle w:val="ListParagraph"/>
        <w:numPr>
          <w:ilvl w:val="0"/>
          <w:numId w:val="84"/>
        </w:numPr>
        <w:spacing w:line="240" w:lineRule="auto"/>
        <w:ind w:left="714" w:hanging="357"/>
        <w:rPr>
          <w:rFonts w:eastAsia="MS Mincho" w:cs="Times New Roman"/>
          <w:szCs w:val="24"/>
          <w:lang w:eastAsia="ja-JP"/>
        </w:rPr>
      </w:pPr>
      <w:r w:rsidRPr="006414E6">
        <w:rPr>
          <w:rFonts w:eastAsia="MS Mincho" w:cs="Times New Roman"/>
          <w:szCs w:val="24"/>
          <w:lang w:eastAsia="ja-JP"/>
        </w:rPr>
        <w:t>Proizvodnja i obrada prirodnog plina i tekućih naftnih goriva prati domaću potražnju.</w:t>
      </w:r>
    </w:p>
    <w:p w14:paraId="75C5B819" w14:textId="77777777" w:rsidR="00522861" w:rsidRPr="006414E6" w:rsidRDefault="00522861" w:rsidP="006B211F">
      <w:pPr>
        <w:pStyle w:val="ListParagraph"/>
        <w:numPr>
          <w:ilvl w:val="0"/>
          <w:numId w:val="84"/>
        </w:numPr>
        <w:spacing w:line="240" w:lineRule="auto"/>
        <w:ind w:left="714" w:hanging="357"/>
        <w:rPr>
          <w:rFonts w:eastAsia="MS Mincho" w:cs="Times New Roman"/>
          <w:szCs w:val="24"/>
          <w:lang w:eastAsia="ja-JP"/>
        </w:rPr>
      </w:pPr>
      <w:r w:rsidRPr="006414E6">
        <w:rPr>
          <w:rFonts w:eastAsia="MS Mincho" w:cs="Times New Roman"/>
          <w:szCs w:val="24"/>
          <w:lang w:eastAsia="ja-JP"/>
        </w:rPr>
        <w:t>Projekcije emisija iz potrošnje energije u prerađivačkoj industriji i graditeljstvu podijeljene su prema sektorima, sukladno IPCC metodologiji. Procesne emisije iz gospodarskih djelatnosti koje su, sukladno IPCC metodologiji, uključene u sektor industrijskih procesa i upotrebe proizvoda procijenjene su temeljem detaljnih sektorskih projekcija proizvodnje cementa, amonijaka i dušične kiseline te projiciranih makroekonomskih pokazatelja o bruto dodanoj vrijednosti po ostalim industrijskim granama, godišnjoj stopi porasta bruto društvenog proizvoda i smanjenju broja stanovnika.</w:t>
      </w:r>
    </w:p>
    <w:p w14:paraId="3D347E09" w14:textId="77777777" w:rsidR="00522861" w:rsidRPr="006414E6" w:rsidRDefault="00522861" w:rsidP="006B211F">
      <w:pPr>
        <w:pStyle w:val="ListParagraph"/>
        <w:numPr>
          <w:ilvl w:val="0"/>
          <w:numId w:val="84"/>
        </w:numPr>
        <w:spacing w:line="240" w:lineRule="auto"/>
        <w:ind w:left="714" w:hanging="357"/>
        <w:rPr>
          <w:rFonts w:eastAsia="MS Mincho" w:cs="Times New Roman"/>
          <w:szCs w:val="24"/>
          <w:lang w:eastAsia="ja-JP"/>
        </w:rPr>
      </w:pPr>
      <w:r w:rsidRPr="006414E6">
        <w:rPr>
          <w:rFonts w:eastAsia="MS Mincho" w:cs="Times New Roman"/>
          <w:szCs w:val="24"/>
          <w:lang w:eastAsia="ja-JP"/>
        </w:rPr>
        <w:t>Primjenu mjera definiranih strateškim i planskim sektorskim dokumentima uključenima u poslovnu politiku većih proizvođača, što je uvjetovano zahtjevima tržišta, zakonskim i podzakonskim propisima te zahtjevima primjene najboljih raspoloživih tehnika u proizvodnim procesima.</w:t>
      </w:r>
    </w:p>
    <w:p w14:paraId="21D3E8ED" w14:textId="77777777" w:rsidR="00522861" w:rsidRPr="006414E6" w:rsidRDefault="00522861" w:rsidP="006B211F">
      <w:pPr>
        <w:pStyle w:val="ListParagraph"/>
        <w:numPr>
          <w:ilvl w:val="0"/>
          <w:numId w:val="84"/>
        </w:numPr>
        <w:spacing w:line="240" w:lineRule="auto"/>
        <w:ind w:left="714" w:hanging="357"/>
        <w:rPr>
          <w:rFonts w:eastAsia="MS Mincho" w:cs="Times New Roman"/>
          <w:szCs w:val="24"/>
          <w:lang w:eastAsia="ja-JP"/>
        </w:rPr>
      </w:pPr>
      <w:r w:rsidRPr="006414E6">
        <w:rPr>
          <w:rFonts w:eastAsia="MS Mincho" w:cs="Times New Roman"/>
          <w:szCs w:val="24"/>
          <w:lang w:eastAsia="ja-JP"/>
        </w:rPr>
        <w:t xml:space="preserve">U projekcije su uključene pretpostavke da neće biti instalirani novi kapaciteti u industriji te da će proizvodnja do 2050. dosegnuti maksimalne vrijednosti. </w:t>
      </w:r>
    </w:p>
    <w:p w14:paraId="599B94C7" w14:textId="6F01823C" w:rsidR="00522861" w:rsidRPr="006414E6" w:rsidRDefault="00522861" w:rsidP="006B211F">
      <w:pPr>
        <w:pStyle w:val="ListParagraph"/>
        <w:numPr>
          <w:ilvl w:val="0"/>
          <w:numId w:val="84"/>
        </w:numPr>
        <w:spacing w:line="240" w:lineRule="auto"/>
        <w:ind w:left="714" w:hanging="357"/>
        <w:rPr>
          <w:rFonts w:eastAsia="MS Mincho" w:cs="Times New Roman"/>
          <w:szCs w:val="24"/>
          <w:lang w:eastAsia="ja-JP"/>
        </w:rPr>
      </w:pPr>
      <w:r w:rsidRPr="006414E6">
        <w:rPr>
          <w:rFonts w:eastAsia="MS Mincho" w:cs="Times New Roman"/>
          <w:szCs w:val="24"/>
          <w:lang w:eastAsia="ja-JP"/>
        </w:rPr>
        <w:t>Procesne emisije CO</w:t>
      </w:r>
      <w:r w:rsidRPr="006414E6">
        <w:rPr>
          <w:rFonts w:eastAsia="MS Mincho" w:cs="Times New Roman"/>
          <w:szCs w:val="24"/>
          <w:vertAlign w:val="subscript"/>
          <w:lang w:eastAsia="ja-JP"/>
        </w:rPr>
        <w:t>2</w:t>
      </w:r>
      <w:r w:rsidRPr="006414E6">
        <w:rPr>
          <w:rFonts w:eastAsia="MS Mincho" w:cs="Times New Roman"/>
          <w:szCs w:val="24"/>
          <w:lang w:eastAsia="ja-JP"/>
        </w:rPr>
        <w:t xml:space="preserve"> potječu i od emisija NMHOS koji doprinosi emisiji CO</w:t>
      </w:r>
      <w:r w:rsidRPr="006414E6">
        <w:rPr>
          <w:rFonts w:eastAsia="MS Mincho" w:cs="Times New Roman"/>
          <w:szCs w:val="24"/>
          <w:vertAlign w:val="subscript"/>
          <w:lang w:eastAsia="ja-JP"/>
        </w:rPr>
        <w:t>2</w:t>
      </w:r>
      <w:r w:rsidRPr="006414E6">
        <w:rPr>
          <w:rFonts w:eastAsia="MS Mincho" w:cs="Times New Roman"/>
          <w:szCs w:val="24"/>
          <w:lang w:eastAsia="ja-JP"/>
        </w:rPr>
        <w:t>eq. Projekcije emisija NMHOS za razdoblje do 2050. godine izračunavaju se na temelju emisija iz zadnje povijesne godine i pretpostavljajući povezanost s kretanjem stanovništva ili ekonomskim rastom u nekim kategorijama ili nastavak trenda u drugim</w:t>
      </w:r>
      <w:r w:rsidR="006E0CDA" w:rsidRPr="006E0CDA">
        <w:rPr>
          <w:rFonts w:eastAsia="MS Mincho" w:cs="Times New Roman"/>
          <w:szCs w:val="24"/>
          <w:vertAlign w:val="superscript"/>
          <w:lang w:eastAsia="ja-JP"/>
        </w:rPr>
        <w:t>1</w:t>
      </w:r>
      <w:r w:rsidRPr="006414E6">
        <w:rPr>
          <w:rFonts w:eastAsia="MS Mincho" w:cs="Times New Roman"/>
          <w:szCs w:val="24"/>
          <w:lang w:eastAsia="ja-JP"/>
        </w:rPr>
        <w:t>.</w:t>
      </w:r>
    </w:p>
    <w:p w14:paraId="739F4D59" w14:textId="77777777" w:rsidR="00522861" w:rsidRPr="006414E6" w:rsidRDefault="00522861" w:rsidP="00016B17">
      <w:pPr>
        <w:rPr>
          <w:rFonts w:cs="Times New Roman"/>
          <w:u w:val="single"/>
        </w:rPr>
      </w:pPr>
      <w:r w:rsidRPr="006414E6">
        <w:rPr>
          <w:rFonts w:cs="Times New Roman"/>
          <w:u w:val="single"/>
        </w:rPr>
        <w:t>Uporaba zamjenskih tvari za tvari koje oštećuju ozonski sloj</w:t>
      </w:r>
    </w:p>
    <w:p w14:paraId="3049B036" w14:textId="77777777" w:rsidR="00522861" w:rsidRPr="006414E6" w:rsidRDefault="00522861" w:rsidP="00016B17">
      <w:pPr>
        <w:rPr>
          <w:rFonts w:cs="Times New Roman"/>
        </w:rPr>
      </w:pPr>
      <w:r w:rsidRPr="006414E6">
        <w:rPr>
          <w:rFonts w:cs="Times New Roman"/>
        </w:rPr>
        <w:t xml:space="preserve">NUR scenarij uključuje postojeći pravni okvir Republike Hrvatske i usvojeni pravni okvir EU iz područja uporabe </w:t>
      </w:r>
      <w:proofErr w:type="spellStart"/>
      <w:r w:rsidRPr="006414E6">
        <w:rPr>
          <w:rFonts w:cs="Times New Roman"/>
        </w:rPr>
        <w:t>fluoriranih</w:t>
      </w:r>
      <w:proofErr w:type="spellEnd"/>
      <w:r w:rsidRPr="006414E6">
        <w:rPr>
          <w:rFonts w:cs="Times New Roman"/>
        </w:rPr>
        <w:t xml:space="preserve"> stakleničkih plinova za razdoblje do 2030. godine. Za razdoblje nakon 2030. godine korištene su pretpostavke za primjenu mjera koje bi se ostvarile bez politika ublažavanja klimatskih promjena, temeljem projekcija broja stanovnika, broja vozila te stručnih procjena temeljenih na analizi grupe zemalja sličnih nacionalnih karakteristika.</w:t>
      </w:r>
    </w:p>
    <w:p w14:paraId="2D3FC334" w14:textId="77777777" w:rsidR="00522861" w:rsidRPr="006414E6" w:rsidRDefault="00522861" w:rsidP="00311FED">
      <w:pPr>
        <w:spacing w:line="240" w:lineRule="auto"/>
        <w:rPr>
          <w:rFonts w:cs="Times New Roman"/>
        </w:rPr>
      </w:pPr>
      <w:r w:rsidRPr="006414E6">
        <w:rPr>
          <w:rFonts w:cs="Times New Roman"/>
        </w:rPr>
        <w:t xml:space="preserve">U izradi projekcija uključene su pretpostavke o ograničavanju i smanjenju uporabe </w:t>
      </w:r>
      <w:proofErr w:type="spellStart"/>
      <w:r w:rsidRPr="006414E6">
        <w:rPr>
          <w:rFonts w:cs="Times New Roman"/>
        </w:rPr>
        <w:t>fluoriranih</w:t>
      </w:r>
      <w:proofErr w:type="spellEnd"/>
      <w:r w:rsidRPr="006414E6">
        <w:rPr>
          <w:rFonts w:cs="Times New Roman"/>
        </w:rPr>
        <w:t xml:space="preserve"> stakleničkih plinova, sukladno odredbama Uredbe (EU) br. 517/2014 i Direktive 2006/40/EZ:</w:t>
      </w:r>
    </w:p>
    <w:p w14:paraId="18E7E808" w14:textId="77777777" w:rsidR="00522861" w:rsidRPr="006414E6" w:rsidRDefault="00522861" w:rsidP="00311FED">
      <w:pPr>
        <w:pStyle w:val="ListParagraph"/>
        <w:numPr>
          <w:ilvl w:val="0"/>
          <w:numId w:val="68"/>
        </w:numPr>
        <w:spacing w:line="240" w:lineRule="auto"/>
        <w:rPr>
          <w:rFonts w:cs="Times New Roman"/>
        </w:rPr>
      </w:pPr>
      <w:r w:rsidRPr="006414E6">
        <w:rPr>
          <w:rFonts w:cs="Times New Roman"/>
        </w:rPr>
        <w:lastRenderedPageBreak/>
        <w:t xml:space="preserve">Ograničavanje količine </w:t>
      </w:r>
      <w:proofErr w:type="spellStart"/>
      <w:r w:rsidRPr="006414E6">
        <w:rPr>
          <w:rFonts w:cs="Times New Roman"/>
        </w:rPr>
        <w:t>fluorougljikovodika</w:t>
      </w:r>
      <w:proofErr w:type="spellEnd"/>
      <w:r w:rsidRPr="006414E6">
        <w:rPr>
          <w:rFonts w:cs="Times New Roman"/>
        </w:rPr>
        <w:t xml:space="preserve"> dostupnih na tržištu do 2030. godine na 21% od ukupne količine </w:t>
      </w:r>
      <w:proofErr w:type="spellStart"/>
      <w:r w:rsidRPr="006414E6">
        <w:rPr>
          <w:rFonts w:cs="Times New Roman"/>
        </w:rPr>
        <w:t>fluorougljikovodika</w:t>
      </w:r>
      <w:proofErr w:type="spellEnd"/>
      <w:r w:rsidRPr="006414E6">
        <w:rPr>
          <w:rFonts w:cs="Times New Roman"/>
        </w:rPr>
        <w:t xml:space="preserve"> koji su stavljeni na tržište tijekom referentnog razdoblja od 2009. do 2012. godine.</w:t>
      </w:r>
    </w:p>
    <w:p w14:paraId="13BD34E8" w14:textId="77777777" w:rsidR="00522861" w:rsidRPr="006414E6" w:rsidRDefault="00522861" w:rsidP="00311FED">
      <w:pPr>
        <w:pStyle w:val="ListParagraph"/>
        <w:numPr>
          <w:ilvl w:val="0"/>
          <w:numId w:val="68"/>
        </w:numPr>
        <w:spacing w:line="240" w:lineRule="auto"/>
        <w:rPr>
          <w:rFonts w:cs="Times New Roman"/>
        </w:rPr>
      </w:pPr>
      <w:r w:rsidRPr="006414E6">
        <w:rPr>
          <w:rFonts w:cs="Times New Roman"/>
        </w:rPr>
        <w:t xml:space="preserve">Ograničavanje mogućnosti naknadne ugradnje klimatizacijske opreme oblikovane da sadrži </w:t>
      </w:r>
      <w:proofErr w:type="spellStart"/>
      <w:r w:rsidRPr="006414E6">
        <w:rPr>
          <w:rFonts w:cs="Times New Roman"/>
        </w:rPr>
        <w:t>fluorirane</w:t>
      </w:r>
      <w:proofErr w:type="spellEnd"/>
      <w:r w:rsidRPr="006414E6">
        <w:rPr>
          <w:rFonts w:cs="Times New Roman"/>
        </w:rPr>
        <w:t xml:space="preserve"> stakleničke plinove s potencijalom globalnog zagrijavanja iznad 150 u motorna vozila i zabrana punjenja klimatizacijske opreme tim plinovima.</w:t>
      </w:r>
    </w:p>
    <w:p w14:paraId="031AC69C" w14:textId="77777777" w:rsidR="00522861" w:rsidRPr="006414E6" w:rsidRDefault="00522861" w:rsidP="00F415A7">
      <w:pPr>
        <w:pStyle w:val="Heading2"/>
      </w:pPr>
      <w:bookmarkStart w:id="350" w:name="_Toc436823718"/>
      <w:bookmarkStart w:id="351" w:name="_Toc434968020"/>
      <w:bookmarkStart w:id="352" w:name="_Toc39133331"/>
      <w:r w:rsidRPr="006414E6">
        <w:t xml:space="preserve">I.3. </w:t>
      </w:r>
      <w:r w:rsidRPr="006414E6">
        <w:tab/>
        <w:t>PROMET</w:t>
      </w:r>
      <w:bookmarkEnd w:id="350"/>
      <w:bookmarkEnd w:id="351"/>
      <w:bookmarkEnd w:id="352"/>
    </w:p>
    <w:p w14:paraId="3DDDFA0F" w14:textId="77777777" w:rsidR="00522861" w:rsidRPr="006414E6" w:rsidRDefault="00522861" w:rsidP="00522861">
      <w:pPr>
        <w:rPr>
          <w:rFonts w:cs="Times New Roman"/>
        </w:rPr>
      </w:pPr>
      <w:r w:rsidRPr="006414E6">
        <w:rPr>
          <w:rFonts w:cs="Times New Roman"/>
        </w:rPr>
        <w:t xml:space="preserve">NUR scenarij podrazumijeva strukturalne promjene koje su rezultat isključivo postojećih mjera energetske učinkovitosti i </w:t>
      </w:r>
      <w:proofErr w:type="spellStart"/>
      <w:r w:rsidRPr="006414E6">
        <w:rPr>
          <w:rFonts w:cs="Times New Roman"/>
        </w:rPr>
        <w:t>dekarbonizacije</w:t>
      </w:r>
      <w:proofErr w:type="spellEnd"/>
      <w:r w:rsidRPr="006414E6">
        <w:rPr>
          <w:rFonts w:cs="Times New Roman"/>
        </w:rPr>
        <w:t xml:space="preserve"> u sektoru prometa. Osim postojećih mjera, predmetni scenarij u obzir uzima i napredak u kontekstu energetske intenzivnosti svake pojedine tehnologije.</w:t>
      </w:r>
    </w:p>
    <w:p w14:paraId="2A0831D4" w14:textId="77777777" w:rsidR="00522861" w:rsidRPr="006414E6" w:rsidRDefault="00522861" w:rsidP="00522861">
      <w:pPr>
        <w:rPr>
          <w:rFonts w:cs="Times New Roman"/>
        </w:rPr>
      </w:pPr>
      <w:r w:rsidRPr="006414E6">
        <w:rPr>
          <w:rFonts w:cs="Times New Roman"/>
        </w:rPr>
        <w:t>Uključene su sljedeće pretpostavke:</w:t>
      </w:r>
    </w:p>
    <w:p w14:paraId="176C699C" w14:textId="28EDA0DE" w:rsidR="006E0CDA" w:rsidRDefault="006E0CDA" w:rsidP="00522861">
      <w:pPr>
        <w:rPr>
          <w:sz w:val="20"/>
        </w:rPr>
      </w:pPr>
      <w:r w:rsidRPr="006E0CDA">
        <w:rPr>
          <w:sz w:val="20"/>
          <w:vertAlign w:val="superscript"/>
        </w:rPr>
        <w:t>1</w:t>
      </w:r>
      <w:r w:rsidR="008335DA">
        <w:rPr>
          <w:sz w:val="20"/>
        </w:rPr>
        <w:t>U nacionalnom inventaru emisija onečišćujućih tvari, za pojedine ključne kategorije izvora emisija NMHOS koristi se metodologija proračuna prve razine (</w:t>
      </w:r>
      <w:proofErr w:type="spellStart"/>
      <w:r w:rsidR="008335DA">
        <w:rPr>
          <w:sz w:val="20"/>
        </w:rPr>
        <w:t>Tier</w:t>
      </w:r>
      <w:proofErr w:type="spellEnd"/>
      <w:r w:rsidR="008335DA">
        <w:rPr>
          <w:sz w:val="20"/>
        </w:rPr>
        <w:t xml:space="preserve"> 1) koja ne omogućava uključivanje mjera smanjenja. Stoga u povijesnom trendu nije vidljivo smanjenje emisije NMHOS kao rezultat primjene </w:t>
      </w:r>
      <w:r w:rsidR="008335DA">
        <w:rPr>
          <w:i/>
          <w:sz w:val="20"/>
        </w:rPr>
        <w:t xml:space="preserve">Uredbe o graničnim vrijednostima sadržaja hlapivih organskih spojeva u određenim bojama i lakovima koji se koriste u graditeljstvu i proizvodima za završnu obradu vozila </w:t>
      </w:r>
      <w:r w:rsidR="008335DA" w:rsidRPr="00427BAD">
        <w:rPr>
          <w:i/>
          <w:sz w:val="20"/>
        </w:rPr>
        <w:t>(</w:t>
      </w:r>
      <w:r w:rsidR="008335DA" w:rsidRPr="000E5653">
        <w:rPr>
          <w:i/>
          <w:sz w:val="20"/>
        </w:rPr>
        <w:t>NN 69/13</w:t>
      </w:r>
      <w:r w:rsidR="008335DA" w:rsidRPr="00427BAD">
        <w:rPr>
          <w:i/>
          <w:sz w:val="20"/>
        </w:rPr>
        <w:t>)</w:t>
      </w:r>
      <w:r w:rsidR="008335DA" w:rsidRPr="0014729C">
        <w:rPr>
          <w:sz w:val="20"/>
        </w:rPr>
        <w:t>.</w:t>
      </w:r>
      <w:r w:rsidR="008335DA">
        <w:rPr>
          <w:sz w:val="20"/>
        </w:rPr>
        <w:t xml:space="preserve"> U prognozi budućih faktora emisije od 2020. godine pretpostavljeno je provođenje mjera smanjenja, a za ostale buduće godine do 2050. primijenjen je konzervativan pristup, koji znači daljnje provođenje mjera uz pretpostavku se da će faktori emisije ostati konstantni.</w:t>
      </w:r>
    </w:p>
    <w:p w14:paraId="351C461C" w14:textId="77777777" w:rsidR="00522861" w:rsidRPr="006414E6" w:rsidRDefault="00522861" w:rsidP="003A2F37">
      <w:pPr>
        <w:pStyle w:val="ListParagraph"/>
        <w:numPr>
          <w:ilvl w:val="0"/>
          <w:numId w:val="69"/>
        </w:numPr>
        <w:rPr>
          <w:rFonts w:cs="Times New Roman"/>
        </w:rPr>
      </w:pPr>
      <w:r w:rsidRPr="006414E6">
        <w:rPr>
          <w:rFonts w:cs="Times New Roman"/>
        </w:rPr>
        <w:t>porast udjela električnih vozila na 11% od ukupnog broja osobnih vozila u 2050. godini, odnosno 243.600 električnih vozila u 2050. godini</w:t>
      </w:r>
    </w:p>
    <w:p w14:paraId="18BA821B" w14:textId="77777777" w:rsidR="00522861" w:rsidRPr="006414E6" w:rsidRDefault="00522861" w:rsidP="003A2F37">
      <w:pPr>
        <w:pStyle w:val="ListParagraph"/>
        <w:numPr>
          <w:ilvl w:val="0"/>
          <w:numId w:val="69"/>
        </w:numPr>
        <w:rPr>
          <w:rFonts w:cs="Times New Roman"/>
        </w:rPr>
      </w:pPr>
      <w:r w:rsidRPr="006414E6">
        <w:rPr>
          <w:rFonts w:cs="Times New Roman"/>
        </w:rPr>
        <w:t>porast broja hibridnih i plug-</w:t>
      </w:r>
      <w:proofErr w:type="spellStart"/>
      <w:r w:rsidRPr="006414E6">
        <w:rPr>
          <w:rFonts w:cs="Times New Roman"/>
        </w:rPr>
        <w:t>in</w:t>
      </w:r>
      <w:proofErr w:type="spellEnd"/>
      <w:r w:rsidRPr="006414E6">
        <w:rPr>
          <w:rFonts w:cs="Times New Roman"/>
        </w:rPr>
        <w:t xml:space="preserve"> hibridnih vozila na 14,6% od ukupnog broja osobnih vozila do 2050. godine, čime bi broj hibridnih i plug-</w:t>
      </w:r>
      <w:proofErr w:type="spellStart"/>
      <w:r w:rsidRPr="006414E6">
        <w:rPr>
          <w:rFonts w:cs="Times New Roman"/>
        </w:rPr>
        <w:t>in</w:t>
      </w:r>
      <w:proofErr w:type="spellEnd"/>
      <w:r w:rsidRPr="006414E6">
        <w:rPr>
          <w:rFonts w:cs="Times New Roman"/>
        </w:rPr>
        <w:t xml:space="preserve"> hibridnih vozila u 2050. godini iznosio ukupno 320.000 </w:t>
      </w:r>
    </w:p>
    <w:p w14:paraId="461E08CB" w14:textId="77777777" w:rsidR="00522861" w:rsidRPr="006414E6" w:rsidRDefault="00522861" w:rsidP="003A2F37">
      <w:pPr>
        <w:pStyle w:val="ListParagraph"/>
        <w:numPr>
          <w:ilvl w:val="0"/>
          <w:numId w:val="69"/>
        </w:numPr>
        <w:rPr>
          <w:rFonts w:cs="Times New Roman"/>
        </w:rPr>
      </w:pPr>
      <w:r w:rsidRPr="006414E6">
        <w:rPr>
          <w:rFonts w:cs="Times New Roman"/>
        </w:rPr>
        <w:t>porast broja vozila koja koriste vodik nakon 2030. godine na 1,4% od ukupnog broja osobnih vozila, odnosno na oko 31.000 vozila u 2050. godini</w:t>
      </w:r>
    </w:p>
    <w:p w14:paraId="09443C6D" w14:textId="77777777" w:rsidR="00522861" w:rsidRPr="006414E6" w:rsidRDefault="00522861" w:rsidP="003A2F37">
      <w:pPr>
        <w:pStyle w:val="ListParagraph"/>
        <w:numPr>
          <w:ilvl w:val="0"/>
          <w:numId w:val="69"/>
        </w:numPr>
        <w:rPr>
          <w:rFonts w:cs="Times New Roman"/>
        </w:rPr>
      </w:pPr>
      <w:r w:rsidRPr="006414E6">
        <w:rPr>
          <w:rFonts w:cs="Times New Roman"/>
        </w:rPr>
        <w:t>porast udjela biogoriva u benzinskim i dizelskim gorivima na prosječnih 8% do 2050. godine</w:t>
      </w:r>
    </w:p>
    <w:p w14:paraId="19CECB8F" w14:textId="77777777" w:rsidR="00522861" w:rsidRPr="006414E6" w:rsidRDefault="00522861" w:rsidP="003A2F37">
      <w:pPr>
        <w:pStyle w:val="ListParagraph"/>
        <w:numPr>
          <w:ilvl w:val="0"/>
          <w:numId w:val="69"/>
        </w:numPr>
        <w:rPr>
          <w:rFonts w:cs="Times New Roman"/>
        </w:rPr>
      </w:pPr>
      <w:r w:rsidRPr="006414E6">
        <w:rPr>
          <w:rFonts w:cs="Times New Roman"/>
        </w:rPr>
        <w:t>razvoj uspješno promicanje integriranog gradskog prometa</w:t>
      </w:r>
    </w:p>
    <w:p w14:paraId="2D63FC00" w14:textId="77777777" w:rsidR="00522861" w:rsidRPr="006414E6" w:rsidRDefault="00522861" w:rsidP="003A2F37">
      <w:pPr>
        <w:pStyle w:val="ListParagraph"/>
        <w:numPr>
          <w:ilvl w:val="0"/>
          <w:numId w:val="69"/>
        </w:numPr>
        <w:rPr>
          <w:rFonts w:cs="Times New Roman"/>
        </w:rPr>
      </w:pPr>
      <w:r w:rsidRPr="006414E6">
        <w:rPr>
          <w:rFonts w:cs="Times New Roman"/>
        </w:rPr>
        <w:t xml:space="preserve">razvoj međugradskog prometa s naglaskom na željeznički promet putnika i tereta. </w:t>
      </w:r>
    </w:p>
    <w:p w14:paraId="4D7B7338" w14:textId="77777777" w:rsidR="00522861" w:rsidRPr="006414E6" w:rsidRDefault="00522861" w:rsidP="00F415A7">
      <w:pPr>
        <w:pStyle w:val="Heading2"/>
      </w:pPr>
      <w:bookmarkStart w:id="353" w:name="_Toc436823719"/>
      <w:bookmarkStart w:id="354" w:name="_Toc434968021"/>
      <w:bookmarkStart w:id="355" w:name="_Toc39133332"/>
      <w:r w:rsidRPr="006414E6">
        <w:t xml:space="preserve">I.4. </w:t>
      </w:r>
      <w:r w:rsidRPr="006414E6">
        <w:tab/>
        <w:t>SEKTOR OPĆE POTROŠNJE</w:t>
      </w:r>
      <w:bookmarkEnd w:id="353"/>
      <w:bookmarkEnd w:id="354"/>
      <w:bookmarkEnd w:id="355"/>
    </w:p>
    <w:p w14:paraId="6182DA58" w14:textId="77777777" w:rsidR="00522861" w:rsidRPr="006414E6" w:rsidRDefault="00522861" w:rsidP="00522861">
      <w:pPr>
        <w:rPr>
          <w:rFonts w:cs="Times New Roman"/>
        </w:rPr>
      </w:pPr>
      <w:r w:rsidRPr="006414E6">
        <w:rPr>
          <w:rFonts w:cs="Times New Roman"/>
        </w:rPr>
        <w:t>Prilikom izrade projekcija u sektoru opće potrošnje uključene su sljedeće ključne pretpostavke:</w:t>
      </w:r>
    </w:p>
    <w:p w14:paraId="26AE0BEF" w14:textId="77777777" w:rsidR="00522861" w:rsidRPr="006414E6" w:rsidRDefault="00522861" w:rsidP="003A2F37">
      <w:pPr>
        <w:pStyle w:val="ListParagraph"/>
        <w:numPr>
          <w:ilvl w:val="0"/>
          <w:numId w:val="70"/>
        </w:numPr>
        <w:autoSpaceDE w:val="0"/>
        <w:autoSpaceDN w:val="0"/>
        <w:adjustRightInd w:val="0"/>
        <w:spacing w:line="240" w:lineRule="auto"/>
        <w:ind w:hanging="357"/>
        <w:jc w:val="left"/>
        <w:rPr>
          <w:rFonts w:cs="Times New Roman"/>
          <w:color w:val="000000"/>
          <w:szCs w:val="24"/>
        </w:rPr>
      </w:pPr>
      <w:r w:rsidRPr="006414E6">
        <w:rPr>
          <w:rFonts w:cs="Times New Roman"/>
        </w:rPr>
        <w:t>energetska obnova fonda zgrada samo u opsegu koji se događa bez dodatnih mjera i politika</w:t>
      </w:r>
    </w:p>
    <w:p w14:paraId="7E0CA491" w14:textId="77777777" w:rsidR="00522861" w:rsidRPr="006414E6" w:rsidRDefault="00522861" w:rsidP="003A2F37">
      <w:pPr>
        <w:pStyle w:val="ListParagraph"/>
        <w:numPr>
          <w:ilvl w:val="0"/>
          <w:numId w:val="70"/>
        </w:numPr>
        <w:autoSpaceDE w:val="0"/>
        <w:autoSpaceDN w:val="0"/>
        <w:adjustRightInd w:val="0"/>
        <w:spacing w:line="240" w:lineRule="auto"/>
        <w:rPr>
          <w:rFonts w:cs="Times New Roman"/>
          <w:color w:val="000000"/>
          <w:szCs w:val="24"/>
        </w:rPr>
      </w:pPr>
      <w:r w:rsidRPr="006414E6">
        <w:rPr>
          <w:rFonts w:cs="Times New Roman"/>
          <w:color w:val="000000"/>
          <w:szCs w:val="24"/>
        </w:rPr>
        <w:t xml:space="preserve">nema značajnije penetracije električne energije u potrošnji energije za toplinske potrebe, a dominantan energent za zadovoljavanje toplinskih potreba je prirodni plin </w:t>
      </w:r>
    </w:p>
    <w:p w14:paraId="46123939" w14:textId="77777777" w:rsidR="00522861" w:rsidRPr="006414E6" w:rsidRDefault="00522861" w:rsidP="003A2F37">
      <w:pPr>
        <w:pStyle w:val="ListParagraph"/>
        <w:numPr>
          <w:ilvl w:val="0"/>
          <w:numId w:val="70"/>
        </w:numPr>
        <w:autoSpaceDE w:val="0"/>
        <w:autoSpaceDN w:val="0"/>
        <w:adjustRightInd w:val="0"/>
        <w:spacing w:line="240" w:lineRule="auto"/>
        <w:rPr>
          <w:rFonts w:cs="Times New Roman"/>
          <w:color w:val="000000"/>
          <w:szCs w:val="24"/>
        </w:rPr>
      </w:pPr>
      <w:r w:rsidRPr="006414E6">
        <w:rPr>
          <w:rFonts w:cs="Times New Roman"/>
          <w:color w:val="000000"/>
          <w:szCs w:val="24"/>
        </w:rPr>
        <w:t>specifične toplinske potrebe ukupnog stambenog fonda u 2050. godini bile bi 93 kWh/m</w:t>
      </w:r>
      <w:r w:rsidRPr="006414E6">
        <w:rPr>
          <w:rFonts w:cs="Times New Roman"/>
          <w:color w:val="000000"/>
          <w:szCs w:val="24"/>
          <w:vertAlign w:val="superscript"/>
        </w:rPr>
        <w:t>2</w:t>
      </w:r>
      <w:r w:rsidRPr="006414E6">
        <w:rPr>
          <w:rFonts w:cs="Times New Roman"/>
          <w:color w:val="000000"/>
          <w:szCs w:val="24"/>
        </w:rPr>
        <w:t xml:space="preserve"> grijane površine što je posljedica 25% novoizgrađenih stambenih jedinica te 4% obnovljenih na kraju promatranog razdoblja </w:t>
      </w:r>
    </w:p>
    <w:p w14:paraId="442A24EF" w14:textId="77777777" w:rsidR="00522861" w:rsidRPr="006414E6" w:rsidRDefault="00522861" w:rsidP="003A2F37">
      <w:pPr>
        <w:pStyle w:val="ListParagraph"/>
        <w:numPr>
          <w:ilvl w:val="0"/>
          <w:numId w:val="70"/>
        </w:numPr>
        <w:autoSpaceDE w:val="0"/>
        <w:autoSpaceDN w:val="0"/>
        <w:adjustRightInd w:val="0"/>
        <w:spacing w:line="240" w:lineRule="auto"/>
        <w:rPr>
          <w:rFonts w:cs="Times New Roman"/>
          <w:color w:val="000000"/>
          <w:szCs w:val="24"/>
        </w:rPr>
      </w:pPr>
      <w:r w:rsidRPr="006414E6">
        <w:rPr>
          <w:rFonts w:cs="Times New Roman"/>
          <w:color w:val="000000"/>
          <w:szCs w:val="24"/>
        </w:rPr>
        <w:t>u 2050. godini u kućanstva će se grijati 35% biomasom (ogrjevno drvo i moderna biomasa), 14% dizalicama topline (električna energija), 10% daljinskim grijanjem i 41% prirodnim plinom</w:t>
      </w:r>
    </w:p>
    <w:p w14:paraId="1FD7CDE0" w14:textId="77777777" w:rsidR="00522861" w:rsidRPr="006414E6" w:rsidRDefault="00522861" w:rsidP="003A2F37">
      <w:pPr>
        <w:pStyle w:val="ListParagraph"/>
        <w:numPr>
          <w:ilvl w:val="0"/>
          <w:numId w:val="70"/>
        </w:numPr>
        <w:autoSpaceDE w:val="0"/>
        <w:autoSpaceDN w:val="0"/>
        <w:adjustRightInd w:val="0"/>
        <w:spacing w:line="240" w:lineRule="auto"/>
        <w:rPr>
          <w:rFonts w:cs="Times New Roman"/>
          <w:color w:val="000000"/>
          <w:szCs w:val="24"/>
        </w:rPr>
      </w:pPr>
      <w:r w:rsidRPr="006414E6">
        <w:rPr>
          <w:rFonts w:cs="Times New Roman"/>
          <w:color w:val="000000"/>
          <w:szCs w:val="24"/>
        </w:rPr>
        <w:t>površina uslužnog sektora raste, a struktura grijanja po energentima je slična strukturi energenata u sektoru kućanstava dok specifična energija potrebna za grijanje u 2050. godini iznosi 80 kWh/m</w:t>
      </w:r>
      <w:r w:rsidRPr="006414E6">
        <w:rPr>
          <w:rFonts w:cs="Times New Roman"/>
          <w:color w:val="000000"/>
          <w:szCs w:val="24"/>
          <w:vertAlign w:val="superscript"/>
        </w:rPr>
        <w:t>2</w:t>
      </w:r>
      <w:r w:rsidRPr="006414E6">
        <w:rPr>
          <w:rFonts w:cs="Times New Roman"/>
          <w:color w:val="000000"/>
          <w:szCs w:val="24"/>
        </w:rPr>
        <w:t xml:space="preserve"> grijane površine. </w:t>
      </w:r>
    </w:p>
    <w:p w14:paraId="22A8BA28" w14:textId="77777777" w:rsidR="00522861" w:rsidRPr="006414E6" w:rsidRDefault="00522861" w:rsidP="00F415A7">
      <w:pPr>
        <w:pStyle w:val="Heading2"/>
      </w:pPr>
      <w:bookmarkStart w:id="356" w:name="_Toc436823720"/>
      <w:bookmarkStart w:id="357" w:name="_Toc434968022"/>
      <w:bookmarkStart w:id="358" w:name="_Toc39133333"/>
      <w:r w:rsidRPr="006414E6">
        <w:t xml:space="preserve">I.5. </w:t>
      </w:r>
      <w:r w:rsidRPr="006414E6">
        <w:tab/>
        <w:t>POLJOPRIVREDA</w:t>
      </w:r>
      <w:bookmarkEnd w:id="356"/>
      <w:bookmarkEnd w:id="357"/>
      <w:bookmarkEnd w:id="358"/>
    </w:p>
    <w:p w14:paraId="48F82565" w14:textId="77777777" w:rsidR="00522861" w:rsidRPr="006414E6" w:rsidRDefault="00522861" w:rsidP="00016B17">
      <w:pPr>
        <w:rPr>
          <w:rFonts w:cs="Times New Roman"/>
        </w:rPr>
      </w:pPr>
      <w:r w:rsidRPr="006414E6">
        <w:rPr>
          <w:rFonts w:cs="Times New Roman"/>
        </w:rPr>
        <w:t>Pri formiranju NUR scenarija korišten je pristup emisijskom trendu koji podrazumijeva daljnji pad emisija iz sektora poljoprivrede uglavnom uslijed smanjenja stočnog fonda i pada biljne proizvodnje. Postavljeni model projekcija emisija postavljen je uz korištenje slijedećih pretpostavki:</w:t>
      </w:r>
    </w:p>
    <w:p w14:paraId="32952634" w14:textId="4E3A11D2" w:rsidR="00522861" w:rsidRPr="006414E6" w:rsidRDefault="00522861" w:rsidP="003A2F37">
      <w:pPr>
        <w:pStyle w:val="ListParagraph"/>
        <w:numPr>
          <w:ilvl w:val="0"/>
          <w:numId w:val="71"/>
        </w:numPr>
        <w:rPr>
          <w:rFonts w:cs="Times New Roman"/>
        </w:rPr>
      </w:pPr>
      <w:r w:rsidRPr="006414E6">
        <w:rPr>
          <w:rFonts w:cs="Times New Roman"/>
        </w:rPr>
        <w:lastRenderedPageBreak/>
        <w:t>Projekcije trenda kretanja ulaznih podataka o aktivnosti za stočarsku i biljnu proizvodnju preuzete su iz globalnog FAO izvješća</w:t>
      </w:r>
      <w:r w:rsidR="006E0CDA" w:rsidRPr="006E0CDA">
        <w:rPr>
          <w:rFonts w:cs="Times New Roman"/>
          <w:vertAlign w:val="superscript"/>
        </w:rPr>
        <w:t>2</w:t>
      </w:r>
      <w:r w:rsidRPr="006414E6">
        <w:rPr>
          <w:rFonts w:cs="Times New Roman"/>
        </w:rPr>
        <w:t xml:space="preserve"> „</w:t>
      </w:r>
      <w:r w:rsidRPr="006414E6">
        <w:rPr>
          <w:rFonts w:cs="Times New Roman"/>
          <w:i/>
        </w:rPr>
        <w:t>Budućnost hrane i poljoprivrede – alternativni putevi do 2050. godine</w:t>
      </w:r>
      <w:r w:rsidRPr="006414E6">
        <w:rPr>
          <w:rFonts w:cs="Times New Roman"/>
        </w:rPr>
        <w:t xml:space="preserve">“, pri čemu je korišten </w:t>
      </w:r>
      <w:proofErr w:type="spellStart"/>
      <w:r w:rsidRPr="006414E6">
        <w:rPr>
          <w:rFonts w:cs="Times New Roman"/>
        </w:rPr>
        <w:t>BAU</w:t>
      </w:r>
      <w:proofErr w:type="spellEnd"/>
      <w:r w:rsidRPr="006414E6">
        <w:rPr>
          <w:rFonts w:cs="Times New Roman"/>
        </w:rPr>
        <w:t xml:space="preserve"> (eng. </w:t>
      </w:r>
      <w:proofErr w:type="spellStart"/>
      <w:r w:rsidRPr="006414E6">
        <w:rPr>
          <w:rFonts w:cs="Times New Roman"/>
          <w:i/>
        </w:rPr>
        <w:t>bussiness</w:t>
      </w:r>
      <w:proofErr w:type="spellEnd"/>
      <w:r w:rsidRPr="006414E6">
        <w:rPr>
          <w:rFonts w:cs="Times New Roman"/>
          <w:i/>
        </w:rPr>
        <w:t xml:space="preserve"> as </w:t>
      </w:r>
      <w:proofErr w:type="spellStart"/>
      <w:r w:rsidRPr="006414E6">
        <w:rPr>
          <w:rFonts w:cs="Times New Roman"/>
          <w:i/>
        </w:rPr>
        <w:t>usual</w:t>
      </w:r>
      <w:proofErr w:type="spellEnd"/>
      <w:r w:rsidRPr="006414E6">
        <w:rPr>
          <w:rFonts w:cs="Times New Roman"/>
        </w:rPr>
        <w:t xml:space="preserve">) scenarij spomenutog izvješća. </w:t>
      </w:r>
    </w:p>
    <w:p w14:paraId="1EE766BE" w14:textId="77777777" w:rsidR="00522861" w:rsidRPr="006414E6" w:rsidRDefault="00522861" w:rsidP="003A2F37">
      <w:pPr>
        <w:pStyle w:val="ListParagraph"/>
        <w:numPr>
          <w:ilvl w:val="0"/>
          <w:numId w:val="71"/>
        </w:numPr>
        <w:rPr>
          <w:rFonts w:cs="Times New Roman"/>
        </w:rPr>
      </w:pPr>
      <w:r w:rsidRPr="006414E6">
        <w:rPr>
          <w:rFonts w:cs="Times New Roman"/>
        </w:rPr>
        <w:t>Korištenje mineralnih gnojiva dobivenom ekstrapolacijom postojećeg trenda za razdoblje od 2000.do 2016. godine.</w:t>
      </w:r>
    </w:p>
    <w:p w14:paraId="2E5D564D" w14:textId="0EA9FB3E" w:rsidR="00522861" w:rsidRPr="006414E6" w:rsidRDefault="00522861" w:rsidP="003A2F37">
      <w:pPr>
        <w:pStyle w:val="ListParagraph"/>
        <w:numPr>
          <w:ilvl w:val="0"/>
          <w:numId w:val="71"/>
        </w:numPr>
        <w:rPr>
          <w:rFonts w:cs="Times New Roman"/>
        </w:rPr>
      </w:pPr>
      <w:r w:rsidRPr="006414E6">
        <w:rPr>
          <w:rFonts w:cs="Times New Roman"/>
        </w:rPr>
        <w:t xml:space="preserve">Provedba </w:t>
      </w:r>
      <w:r w:rsidR="0021090A" w:rsidRPr="006414E6">
        <w:rPr>
          <w:rFonts w:cs="Times New Roman"/>
        </w:rPr>
        <w:t>P</w:t>
      </w:r>
      <w:r w:rsidRPr="006414E6">
        <w:rPr>
          <w:rFonts w:cs="Times New Roman"/>
        </w:rPr>
        <w:t xml:space="preserve">rograma ruralnog razvoja </w:t>
      </w:r>
      <w:r w:rsidR="0021090A" w:rsidRPr="006414E6">
        <w:rPr>
          <w:rFonts w:cs="Times New Roman"/>
        </w:rPr>
        <w:t xml:space="preserve"> Republike Hrvatske za razdoblje 2014. – 2020.</w:t>
      </w:r>
    </w:p>
    <w:p w14:paraId="4DC48231" w14:textId="77777777" w:rsidR="00522861" w:rsidRPr="006414E6" w:rsidRDefault="00522861" w:rsidP="003A2F37">
      <w:pPr>
        <w:pStyle w:val="ListParagraph"/>
        <w:numPr>
          <w:ilvl w:val="0"/>
          <w:numId w:val="71"/>
        </w:numPr>
        <w:rPr>
          <w:rFonts w:cs="Times New Roman"/>
        </w:rPr>
      </w:pPr>
      <w:r w:rsidRPr="006414E6">
        <w:rPr>
          <w:rFonts w:cs="Times New Roman"/>
        </w:rPr>
        <w:t xml:space="preserve">Manje promjene u sustavu uzgoja stoke i režimu ishrane (promjene sustava </w:t>
      </w:r>
      <w:proofErr w:type="spellStart"/>
      <w:r w:rsidRPr="006414E6">
        <w:rPr>
          <w:rFonts w:cs="Times New Roman"/>
        </w:rPr>
        <w:t>izgnojavanja</w:t>
      </w:r>
      <w:proofErr w:type="spellEnd"/>
      <w:r w:rsidRPr="006414E6">
        <w:rPr>
          <w:rFonts w:cs="Times New Roman"/>
        </w:rPr>
        <w:t xml:space="preserve"> i genetski napredak, povećanje probavljivosti i kvalitete krmiva).</w:t>
      </w:r>
    </w:p>
    <w:p w14:paraId="12CB9B54" w14:textId="77777777" w:rsidR="00522861" w:rsidRPr="006414E6" w:rsidRDefault="00522861" w:rsidP="00522861">
      <w:pPr>
        <w:rPr>
          <w:rFonts w:cs="Times New Roman"/>
        </w:rPr>
      </w:pPr>
      <w:r w:rsidRPr="006414E6">
        <w:rPr>
          <w:rFonts w:cs="Times New Roman"/>
        </w:rPr>
        <w:t>NUR scenarij temeljem gore navedenih politika i mjera zadržava primjenu mineralnih gnojiva (dušika) u tlo na razini koja proizlazi iz trenda utroška mineralnih gnojiva u razdoblju od 2000. do 2017. godine, odnosno postavlja pretpostavku da neće doći do povećanja utroška mineralnih gnojiva unatoč procijenjenim promjenama u biljnoj proizvodnji i stočnoj proizvodnji.  Za potrebe detaljnog modeliranja primijenjenog dušika potrebno je uspostaviti sustav realnog praćenja potrošnje mineralnih gnojiva na gospodarstvima, kao i procjene udjela poljoprivrednih površina pod pojedinim usjevom na državnoj razini u sklopu izrade karata tla i studije mogućnosti primjene mjera za smanjenje emisija stakleničkih plinova u sektoru poljoprivreda.</w:t>
      </w:r>
    </w:p>
    <w:p w14:paraId="6FD413CB" w14:textId="77777777" w:rsidR="00522861" w:rsidRPr="006414E6" w:rsidRDefault="00522861" w:rsidP="00F415A7">
      <w:pPr>
        <w:pStyle w:val="Heading2"/>
      </w:pPr>
      <w:bookmarkStart w:id="359" w:name="_Toc436823721"/>
      <w:bookmarkStart w:id="360" w:name="_Toc434968023"/>
      <w:bookmarkStart w:id="361" w:name="_Toc39133334"/>
      <w:r w:rsidRPr="006414E6">
        <w:t xml:space="preserve">I.6. </w:t>
      </w:r>
      <w:r w:rsidRPr="006414E6">
        <w:tab/>
        <w:t>GOSPODARENJE OTPADOM</w:t>
      </w:r>
      <w:bookmarkEnd w:id="359"/>
      <w:bookmarkEnd w:id="360"/>
      <w:bookmarkEnd w:id="361"/>
    </w:p>
    <w:p w14:paraId="745B1460" w14:textId="77777777" w:rsidR="00522861" w:rsidRPr="006414E6" w:rsidRDefault="00522861" w:rsidP="00522861">
      <w:pPr>
        <w:rPr>
          <w:rFonts w:cs="Times New Roman"/>
        </w:rPr>
      </w:pPr>
      <w:r w:rsidRPr="006414E6">
        <w:rPr>
          <w:rFonts w:cs="Times New Roman"/>
        </w:rPr>
        <w:t>NUR scenarij uključuje postojeći pravni okvir Republike Hrvatske i usvojeni pravni okvir EU iz područja gospodarenja otpadom za razdoblje do 2035. godine. Odgoda od 5 godina za Republiku Hrvatsku uključena je u projekcije. Za razdoblje nakon 2040. godine korištene su pretpostavke za primjenu mjera temeljene na stručnoj procjeni, sukladno pretpostavkama definiranima usvojenim planskim dokumentima.</w:t>
      </w:r>
    </w:p>
    <w:p w14:paraId="076939B5" w14:textId="77777777" w:rsidR="00522861" w:rsidRPr="006414E6" w:rsidRDefault="00522861" w:rsidP="00522861">
      <w:pPr>
        <w:rPr>
          <w:rFonts w:cs="Times New Roman"/>
        </w:rPr>
      </w:pPr>
      <w:r w:rsidRPr="006414E6">
        <w:rPr>
          <w:rFonts w:cs="Times New Roman"/>
        </w:rPr>
        <w:t xml:space="preserve">NUR scenarij uključuje projekcije emisija iz aktivnosti odlaganja, biološke obrade i spaljivanja krutog otpada te upravljanja otpadnim vodama. Projekcije su provedene na temelju očekivanog razvoja te budućeg stanja parametara za izradu projekcija - količine proizvedenog i odloženog krutog otpada (komunalnog, proizvodnog, mulja od obrade otpadnih voda), udjela organskog dijela krutog otpada, udjela regeneriranog/spaljenog metana te količine </w:t>
      </w:r>
      <w:proofErr w:type="spellStart"/>
      <w:r w:rsidRPr="006414E6">
        <w:rPr>
          <w:rFonts w:cs="Times New Roman"/>
        </w:rPr>
        <w:t>kompostiranog</w:t>
      </w:r>
      <w:proofErr w:type="spellEnd"/>
      <w:r w:rsidRPr="006414E6">
        <w:rPr>
          <w:rFonts w:cs="Times New Roman"/>
        </w:rPr>
        <w:t xml:space="preserve"> organskog otpada. Projekcije emisija temelje se na projekcijama makroekonomskih parametara iz 2018. godine - godišnje stope porasta bruto društvenog proizvoda i smanjenja broja stanovnika.</w:t>
      </w:r>
    </w:p>
    <w:p w14:paraId="694A3456" w14:textId="77777777" w:rsidR="00522861" w:rsidRPr="006414E6" w:rsidRDefault="00522861" w:rsidP="00016B17">
      <w:pPr>
        <w:rPr>
          <w:rFonts w:cs="Times New Roman"/>
        </w:rPr>
      </w:pPr>
      <w:r w:rsidRPr="006414E6">
        <w:rPr>
          <w:rFonts w:cs="Times New Roman"/>
        </w:rPr>
        <w:t>U izradi projekcija uključene su sljedeće pretpostavke:</w:t>
      </w:r>
    </w:p>
    <w:p w14:paraId="5EC6BB01" w14:textId="0924D999" w:rsidR="00522861" w:rsidRPr="006E0CDA" w:rsidRDefault="006E0CDA" w:rsidP="00016B17">
      <w:pPr>
        <w:rPr>
          <w:rFonts w:cs="Times New Roman"/>
          <w:sz w:val="18"/>
          <w:szCs w:val="18"/>
        </w:rPr>
      </w:pPr>
      <w:r w:rsidRPr="006E0CDA">
        <w:rPr>
          <w:sz w:val="18"/>
          <w:szCs w:val="18"/>
          <w:vertAlign w:val="superscript"/>
        </w:rPr>
        <w:t>2</w:t>
      </w:r>
      <w:r w:rsidRPr="006E0CDA">
        <w:rPr>
          <w:sz w:val="18"/>
          <w:szCs w:val="18"/>
        </w:rPr>
        <w:t xml:space="preserve">FAO. 2018. </w:t>
      </w:r>
      <w:proofErr w:type="spellStart"/>
      <w:r w:rsidRPr="006E0CDA">
        <w:rPr>
          <w:sz w:val="18"/>
          <w:szCs w:val="18"/>
        </w:rPr>
        <w:t>The</w:t>
      </w:r>
      <w:proofErr w:type="spellEnd"/>
      <w:r w:rsidRPr="006E0CDA">
        <w:rPr>
          <w:sz w:val="18"/>
          <w:szCs w:val="18"/>
        </w:rPr>
        <w:t xml:space="preserve"> future </w:t>
      </w:r>
      <w:proofErr w:type="spellStart"/>
      <w:r w:rsidRPr="006E0CDA">
        <w:rPr>
          <w:sz w:val="18"/>
          <w:szCs w:val="18"/>
        </w:rPr>
        <w:t>of</w:t>
      </w:r>
      <w:proofErr w:type="spellEnd"/>
      <w:r w:rsidRPr="006E0CDA">
        <w:rPr>
          <w:sz w:val="18"/>
          <w:szCs w:val="18"/>
        </w:rPr>
        <w:t xml:space="preserve"> </w:t>
      </w:r>
      <w:proofErr w:type="spellStart"/>
      <w:r w:rsidRPr="006E0CDA">
        <w:rPr>
          <w:sz w:val="18"/>
          <w:szCs w:val="18"/>
        </w:rPr>
        <w:t>food</w:t>
      </w:r>
      <w:proofErr w:type="spellEnd"/>
      <w:r w:rsidRPr="006E0CDA">
        <w:rPr>
          <w:sz w:val="18"/>
          <w:szCs w:val="18"/>
        </w:rPr>
        <w:t xml:space="preserve"> and </w:t>
      </w:r>
      <w:proofErr w:type="spellStart"/>
      <w:r w:rsidRPr="006E0CDA">
        <w:rPr>
          <w:sz w:val="18"/>
          <w:szCs w:val="18"/>
        </w:rPr>
        <w:t>agriculture</w:t>
      </w:r>
      <w:proofErr w:type="spellEnd"/>
      <w:r w:rsidRPr="006E0CDA">
        <w:rPr>
          <w:sz w:val="18"/>
          <w:szCs w:val="18"/>
        </w:rPr>
        <w:t xml:space="preserve"> – Alternative </w:t>
      </w:r>
      <w:proofErr w:type="spellStart"/>
      <w:r w:rsidRPr="006E0CDA">
        <w:rPr>
          <w:sz w:val="18"/>
          <w:szCs w:val="18"/>
        </w:rPr>
        <w:t>pathways</w:t>
      </w:r>
      <w:proofErr w:type="spellEnd"/>
      <w:r w:rsidRPr="006E0CDA">
        <w:rPr>
          <w:sz w:val="18"/>
          <w:szCs w:val="18"/>
        </w:rPr>
        <w:t xml:space="preserve"> to 2050. Rome. 224 </w:t>
      </w:r>
      <w:proofErr w:type="spellStart"/>
      <w:r w:rsidRPr="006E0CDA">
        <w:rPr>
          <w:sz w:val="18"/>
          <w:szCs w:val="18"/>
        </w:rPr>
        <w:t>pp</w:t>
      </w:r>
      <w:proofErr w:type="spellEnd"/>
      <w:r w:rsidRPr="006E0CDA">
        <w:rPr>
          <w:sz w:val="18"/>
          <w:szCs w:val="18"/>
        </w:rPr>
        <w:t>. Licence: CC BY-NC-SA 3.0 IGO</w:t>
      </w:r>
    </w:p>
    <w:p w14:paraId="0901078F" w14:textId="77777777" w:rsidR="00522861" w:rsidRPr="006414E6" w:rsidRDefault="00522861" w:rsidP="00016B17">
      <w:pPr>
        <w:pStyle w:val="ListParagraph"/>
        <w:numPr>
          <w:ilvl w:val="0"/>
          <w:numId w:val="72"/>
        </w:numPr>
        <w:spacing w:line="240" w:lineRule="auto"/>
        <w:rPr>
          <w:rFonts w:cs="Times New Roman"/>
        </w:rPr>
      </w:pPr>
      <w:r w:rsidRPr="006414E6">
        <w:rPr>
          <w:rFonts w:cs="Times New Roman"/>
        </w:rPr>
        <w:t xml:space="preserve">Odlaganje krutog otpada - smanjenje količine proizvedenog i odloženog krutog otpada zbog primjene mjera definiranih sektorskim zakonodavstvom usklađenim s EU zakonodavstvom. 4. srpnja 2018. godine na snagu su stupila nova EU pravila s pravno obvezujućim ciljevima za recikliranje otpada i smanjenje odlaganja otpada. Hrvatska je dobila mogućnost odgode od pet godina za ispunjavanje navedenih ciljeva, jer je među državama članicama koje su 2013. godine reciklirale manje od 20% komunalnog otpada ili odlagale više od 60% na odlagalištima. Odgoda od 5 godina uključena je u projekcije. </w:t>
      </w:r>
    </w:p>
    <w:p w14:paraId="078BA589" w14:textId="77777777" w:rsidR="00522861" w:rsidRPr="006414E6" w:rsidRDefault="00522861" w:rsidP="003A2F37">
      <w:pPr>
        <w:pStyle w:val="ListParagraph"/>
        <w:numPr>
          <w:ilvl w:val="0"/>
          <w:numId w:val="72"/>
        </w:numPr>
        <w:spacing w:line="240" w:lineRule="auto"/>
        <w:rPr>
          <w:rFonts w:cs="Times New Roman"/>
        </w:rPr>
      </w:pPr>
      <w:r w:rsidRPr="006414E6">
        <w:rPr>
          <w:rFonts w:cs="Times New Roman"/>
        </w:rPr>
        <w:t xml:space="preserve">Kompostiranje - kontinuirani porast količine otpada koji se obrađuje kompostiranjem zbog primjene mjera definiranih sektorskim zakonodavstvom usklađenim s EU zakonodavstvom. Porast količine otpada koji će se </w:t>
      </w:r>
      <w:proofErr w:type="spellStart"/>
      <w:r w:rsidRPr="006414E6">
        <w:rPr>
          <w:rFonts w:cs="Times New Roman"/>
        </w:rPr>
        <w:t>kompostirati</w:t>
      </w:r>
      <w:proofErr w:type="spellEnd"/>
      <w:r w:rsidRPr="006414E6">
        <w:rPr>
          <w:rFonts w:cs="Times New Roman"/>
        </w:rPr>
        <w:t xml:space="preserve"> ovisi o smanjenju količine odloženog biorazgradivog otpada i udjelu biorazgradivog otpada koji će se obrađivati kompostiranjem i digestijom.</w:t>
      </w:r>
    </w:p>
    <w:p w14:paraId="135A2F2C" w14:textId="77777777" w:rsidR="00522861" w:rsidRPr="006414E6" w:rsidRDefault="00522861" w:rsidP="003A2F37">
      <w:pPr>
        <w:pStyle w:val="ListParagraph"/>
        <w:numPr>
          <w:ilvl w:val="0"/>
          <w:numId w:val="72"/>
        </w:numPr>
        <w:spacing w:line="240" w:lineRule="auto"/>
        <w:rPr>
          <w:rFonts w:cs="Times New Roman"/>
        </w:rPr>
      </w:pPr>
      <w:r w:rsidRPr="006414E6">
        <w:rPr>
          <w:rFonts w:cs="Times New Roman"/>
        </w:rPr>
        <w:t>Spaljivanje otpada - ne provodi se više spaljivanje bolničkog otpada bez oporabe energije.</w:t>
      </w:r>
    </w:p>
    <w:p w14:paraId="05D05985" w14:textId="66AC9B4E" w:rsidR="00522861" w:rsidRDefault="00522861" w:rsidP="003A2F37">
      <w:pPr>
        <w:pStyle w:val="ListParagraph"/>
        <w:numPr>
          <w:ilvl w:val="0"/>
          <w:numId w:val="72"/>
        </w:numPr>
        <w:spacing w:line="240" w:lineRule="auto"/>
        <w:rPr>
          <w:rFonts w:cs="Times New Roman"/>
        </w:rPr>
      </w:pPr>
      <w:r w:rsidRPr="006414E6">
        <w:rPr>
          <w:rFonts w:cs="Times New Roman"/>
        </w:rPr>
        <w:lastRenderedPageBreak/>
        <w:t>Upravljanje otpadnim vodama - kontinuirano povećanje količine obrađenih otpadnih voda industrije te smanjenje količine obrađenih otpadnih voda kućanstava i broja stanovnika s individualnim sistemom odvodnje otpadnih voda (septičke jame).</w:t>
      </w:r>
    </w:p>
    <w:p w14:paraId="4478D06C" w14:textId="6BD2F55C" w:rsidR="00522861" w:rsidRPr="006414E6" w:rsidRDefault="00311FED" w:rsidP="009966EC">
      <w:bookmarkStart w:id="362" w:name="_Toc33417211"/>
      <w:bookmarkStart w:id="363" w:name="_Toc39133335"/>
      <w:r w:rsidRPr="006414E6">
        <w:t>PRILOG II</w:t>
      </w:r>
      <w:r w:rsidR="00E530A4" w:rsidRPr="006414E6">
        <w:t>.</w:t>
      </w:r>
      <w:r w:rsidR="007937D9" w:rsidRPr="006414E6">
        <w:t xml:space="preserve">  -  </w:t>
      </w:r>
      <w:r w:rsidR="00522861" w:rsidRPr="006414E6">
        <w:t>OPIS NISKOUGLJIČNOG SCENARIJA</w:t>
      </w:r>
      <w:r w:rsidR="00DF517D" w:rsidRPr="006414E6">
        <w:t xml:space="preserve"> </w:t>
      </w:r>
      <w:r w:rsidR="00522861" w:rsidRPr="006414E6">
        <w:t>POSTUPNE TRANZICIJE</w:t>
      </w:r>
      <w:bookmarkEnd w:id="345"/>
      <w:bookmarkEnd w:id="346"/>
      <w:r w:rsidR="00522861" w:rsidRPr="006414E6">
        <w:t xml:space="preserve"> (NU1)</w:t>
      </w:r>
      <w:bookmarkEnd w:id="362"/>
      <w:bookmarkEnd w:id="363"/>
    </w:p>
    <w:p w14:paraId="6823C229" w14:textId="77777777" w:rsidR="00522861" w:rsidRPr="00016B17" w:rsidRDefault="00522861" w:rsidP="00F415A7">
      <w:pPr>
        <w:pStyle w:val="Heading2"/>
      </w:pPr>
      <w:bookmarkStart w:id="364" w:name="_Toc39133336"/>
      <w:bookmarkStart w:id="365" w:name="_Toc20841329"/>
      <w:bookmarkStart w:id="366" w:name="_Toc20841435"/>
      <w:r w:rsidRPr="00016B17">
        <w:t xml:space="preserve">II.1. </w:t>
      </w:r>
      <w:r w:rsidRPr="00016B17">
        <w:tab/>
        <w:t>ENERGETSKA POSTROJENJA</w:t>
      </w:r>
      <w:bookmarkEnd w:id="364"/>
    </w:p>
    <w:p w14:paraId="2BD9CCEB" w14:textId="77777777" w:rsidR="00522861" w:rsidRPr="006414E6" w:rsidRDefault="00522861" w:rsidP="00522861">
      <w:pPr>
        <w:rPr>
          <w:rFonts w:cs="Times New Roman"/>
          <w:u w:val="single"/>
        </w:rPr>
      </w:pPr>
      <w:r w:rsidRPr="006414E6">
        <w:rPr>
          <w:rFonts w:cs="Times New Roman"/>
          <w:u w:val="single"/>
        </w:rPr>
        <w:t>Neposredna potrošnja energije</w:t>
      </w:r>
    </w:p>
    <w:p w14:paraId="08A06578" w14:textId="77777777" w:rsidR="00522861" w:rsidRPr="006414E6" w:rsidRDefault="00522861" w:rsidP="00522861">
      <w:pPr>
        <w:rPr>
          <w:rFonts w:cs="Times New Roman"/>
        </w:rPr>
      </w:pPr>
      <w:r w:rsidRPr="006414E6">
        <w:rPr>
          <w:rFonts w:cs="Times New Roman"/>
        </w:rPr>
        <w:t>U Scenariju postupne tranzicije (NU1), neposredna potrošnja energije do 2030. godine stagnira, a zatim se smanjuje za 20% do 2050. godine, promatrano u odnosu na sadašnju razinu (2018. godina) neposredne potrošnje energije.</w:t>
      </w:r>
    </w:p>
    <w:p w14:paraId="0FE01681" w14:textId="77777777" w:rsidR="00522861" w:rsidRPr="006414E6" w:rsidRDefault="00522861" w:rsidP="00522861">
      <w:pPr>
        <w:rPr>
          <w:rFonts w:cs="Times New Roman"/>
        </w:rPr>
      </w:pPr>
      <w:r w:rsidRPr="006414E6">
        <w:rPr>
          <w:rFonts w:cs="Times New Roman"/>
        </w:rPr>
        <w:t>Mijenja se struktura utrošenih oblika energije. Očekuje se porast udjela električne energije i vodika, a smanjuje se udio krutih i tekućih fosilnih goriva. Potrošnja prirodnog plina ostaje približno jednaka do 2030. godine i zatim opada za 15% do 2050. godine. Ukupni udio fosilnih goriva opada na 53,2% u 2030. godini i na 41,0% u 2050. godini.</w:t>
      </w:r>
    </w:p>
    <w:p w14:paraId="0B916173" w14:textId="77777777" w:rsidR="00522861" w:rsidRPr="006414E6" w:rsidRDefault="00522861" w:rsidP="00522861">
      <w:pPr>
        <w:rPr>
          <w:rFonts w:cs="Times New Roman"/>
        </w:rPr>
      </w:pPr>
      <w:r w:rsidRPr="006414E6">
        <w:rPr>
          <w:rFonts w:cs="Times New Roman"/>
        </w:rPr>
        <w:t>Udio neposredne potrošnje energije u industriji zadržat će se na oko 17% do 2030. godine, a zatim raste na 19,8% u 2050. godini. Očekuje se smanjenje udjela prometa, dok udio ukupne potrošnje sektora opće potrošnje (kućanstva, usluge i poljoprivreda) ostaje približno konstantan.</w:t>
      </w:r>
    </w:p>
    <w:p w14:paraId="2EA2D1C1" w14:textId="77777777" w:rsidR="00522861" w:rsidRPr="006414E6" w:rsidRDefault="00522861" w:rsidP="00522861">
      <w:pPr>
        <w:rPr>
          <w:rFonts w:cs="Times New Roman"/>
        </w:rPr>
      </w:pPr>
      <w:r w:rsidRPr="006414E6">
        <w:rPr>
          <w:rFonts w:cs="Times New Roman"/>
        </w:rPr>
        <w:t>U tablici II.1-1 i tablici II 1-2 prikazane su projekcije neposredne potrošnje energije u NU1 scenariju.</w:t>
      </w:r>
    </w:p>
    <w:p w14:paraId="6A1036BB" w14:textId="77777777" w:rsidR="00522861" w:rsidRPr="006414E6" w:rsidRDefault="00522861" w:rsidP="00522861">
      <w:pPr>
        <w:rPr>
          <w:rFonts w:cs="Times New Roman"/>
          <w:i/>
        </w:rPr>
      </w:pPr>
      <w:r w:rsidRPr="006414E6">
        <w:rPr>
          <w:rFonts w:cs="Times New Roman"/>
          <w:i/>
        </w:rPr>
        <w:t>Tablica II.1-1: Neposredna potrošnja energije po gorivima, NU1</w:t>
      </w:r>
    </w:p>
    <w:tbl>
      <w:tblPr>
        <w:tblW w:w="7086" w:type="dxa"/>
        <w:tblLook w:val="04A0" w:firstRow="1" w:lastRow="0" w:firstColumn="1" w:lastColumn="0" w:noHBand="0" w:noVBand="1"/>
      </w:tblPr>
      <w:tblGrid>
        <w:gridCol w:w="2835"/>
        <w:gridCol w:w="1417"/>
        <w:gridCol w:w="1417"/>
        <w:gridCol w:w="1417"/>
      </w:tblGrid>
      <w:tr w:rsidR="00522861" w:rsidRPr="006414E6" w14:paraId="6AC58F69"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108651" w14:textId="77777777" w:rsidR="00522861" w:rsidRPr="006414E6" w:rsidRDefault="00522861">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FD97DD"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2B7A2E0"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F01795"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1FEAF30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81BAFA6"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Ugljen i koks</w:t>
            </w:r>
          </w:p>
        </w:tc>
        <w:tc>
          <w:tcPr>
            <w:tcW w:w="1417" w:type="dxa"/>
            <w:tcBorders>
              <w:top w:val="nil"/>
              <w:left w:val="nil"/>
              <w:bottom w:val="single" w:sz="4" w:space="0" w:color="auto"/>
              <w:right w:val="single" w:sz="4" w:space="0" w:color="auto"/>
            </w:tcBorders>
            <w:noWrap/>
            <w:vAlign w:val="center"/>
            <w:hideMark/>
          </w:tcPr>
          <w:p w14:paraId="192E3A90"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55,4</w:t>
            </w:r>
          </w:p>
        </w:tc>
        <w:tc>
          <w:tcPr>
            <w:tcW w:w="1417" w:type="dxa"/>
            <w:tcBorders>
              <w:top w:val="nil"/>
              <w:left w:val="nil"/>
              <w:bottom w:val="single" w:sz="4" w:space="0" w:color="auto"/>
              <w:right w:val="single" w:sz="4" w:space="0" w:color="auto"/>
            </w:tcBorders>
            <w:noWrap/>
            <w:vAlign w:val="center"/>
            <w:hideMark/>
          </w:tcPr>
          <w:p w14:paraId="1D897630"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40,7</w:t>
            </w:r>
          </w:p>
        </w:tc>
        <w:tc>
          <w:tcPr>
            <w:tcW w:w="1417" w:type="dxa"/>
            <w:tcBorders>
              <w:top w:val="nil"/>
              <w:left w:val="nil"/>
              <w:bottom w:val="single" w:sz="4" w:space="0" w:color="auto"/>
              <w:right w:val="single" w:sz="4" w:space="0" w:color="auto"/>
            </w:tcBorders>
            <w:noWrap/>
            <w:vAlign w:val="center"/>
            <w:hideMark/>
          </w:tcPr>
          <w:p w14:paraId="3D87DB0A"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26,1</w:t>
            </w:r>
          </w:p>
        </w:tc>
      </w:tr>
      <w:tr w:rsidR="00522861" w:rsidRPr="006414E6" w14:paraId="081EE2D6"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37A8966"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Neobnovljivi otpad</w:t>
            </w:r>
          </w:p>
        </w:tc>
        <w:tc>
          <w:tcPr>
            <w:tcW w:w="1417" w:type="dxa"/>
            <w:tcBorders>
              <w:top w:val="nil"/>
              <w:left w:val="nil"/>
              <w:bottom w:val="single" w:sz="4" w:space="0" w:color="auto"/>
              <w:right w:val="single" w:sz="4" w:space="0" w:color="auto"/>
            </w:tcBorders>
            <w:noWrap/>
            <w:vAlign w:val="center"/>
            <w:hideMark/>
          </w:tcPr>
          <w:p w14:paraId="5EF5BB76"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10,6</w:t>
            </w:r>
          </w:p>
        </w:tc>
        <w:tc>
          <w:tcPr>
            <w:tcW w:w="1417" w:type="dxa"/>
            <w:tcBorders>
              <w:top w:val="nil"/>
              <w:left w:val="nil"/>
              <w:bottom w:val="single" w:sz="4" w:space="0" w:color="auto"/>
              <w:right w:val="single" w:sz="4" w:space="0" w:color="auto"/>
            </w:tcBorders>
            <w:noWrap/>
            <w:vAlign w:val="center"/>
            <w:hideMark/>
          </w:tcPr>
          <w:p w14:paraId="14257A8E"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10,0</w:t>
            </w:r>
          </w:p>
        </w:tc>
        <w:tc>
          <w:tcPr>
            <w:tcW w:w="1417" w:type="dxa"/>
            <w:tcBorders>
              <w:top w:val="nil"/>
              <w:left w:val="nil"/>
              <w:bottom w:val="single" w:sz="4" w:space="0" w:color="auto"/>
              <w:right w:val="single" w:sz="4" w:space="0" w:color="auto"/>
            </w:tcBorders>
            <w:noWrap/>
            <w:vAlign w:val="center"/>
            <w:hideMark/>
          </w:tcPr>
          <w:p w14:paraId="7CDB6782"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8,1</w:t>
            </w:r>
          </w:p>
        </w:tc>
      </w:tr>
      <w:tr w:rsidR="00522861" w:rsidRPr="006414E6" w14:paraId="136B3C93"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3F0E1EB"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Obnovljivi izvori</w:t>
            </w:r>
          </w:p>
        </w:tc>
        <w:tc>
          <w:tcPr>
            <w:tcW w:w="1417" w:type="dxa"/>
            <w:tcBorders>
              <w:top w:val="nil"/>
              <w:left w:val="nil"/>
              <w:bottom w:val="single" w:sz="4" w:space="0" w:color="auto"/>
              <w:right w:val="single" w:sz="4" w:space="0" w:color="auto"/>
            </w:tcBorders>
            <w:noWrap/>
            <w:vAlign w:val="center"/>
            <w:hideMark/>
          </w:tcPr>
          <w:p w14:paraId="6B17B45C"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1448,0</w:t>
            </w:r>
          </w:p>
        </w:tc>
        <w:tc>
          <w:tcPr>
            <w:tcW w:w="1417" w:type="dxa"/>
            <w:tcBorders>
              <w:top w:val="nil"/>
              <w:left w:val="nil"/>
              <w:bottom w:val="single" w:sz="4" w:space="0" w:color="auto"/>
              <w:right w:val="single" w:sz="4" w:space="0" w:color="auto"/>
            </w:tcBorders>
            <w:noWrap/>
            <w:vAlign w:val="center"/>
            <w:hideMark/>
          </w:tcPr>
          <w:p w14:paraId="076F0BE9"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1297,0</w:t>
            </w:r>
          </w:p>
        </w:tc>
        <w:tc>
          <w:tcPr>
            <w:tcW w:w="1417" w:type="dxa"/>
            <w:tcBorders>
              <w:top w:val="nil"/>
              <w:left w:val="nil"/>
              <w:bottom w:val="single" w:sz="4" w:space="0" w:color="auto"/>
              <w:right w:val="single" w:sz="4" w:space="0" w:color="auto"/>
            </w:tcBorders>
            <w:noWrap/>
            <w:vAlign w:val="center"/>
            <w:hideMark/>
          </w:tcPr>
          <w:p w14:paraId="4A289F11"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1030,9</w:t>
            </w:r>
          </w:p>
        </w:tc>
      </w:tr>
      <w:tr w:rsidR="00522861" w:rsidRPr="006414E6" w14:paraId="3EAA144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3FF8E60"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Tekuća fosilna goriva</w:t>
            </w:r>
          </w:p>
        </w:tc>
        <w:tc>
          <w:tcPr>
            <w:tcW w:w="1417" w:type="dxa"/>
            <w:tcBorders>
              <w:top w:val="nil"/>
              <w:left w:val="nil"/>
              <w:bottom w:val="single" w:sz="4" w:space="0" w:color="auto"/>
              <w:right w:val="single" w:sz="4" w:space="0" w:color="auto"/>
            </w:tcBorders>
            <w:noWrap/>
            <w:vAlign w:val="center"/>
            <w:hideMark/>
          </w:tcPr>
          <w:p w14:paraId="4E05AA7A"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2493,0</w:t>
            </w:r>
          </w:p>
        </w:tc>
        <w:tc>
          <w:tcPr>
            <w:tcW w:w="1417" w:type="dxa"/>
            <w:tcBorders>
              <w:top w:val="nil"/>
              <w:left w:val="nil"/>
              <w:bottom w:val="single" w:sz="4" w:space="0" w:color="auto"/>
              <w:right w:val="single" w:sz="4" w:space="0" w:color="auto"/>
            </w:tcBorders>
            <w:noWrap/>
            <w:vAlign w:val="center"/>
            <w:hideMark/>
          </w:tcPr>
          <w:p w14:paraId="4A69ED9A"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2082,4</w:t>
            </w:r>
          </w:p>
        </w:tc>
        <w:tc>
          <w:tcPr>
            <w:tcW w:w="1417" w:type="dxa"/>
            <w:tcBorders>
              <w:top w:val="nil"/>
              <w:left w:val="nil"/>
              <w:bottom w:val="single" w:sz="4" w:space="0" w:color="auto"/>
              <w:right w:val="single" w:sz="4" w:space="0" w:color="auto"/>
            </w:tcBorders>
            <w:noWrap/>
            <w:vAlign w:val="center"/>
            <w:hideMark/>
          </w:tcPr>
          <w:p w14:paraId="5CCCFA45"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1266,8</w:t>
            </w:r>
          </w:p>
        </w:tc>
      </w:tr>
      <w:tr w:rsidR="00522861" w:rsidRPr="006414E6" w14:paraId="393FA81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DD931F4"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Prirodni plin</w:t>
            </w:r>
          </w:p>
        </w:tc>
        <w:tc>
          <w:tcPr>
            <w:tcW w:w="1417" w:type="dxa"/>
            <w:tcBorders>
              <w:top w:val="nil"/>
              <w:left w:val="nil"/>
              <w:bottom w:val="single" w:sz="4" w:space="0" w:color="auto"/>
              <w:right w:val="single" w:sz="4" w:space="0" w:color="auto"/>
            </w:tcBorders>
            <w:noWrap/>
            <w:vAlign w:val="center"/>
            <w:hideMark/>
          </w:tcPr>
          <w:p w14:paraId="305E13AA"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1097,4</w:t>
            </w:r>
          </w:p>
        </w:tc>
        <w:tc>
          <w:tcPr>
            <w:tcW w:w="1417" w:type="dxa"/>
            <w:tcBorders>
              <w:top w:val="nil"/>
              <w:left w:val="nil"/>
              <w:bottom w:val="single" w:sz="4" w:space="0" w:color="auto"/>
              <w:right w:val="single" w:sz="4" w:space="0" w:color="auto"/>
            </w:tcBorders>
            <w:noWrap/>
            <w:vAlign w:val="center"/>
            <w:hideMark/>
          </w:tcPr>
          <w:p w14:paraId="2425392D"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1020,1</w:t>
            </w:r>
          </w:p>
        </w:tc>
        <w:tc>
          <w:tcPr>
            <w:tcW w:w="1417" w:type="dxa"/>
            <w:tcBorders>
              <w:top w:val="nil"/>
              <w:left w:val="nil"/>
              <w:bottom w:val="single" w:sz="4" w:space="0" w:color="auto"/>
              <w:right w:val="single" w:sz="4" w:space="0" w:color="auto"/>
            </w:tcBorders>
            <w:noWrap/>
            <w:vAlign w:val="center"/>
            <w:hideMark/>
          </w:tcPr>
          <w:p w14:paraId="430F33B6"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917,5</w:t>
            </w:r>
          </w:p>
        </w:tc>
      </w:tr>
      <w:tr w:rsidR="00522861" w:rsidRPr="006414E6" w14:paraId="09695D92"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A1FF4BC"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Električna energija</w:t>
            </w:r>
          </w:p>
        </w:tc>
        <w:tc>
          <w:tcPr>
            <w:tcW w:w="1417" w:type="dxa"/>
            <w:tcBorders>
              <w:top w:val="nil"/>
              <w:left w:val="nil"/>
              <w:bottom w:val="single" w:sz="4" w:space="0" w:color="auto"/>
              <w:right w:val="single" w:sz="4" w:space="0" w:color="auto"/>
            </w:tcBorders>
            <w:noWrap/>
            <w:vAlign w:val="center"/>
            <w:hideMark/>
          </w:tcPr>
          <w:p w14:paraId="16FCB89A"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1515,6</w:t>
            </w:r>
          </w:p>
        </w:tc>
        <w:tc>
          <w:tcPr>
            <w:tcW w:w="1417" w:type="dxa"/>
            <w:tcBorders>
              <w:top w:val="nil"/>
              <w:left w:val="nil"/>
              <w:bottom w:val="single" w:sz="4" w:space="0" w:color="auto"/>
              <w:right w:val="single" w:sz="4" w:space="0" w:color="auto"/>
            </w:tcBorders>
            <w:noWrap/>
            <w:vAlign w:val="center"/>
            <w:hideMark/>
          </w:tcPr>
          <w:p w14:paraId="7842996C"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1660,0</w:t>
            </w:r>
          </w:p>
        </w:tc>
        <w:tc>
          <w:tcPr>
            <w:tcW w:w="1417" w:type="dxa"/>
            <w:tcBorders>
              <w:top w:val="nil"/>
              <w:left w:val="nil"/>
              <w:bottom w:val="single" w:sz="4" w:space="0" w:color="auto"/>
              <w:right w:val="single" w:sz="4" w:space="0" w:color="auto"/>
            </w:tcBorders>
            <w:noWrap/>
            <w:vAlign w:val="center"/>
            <w:hideMark/>
          </w:tcPr>
          <w:p w14:paraId="2E04CE41"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1926,3</w:t>
            </w:r>
          </w:p>
        </w:tc>
      </w:tr>
      <w:tr w:rsidR="00522861" w:rsidRPr="006414E6" w14:paraId="6480113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A37683B"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Toplinska energija</w:t>
            </w:r>
          </w:p>
        </w:tc>
        <w:tc>
          <w:tcPr>
            <w:tcW w:w="1417" w:type="dxa"/>
            <w:tcBorders>
              <w:top w:val="nil"/>
              <w:left w:val="nil"/>
              <w:bottom w:val="single" w:sz="4" w:space="0" w:color="auto"/>
              <w:right w:val="single" w:sz="4" w:space="0" w:color="auto"/>
            </w:tcBorders>
            <w:noWrap/>
            <w:vAlign w:val="center"/>
            <w:hideMark/>
          </w:tcPr>
          <w:p w14:paraId="2AA67022"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232,7</w:t>
            </w:r>
          </w:p>
        </w:tc>
        <w:tc>
          <w:tcPr>
            <w:tcW w:w="1417" w:type="dxa"/>
            <w:tcBorders>
              <w:top w:val="nil"/>
              <w:left w:val="nil"/>
              <w:bottom w:val="single" w:sz="4" w:space="0" w:color="auto"/>
              <w:right w:val="single" w:sz="4" w:space="0" w:color="auto"/>
            </w:tcBorders>
            <w:noWrap/>
            <w:vAlign w:val="center"/>
            <w:hideMark/>
          </w:tcPr>
          <w:p w14:paraId="4E2893E1"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223,0</w:t>
            </w:r>
          </w:p>
        </w:tc>
        <w:tc>
          <w:tcPr>
            <w:tcW w:w="1417" w:type="dxa"/>
            <w:tcBorders>
              <w:top w:val="nil"/>
              <w:left w:val="nil"/>
              <w:bottom w:val="single" w:sz="4" w:space="0" w:color="auto"/>
              <w:right w:val="single" w:sz="4" w:space="0" w:color="auto"/>
            </w:tcBorders>
            <w:noWrap/>
            <w:vAlign w:val="center"/>
            <w:hideMark/>
          </w:tcPr>
          <w:p w14:paraId="05BDFC2E"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197,1</w:t>
            </w:r>
          </w:p>
        </w:tc>
      </w:tr>
      <w:tr w:rsidR="00522861" w:rsidRPr="006414E6" w14:paraId="3E20961D"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2021D7D5"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Vodik</w:t>
            </w:r>
          </w:p>
        </w:tc>
        <w:tc>
          <w:tcPr>
            <w:tcW w:w="1417" w:type="dxa"/>
            <w:tcBorders>
              <w:top w:val="nil"/>
              <w:left w:val="nil"/>
              <w:bottom w:val="double" w:sz="4" w:space="0" w:color="auto"/>
              <w:right w:val="single" w:sz="4" w:space="0" w:color="auto"/>
            </w:tcBorders>
            <w:noWrap/>
            <w:vAlign w:val="center"/>
            <w:hideMark/>
          </w:tcPr>
          <w:p w14:paraId="4D61C039"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0,004</w:t>
            </w:r>
          </w:p>
        </w:tc>
        <w:tc>
          <w:tcPr>
            <w:tcW w:w="1417" w:type="dxa"/>
            <w:tcBorders>
              <w:top w:val="nil"/>
              <w:left w:val="nil"/>
              <w:bottom w:val="double" w:sz="4" w:space="0" w:color="auto"/>
              <w:right w:val="single" w:sz="4" w:space="0" w:color="auto"/>
            </w:tcBorders>
            <w:noWrap/>
            <w:vAlign w:val="center"/>
            <w:hideMark/>
          </w:tcPr>
          <w:p w14:paraId="3A182D3D"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0,2</w:t>
            </w:r>
          </w:p>
        </w:tc>
        <w:tc>
          <w:tcPr>
            <w:tcW w:w="1417" w:type="dxa"/>
            <w:tcBorders>
              <w:top w:val="nil"/>
              <w:left w:val="nil"/>
              <w:bottom w:val="double" w:sz="4" w:space="0" w:color="auto"/>
              <w:right w:val="single" w:sz="4" w:space="0" w:color="auto"/>
            </w:tcBorders>
            <w:noWrap/>
            <w:vAlign w:val="center"/>
            <w:hideMark/>
          </w:tcPr>
          <w:p w14:paraId="4C8C5187"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15,9</w:t>
            </w:r>
          </w:p>
        </w:tc>
      </w:tr>
      <w:tr w:rsidR="00522861" w:rsidRPr="006414E6" w14:paraId="49BF3444"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32BA9DC"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3D200FCC"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6852,8</w:t>
            </w:r>
          </w:p>
        </w:tc>
        <w:tc>
          <w:tcPr>
            <w:tcW w:w="1417" w:type="dxa"/>
            <w:tcBorders>
              <w:top w:val="double" w:sz="4" w:space="0" w:color="auto"/>
              <w:left w:val="nil"/>
              <w:bottom w:val="single" w:sz="4" w:space="0" w:color="auto"/>
              <w:right w:val="single" w:sz="4" w:space="0" w:color="auto"/>
            </w:tcBorders>
            <w:noWrap/>
            <w:vAlign w:val="center"/>
            <w:hideMark/>
          </w:tcPr>
          <w:p w14:paraId="120AEBC4"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6333,3</w:t>
            </w:r>
          </w:p>
        </w:tc>
        <w:tc>
          <w:tcPr>
            <w:tcW w:w="1417" w:type="dxa"/>
            <w:tcBorders>
              <w:top w:val="double" w:sz="4" w:space="0" w:color="auto"/>
              <w:left w:val="nil"/>
              <w:bottom w:val="single" w:sz="4" w:space="0" w:color="auto"/>
              <w:right w:val="single" w:sz="4" w:space="0" w:color="auto"/>
            </w:tcBorders>
            <w:noWrap/>
            <w:vAlign w:val="center"/>
            <w:hideMark/>
          </w:tcPr>
          <w:p w14:paraId="480382D6"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5388,7</w:t>
            </w:r>
          </w:p>
        </w:tc>
      </w:tr>
    </w:tbl>
    <w:p w14:paraId="3CBC226F" w14:textId="77777777" w:rsidR="00522861" w:rsidRPr="00016B17" w:rsidRDefault="00522861" w:rsidP="00016B17">
      <w:pPr>
        <w:rPr>
          <w:rFonts w:cs="Times New Roman"/>
          <w:i/>
        </w:rPr>
      </w:pPr>
      <w:r w:rsidRPr="00016B17">
        <w:rPr>
          <w:rFonts w:cs="Times New Roman"/>
          <w:i/>
        </w:rPr>
        <w:t>Tablica II.1-2: Neposredna potrošnja energije po granama, NU1</w:t>
      </w:r>
    </w:p>
    <w:tbl>
      <w:tblPr>
        <w:tblW w:w="0" w:type="auto"/>
        <w:tblLayout w:type="fixed"/>
        <w:tblLook w:val="04A0" w:firstRow="1" w:lastRow="0" w:firstColumn="1" w:lastColumn="0" w:noHBand="0" w:noVBand="1"/>
      </w:tblPr>
      <w:tblGrid>
        <w:gridCol w:w="2835"/>
        <w:gridCol w:w="1417"/>
        <w:gridCol w:w="1417"/>
        <w:gridCol w:w="1417"/>
      </w:tblGrid>
      <w:tr w:rsidR="00522861" w:rsidRPr="006414E6" w14:paraId="02B7A290"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81C741" w14:textId="77777777" w:rsidR="00522861" w:rsidRPr="006414E6" w:rsidRDefault="00522861" w:rsidP="00016B17">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C5D4AA"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7C659C"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52E212"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488FE103"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9E40F81"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Industrija</w:t>
            </w:r>
          </w:p>
        </w:tc>
        <w:tc>
          <w:tcPr>
            <w:tcW w:w="1417" w:type="dxa"/>
            <w:tcBorders>
              <w:top w:val="nil"/>
              <w:left w:val="nil"/>
              <w:bottom w:val="single" w:sz="4" w:space="0" w:color="auto"/>
              <w:right w:val="single" w:sz="4" w:space="0" w:color="auto"/>
            </w:tcBorders>
            <w:noWrap/>
            <w:vAlign w:val="center"/>
            <w:hideMark/>
          </w:tcPr>
          <w:p w14:paraId="1D33B39D"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1183,9</w:t>
            </w:r>
          </w:p>
        </w:tc>
        <w:tc>
          <w:tcPr>
            <w:tcW w:w="1417" w:type="dxa"/>
            <w:tcBorders>
              <w:top w:val="nil"/>
              <w:left w:val="nil"/>
              <w:bottom w:val="single" w:sz="4" w:space="0" w:color="auto"/>
              <w:right w:val="single" w:sz="4" w:space="0" w:color="auto"/>
            </w:tcBorders>
            <w:noWrap/>
            <w:vAlign w:val="center"/>
            <w:hideMark/>
          </w:tcPr>
          <w:p w14:paraId="637E6028"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1144,3</w:t>
            </w:r>
          </w:p>
        </w:tc>
        <w:tc>
          <w:tcPr>
            <w:tcW w:w="1417" w:type="dxa"/>
            <w:tcBorders>
              <w:top w:val="nil"/>
              <w:left w:val="nil"/>
              <w:bottom w:val="single" w:sz="4" w:space="0" w:color="auto"/>
              <w:right w:val="single" w:sz="4" w:space="0" w:color="auto"/>
            </w:tcBorders>
            <w:noWrap/>
            <w:vAlign w:val="center"/>
            <w:hideMark/>
          </w:tcPr>
          <w:p w14:paraId="023BBB5F"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1065,5</w:t>
            </w:r>
          </w:p>
        </w:tc>
      </w:tr>
      <w:tr w:rsidR="00522861" w:rsidRPr="006414E6" w14:paraId="16982DB2"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2B7FE17"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Promet</w:t>
            </w:r>
          </w:p>
        </w:tc>
        <w:tc>
          <w:tcPr>
            <w:tcW w:w="1417" w:type="dxa"/>
            <w:tcBorders>
              <w:top w:val="nil"/>
              <w:left w:val="nil"/>
              <w:bottom w:val="single" w:sz="4" w:space="0" w:color="auto"/>
              <w:right w:val="single" w:sz="4" w:space="0" w:color="auto"/>
            </w:tcBorders>
            <w:noWrap/>
            <w:vAlign w:val="center"/>
            <w:hideMark/>
          </w:tcPr>
          <w:p w14:paraId="779BAC91"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2212,8</w:t>
            </w:r>
          </w:p>
        </w:tc>
        <w:tc>
          <w:tcPr>
            <w:tcW w:w="1417" w:type="dxa"/>
            <w:tcBorders>
              <w:top w:val="nil"/>
              <w:left w:val="nil"/>
              <w:bottom w:val="single" w:sz="4" w:space="0" w:color="auto"/>
              <w:right w:val="single" w:sz="4" w:space="0" w:color="auto"/>
            </w:tcBorders>
            <w:noWrap/>
            <w:vAlign w:val="center"/>
            <w:hideMark/>
          </w:tcPr>
          <w:p w14:paraId="2A382C51"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2054,7</w:t>
            </w:r>
          </w:p>
        </w:tc>
        <w:tc>
          <w:tcPr>
            <w:tcW w:w="1417" w:type="dxa"/>
            <w:tcBorders>
              <w:top w:val="nil"/>
              <w:left w:val="nil"/>
              <w:bottom w:val="single" w:sz="4" w:space="0" w:color="auto"/>
              <w:right w:val="single" w:sz="4" w:space="0" w:color="auto"/>
            </w:tcBorders>
            <w:noWrap/>
            <w:vAlign w:val="center"/>
            <w:hideMark/>
          </w:tcPr>
          <w:p w14:paraId="4808D9CB"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1634,7</w:t>
            </w:r>
          </w:p>
        </w:tc>
      </w:tr>
      <w:tr w:rsidR="00522861" w:rsidRPr="006414E6" w14:paraId="41863EE3"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71DBD2F"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Opća potrošnja</w:t>
            </w:r>
          </w:p>
        </w:tc>
        <w:tc>
          <w:tcPr>
            <w:tcW w:w="1417" w:type="dxa"/>
            <w:tcBorders>
              <w:top w:val="nil"/>
              <w:left w:val="nil"/>
              <w:bottom w:val="single" w:sz="4" w:space="0" w:color="auto"/>
              <w:right w:val="single" w:sz="4" w:space="0" w:color="auto"/>
            </w:tcBorders>
            <w:noWrap/>
            <w:vAlign w:val="center"/>
            <w:hideMark/>
          </w:tcPr>
          <w:p w14:paraId="7AEFA4C3"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cs="Times New Roman"/>
                <w:sz w:val="20"/>
              </w:rPr>
              <w:t>3456,1</w:t>
            </w:r>
          </w:p>
        </w:tc>
        <w:tc>
          <w:tcPr>
            <w:tcW w:w="1417" w:type="dxa"/>
            <w:tcBorders>
              <w:top w:val="nil"/>
              <w:left w:val="nil"/>
              <w:bottom w:val="single" w:sz="4" w:space="0" w:color="auto"/>
              <w:right w:val="single" w:sz="4" w:space="0" w:color="auto"/>
            </w:tcBorders>
            <w:noWrap/>
            <w:vAlign w:val="center"/>
            <w:hideMark/>
          </w:tcPr>
          <w:p w14:paraId="5690D43C"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cs="Times New Roman"/>
                <w:sz w:val="20"/>
              </w:rPr>
              <w:t>3134,3</w:t>
            </w:r>
          </w:p>
        </w:tc>
        <w:tc>
          <w:tcPr>
            <w:tcW w:w="1417" w:type="dxa"/>
            <w:tcBorders>
              <w:top w:val="nil"/>
              <w:left w:val="nil"/>
              <w:bottom w:val="single" w:sz="4" w:space="0" w:color="auto"/>
              <w:right w:val="single" w:sz="4" w:space="0" w:color="auto"/>
            </w:tcBorders>
            <w:noWrap/>
            <w:vAlign w:val="center"/>
            <w:hideMark/>
          </w:tcPr>
          <w:p w14:paraId="0D2AE455"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cs="Times New Roman"/>
                <w:sz w:val="20"/>
              </w:rPr>
              <w:t>2688,5</w:t>
            </w:r>
          </w:p>
        </w:tc>
      </w:tr>
      <w:tr w:rsidR="00522861" w:rsidRPr="006414E6" w14:paraId="0C8CFD16"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627522C" w14:textId="77777777" w:rsidR="00522861" w:rsidRPr="00016B17" w:rsidRDefault="00522861" w:rsidP="00016B17">
            <w:pPr>
              <w:jc w:val="left"/>
              <w:rPr>
                <w:rFonts w:eastAsia="Times New Roman" w:cs="Times New Roman"/>
                <w:i/>
                <w:iCs/>
                <w:color w:val="000000"/>
                <w:sz w:val="20"/>
                <w:lang w:eastAsia="hr-HR"/>
              </w:rPr>
            </w:pPr>
            <w:r w:rsidRPr="00016B17">
              <w:rPr>
                <w:rFonts w:eastAsia="Times New Roman" w:cs="Times New Roman"/>
                <w:i/>
                <w:color w:val="000000"/>
                <w:sz w:val="20"/>
                <w:lang w:eastAsia="hr-HR"/>
              </w:rPr>
              <w:t>Kućanstva</w:t>
            </w:r>
          </w:p>
        </w:tc>
        <w:tc>
          <w:tcPr>
            <w:tcW w:w="1417" w:type="dxa"/>
            <w:tcBorders>
              <w:top w:val="nil"/>
              <w:left w:val="nil"/>
              <w:bottom w:val="single" w:sz="4" w:space="0" w:color="auto"/>
              <w:right w:val="single" w:sz="4" w:space="0" w:color="auto"/>
            </w:tcBorders>
            <w:noWrap/>
            <w:vAlign w:val="center"/>
            <w:hideMark/>
          </w:tcPr>
          <w:p w14:paraId="3D88354E"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2314,9</w:t>
            </w:r>
          </w:p>
        </w:tc>
        <w:tc>
          <w:tcPr>
            <w:tcW w:w="1417" w:type="dxa"/>
            <w:tcBorders>
              <w:top w:val="nil"/>
              <w:left w:val="nil"/>
              <w:bottom w:val="single" w:sz="4" w:space="0" w:color="auto"/>
              <w:right w:val="single" w:sz="4" w:space="0" w:color="auto"/>
            </w:tcBorders>
            <w:noWrap/>
            <w:vAlign w:val="center"/>
            <w:hideMark/>
          </w:tcPr>
          <w:p w14:paraId="2D71CA94"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1995,6</w:t>
            </w:r>
          </w:p>
        </w:tc>
        <w:tc>
          <w:tcPr>
            <w:tcW w:w="1417" w:type="dxa"/>
            <w:tcBorders>
              <w:top w:val="nil"/>
              <w:left w:val="nil"/>
              <w:bottom w:val="single" w:sz="4" w:space="0" w:color="auto"/>
              <w:right w:val="single" w:sz="4" w:space="0" w:color="auto"/>
            </w:tcBorders>
            <w:noWrap/>
            <w:vAlign w:val="center"/>
            <w:hideMark/>
          </w:tcPr>
          <w:p w14:paraId="0175500F"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1632,6</w:t>
            </w:r>
          </w:p>
        </w:tc>
      </w:tr>
      <w:tr w:rsidR="00522861" w:rsidRPr="006414E6" w14:paraId="5F3D81C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7D5D9DC" w14:textId="77777777" w:rsidR="00522861" w:rsidRPr="006414E6" w:rsidRDefault="00522861" w:rsidP="00016B17">
            <w:pPr>
              <w:jc w:val="left"/>
              <w:rPr>
                <w:rFonts w:eastAsia="Times New Roman" w:cs="Times New Roman"/>
                <w:i/>
                <w:iCs/>
                <w:color w:val="000000"/>
                <w:sz w:val="20"/>
                <w:lang w:eastAsia="hr-HR"/>
              </w:rPr>
            </w:pPr>
            <w:r w:rsidRPr="00016B17">
              <w:rPr>
                <w:rFonts w:eastAsia="Times New Roman" w:cs="Times New Roman"/>
                <w:i/>
                <w:color w:val="000000"/>
                <w:sz w:val="20"/>
                <w:lang w:eastAsia="hr-HR"/>
              </w:rPr>
              <w:t>Uslužni</w:t>
            </w:r>
            <w:r w:rsidRPr="006414E6">
              <w:rPr>
                <w:rFonts w:eastAsia="Times New Roman" w:cs="Times New Roman"/>
                <w:i/>
                <w:iCs/>
                <w:color w:val="000000"/>
                <w:sz w:val="20"/>
                <w:lang w:eastAsia="hr-HR"/>
              </w:rPr>
              <w:t xml:space="preserve"> </w:t>
            </w:r>
            <w:r w:rsidRPr="00016B17">
              <w:rPr>
                <w:rFonts w:eastAsia="Times New Roman" w:cs="Times New Roman"/>
                <w:color w:val="000000"/>
                <w:sz w:val="20"/>
                <w:lang w:eastAsia="hr-HR"/>
              </w:rPr>
              <w:t>sektor</w:t>
            </w:r>
          </w:p>
        </w:tc>
        <w:tc>
          <w:tcPr>
            <w:tcW w:w="1417" w:type="dxa"/>
            <w:tcBorders>
              <w:top w:val="nil"/>
              <w:left w:val="nil"/>
              <w:bottom w:val="single" w:sz="4" w:space="0" w:color="auto"/>
              <w:right w:val="single" w:sz="4" w:space="0" w:color="auto"/>
            </w:tcBorders>
            <w:noWrap/>
            <w:vAlign w:val="center"/>
            <w:hideMark/>
          </w:tcPr>
          <w:p w14:paraId="021399FD"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935,7</w:t>
            </w:r>
          </w:p>
        </w:tc>
        <w:tc>
          <w:tcPr>
            <w:tcW w:w="1417" w:type="dxa"/>
            <w:tcBorders>
              <w:top w:val="nil"/>
              <w:left w:val="nil"/>
              <w:bottom w:val="single" w:sz="4" w:space="0" w:color="auto"/>
              <w:right w:val="single" w:sz="4" w:space="0" w:color="auto"/>
            </w:tcBorders>
            <w:noWrap/>
            <w:vAlign w:val="center"/>
            <w:hideMark/>
          </w:tcPr>
          <w:p w14:paraId="45073E90"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944,2</w:t>
            </w:r>
          </w:p>
        </w:tc>
        <w:tc>
          <w:tcPr>
            <w:tcW w:w="1417" w:type="dxa"/>
            <w:tcBorders>
              <w:top w:val="nil"/>
              <w:left w:val="nil"/>
              <w:bottom w:val="single" w:sz="4" w:space="0" w:color="auto"/>
              <w:right w:val="single" w:sz="4" w:space="0" w:color="auto"/>
            </w:tcBorders>
            <w:noWrap/>
            <w:vAlign w:val="center"/>
            <w:hideMark/>
          </w:tcPr>
          <w:p w14:paraId="41F7ECA0"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878,7</w:t>
            </w:r>
          </w:p>
        </w:tc>
      </w:tr>
      <w:tr w:rsidR="00522861" w:rsidRPr="006414E6" w14:paraId="5C763B5B"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55A980D8" w14:textId="77777777" w:rsidR="00522861" w:rsidRPr="00016B17" w:rsidRDefault="00522861" w:rsidP="00016B17">
            <w:pPr>
              <w:jc w:val="left"/>
              <w:rPr>
                <w:rFonts w:eastAsia="Times New Roman" w:cs="Times New Roman"/>
                <w:i/>
                <w:iCs/>
                <w:color w:val="000000"/>
                <w:sz w:val="20"/>
                <w:lang w:eastAsia="hr-HR"/>
              </w:rPr>
            </w:pPr>
            <w:r w:rsidRPr="00016B17">
              <w:rPr>
                <w:rFonts w:eastAsia="Times New Roman" w:cs="Times New Roman"/>
                <w:i/>
                <w:color w:val="000000"/>
                <w:sz w:val="20"/>
                <w:lang w:eastAsia="hr-HR"/>
              </w:rPr>
              <w:lastRenderedPageBreak/>
              <w:t>Poljoprivreda</w:t>
            </w:r>
          </w:p>
        </w:tc>
        <w:tc>
          <w:tcPr>
            <w:tcW w:w="1417" w:type="dxa"/>
            <w:tcBorders>
              <w:top w:val="nil"/>
              <w:left w:val="nil"/>
              <w:bottom w:val="double" w:sz="4" w:space="0" w:color="auto"/>
              <w:right w:val="single" w:sz="4" w:space="0" w:color="auto"/>
            </w:tcBorders>
            <w:noWrap/>
            <w:vAlign w:val="center"/>
            <w:hideMark/>
          </w:tcPr>
          <w:p w14:paraId="62C0C378"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205,5</w:t>
            </w:r>
          </w:p>
        </w:tc>
        <w:tc>
          <w:tcPr>
            <w:tcW w:w="1417" w:type="dxa"/>
            <w:tcBorders>
              <w:top w:val="nil"/>
              <w:left w:val="nil"/>
              <w:bottom w:val="double" w:sz="4" w:space="0" w:color="auto"/>
              <w:right w:val="single" w:sz="4" w:space="0" w:color="auto"/>
            </w:tcBorders>
            <w:noWrap/>
            <w:vAlign w:val="center"/>
            <w:hideMark/>
          </w:tcPr>
          <w:p w14:paraId="1817CD1B"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194,5</w:t>
            </w:r>
          </w:p>
        </w:tc>
        <w:tc>
          <w:tcPr>
            <w:tcW w:w="1417" w:type="dxa"/>
            <w:tcBorders>
              <w:top w:val="nil"/>
              <w:left w:val="nil"/>
              <w:bottom w:val="double" w:sz="4" w:space="0" w:color="auto"/>
              <w:right w:val="single" w:sz="4" w:space="0" w:color="auto"/>
            </w:tcBorders>
            <w:noWrap/>
            <w:vAlign w:val="center"/>
            <w:hideMark/>
          </w:tcPr>
          <w:p w14:paraId="6424379C"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177,2</w:t>
            </w:r>
          </w:p>
        </w:tc>
      </w:tr>
      <w:tr w:rsidR="00522861" w:rsidRPr="006414E6" w14:paraId="774A15FB"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ECFEA2D"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49578B33"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6852,8</w:t>
            </w:r>
          </w:p>
        </w:tc>
        <w:tc>
          <w:tcPr>
            <w:tcW w:w="1417" w:type="dxa"/>
            <w:tcBorders>
              <w:top w:val="double" w:sz="4" w:space="0" w:color="auto"/>
              <w:left w:val="nil"/>
              <w:bottom w:val="single" w:sz="4" w:space="0" w:color="auto"/>
              <w:right w:val="single" w:sz="4" w:space="0" w:color="auto"/>
            </w:tcBorders>
            <w:noWrap/>
            <w:vAlign w:val="center"/>
            <w:hideMark/>
          </w:tcPr>
          <w:p w14:paraId="3E840EFA"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6333,3</w:t>
            </w:r>
          </w:p>
        </w:tc>
        <w:tc>
          <w:tcPr>
            <w:tcW w:w="1417" w:type="dxa"/>
            <w:tcBorders>
              <w:top w:val="double" w:sz="4" w:space="0" w:color="auto"/>
              <w:left w:val="nil"/>
              <w:bottom w:val="single" w:sz="4" w:space="0" w:color="auto"/>
              <w:right w:val="single" w:sz="4" w:space="0" w:color="auto"/>
            </w:tcBorders>
            <w:noWrap/>
            <w:vAlign w:val="center"/>
            <w:hideMark/>
          </w:tcPr>
          <w:p w14:paraId="6B3F526D" w14:textId="77777777" w:rsidR="00522861" w:rsidRPr="006414E6" w:rsidRDefault="00522861">
            <w:pPr>
              <w:keepNext/>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5388,7</w:t>
            </w:r>
          </w:p>
        </w:tc>
      </w:tr>
    </w:tbl>
    <w:p w14:paraId="056CAE3C" w14:textId="77777777" w:rsidR="00522861" w:rsidRPr="006414E6" w:rsidRDefault="00522861" w:rsidP="00522861">
      <w:pPr>
        <w:rPr>
          <w:rFonts w:cs="Times New Roman"/>
        </w:rPr>
      </w:pPr>
      <w:r w:rsidRPr="006414E6">
        <w:rPr>
          <w:rFonts w:cs="Times New Roman"/>
          <w:u w:val="single"/>
        </w:rPr>
        <w:t>Ukupna potrošnja energije</w:t>
      </w:r>
    </w:p>
    <w:p w14:paraId="78BED47B" w14:textId="77777777" w:rsidR="00522861" w:rsidRPr="006414E6" w:rsidRDefault="00522861" w:rsidP="00522861">
      <w:pPr>
        <w:rPr>
          <w:rFonts w:cs="Times New Roman"/>
        </w:rPr>
      </w:pPr>
      <w:r w:rsidRPr="006414E6">
        <w:rPr>
          <w:rFonts w:cs="Times New Roman"/>
        </w:rPr>
        <w:t>U NU1 scenariju  ukupne potrebe za energijom smanjuju se tijekom cijelog razdoblja. Ukupna potrošnja u 2030. godini je za 1% manja u odnosu na današnju razinu, a u 2050. godini je manja za 17%.</w:t>
      </w:r>
    </w:p>
    <w:p w14:paraId="7BB686AD" w14:textId="77777777" w:rsidR="00522861" w:rsidRPr="006414E6" w:rsidRDefault="00522861" w:rsidP="00522861">
      <w:pPr>
        <w:rPr>
          <w:rFonts w:cs="Times New Roman"/>
        </w:rPr>
      </w:pPr>
      <w:r w:rsidRPr="006414E6">
        <w:rPr>
          <w:rFonts w:cs="Times New Roman"/>
        </w:rPr>
        <w:t>U strukturi oblika energije udio prirodnog plina, krutih i tekućih goriva te električne energije opada. Najveća promjena se očekuje na strani OIE čiji udio raste na 32,0% u 2030. godini te na 46,3% u 2050. godini.</w:t>
      </w:r>
    </w:p>
    <w:p w14:paraId="19FA91CA" w14:textId="77777777" w:rsidR="00522861" w:rsidRPr="006414E6" w:rsidRDefault="00522861" w:rsidP="00522861">
      <w:pPr>
        <w:rPr>
          <w:rFonts w:cs="Times New Roman"/>
        </w:rPr>
      </w:pPr>
      <w:r w:rsidRPr="006414E6">
        <w:rPr>
          <w:rFonts w:cs="Times New Roman"/>
        </w:rPr>
        <w:t>U tablici II.1-3 prikazane su projekcije ukupne potrošnje energije u NU1 scenariju.</w:t>
      </w:r>
    </w:p>
    <w:p w14:paraId="6DB8CB34" w14:textId="77777777" w:rsidR="00522861" w:rsidRPr="006414E6" w:rsidRDefault="00522861" w:rsidP="00016B17">
      <w:pPr>
        <w:rPr>
          <w:rFonts w:cs="Times New Roman"/>
          <w:i/>
        </w:rPr>
      </w:pPr>
      <w:r w:rsidRPr="006414E6">
        <w:rPr>
          <w:rFonts w:cs="Times New Roman"/>
          <w:i/>
        </w:rPr>
        <w:t>Tablica II.1-3: Ukupna potrošnja energije po gorivima, NU1</w:t>
      </w:r>
    </w:p>
    <w:tbl>
      <w:tblPr>
        <w:tblW w:w="7086" w:type="dxa"/>
        <w:tblLook w:val="04A0" w:firstRow="1" w:lastRow="0" w:firstColumn="1" w:lastColumn="0" w:noHBand="0" w:noVBand="1"/>
      </w:tblPr>
      <w:tblGrid>
        <w:gridCol w:w="2835"/>
        <w:gridCol w:w="1417"/>
        <w:gridCol w:w="1417"/>
        <w:gridCol w:w="1417"/>
      </w:tblGrid>
      <w:tr w:rsidR="00522861" w:rsidRPr="006414E6" w14:paraId="02764D30"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586B98" w14:textId="77777777" w:rsidR="00522861" w:rsidRPr="006414E6" w:rsidRDefault="00522861">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24A108"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425837"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3F2B8B"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19C52C3F"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F7BEE2D"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Ugljen i koks</w:t>
            </w:r>
          </w:p>
        </w:tc>
        <w:tc>
          <w:tcPr>
            <w:tcW w:w="1417" w:type="dxa"/>
            <w:tcBorders>
              <w:top w:val="nil"/>
              <w:left w:val="nil"/>
              <w:bottom w:val="single" w:sz="4" w:space="0" w:color="auto"/>
              <w:right w:val="single" w:sz="4" w:space="0" w:color="auto"/>
            </w:tcBorders>
            <w:noWrap/>
            <w:vAlign w:val="center"/>
            <w:hideMark/>
          </w:tcPr>
          <w:p w14:paraId="206CEF9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214,5</w:t>
            </w:r>
          </w:p>
        </w:tc>
        <w:tc>
          <w:tcPr>
            <w:tcW w:w="1417" w:type="dxa"/>
            <w:tcBorders>
              <w:top w:val="nil"/>
              <w:left w:val="nil"/>
              <w:bottom w:val="single" w:sz="4" w:space="0" w:color="auto"/>
              <w:right w:val="single" w:sz="4" w:space="0" w:color="auto"/>
            </w:tcBorders>
            <w:noWrap/>
            <w:vAlign w:val="center"/>
            <w:hideMark/>
          </w:tcPr>
          <w:p w14:paraId="0E3164E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42,2</w:t>
            </w:r>
          </w:p>
        </w:tc>
        <w:tc>
          <w:tcPr>
            <w:tcW w:w="1417" w:type="dxa"/>
            <w:tcBorders>
              <w:top w:val="nil"/>
              <w:left w:val="nil"/>
              <w:bottom w:val="single" w:sz="4" w:space="0" w:color="auto"/>
              <w:right w:val="single" w:sz="4" w:space="0" w:color="auto"/>
            </w:tcBorders>
            <w:noWrap/>
            <w:vAlign w:val="center"/>
            <w:hideMark/>
          </w:tcPr>
          <w:p w14:paraId="17F7D57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27,7</w:t>
            </w:r>
          </w:p>
        </w:tc>
      </w:tr>
      <w:tr w:rsidR="00522861" w:rsidRPr="006414E6" w14:paraId="4507527E"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C3F2396"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Tekuća fosilna goriva</w:t>
            </w:r>
          </w:p>
        </w:tc>
        <w:tc>
          <w:tcPr>
            <w:tcW w:w="1417" w:type="dxa"/>
            <w:tcBorders>
              <w:top w:val="nil"/>
              <w:left w:val="nil"/>
              <w:bottom w:val="single" w:sz="4" w:space="0" w:color="auto"/>
              <w:right w:val="single" w:sz="4" w:space="0" w:color="auto"/>
            </w:tcBorders>
            <w:noWrap/>
            <w:vAlign w:val="center"/>
            <w:hideMark/>
          </w:tcPr>
          <w:p w14:paraId="5D44FBE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3092,2</w:t>
            </w:r>
          </w:p>
        </w:tc>
        <w:tc>
          <w:tcPr>
            <w:tcW w:w="1417" w:type="dxa"/>
            <w:tcBorders>
              <w:top w:val="nil"/>
              <w:left w:val="nil"/>
              <w:bottom w:val="single" w:sz="4" w:space="0" w:color="auto"/>
              <w:right w:val="single" w:sz="4" w:space="0" w:color="auto"/>
            </w:tcBorders>
            <w:noWrap/>
            <w:vAlign w:val="center"/>
            <w:hideMark/>
          </w:tcPr>
          <w:p w14:paraId="3A80683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2609,1</w:t>
            </w:r>
          </w:p>
        </w:tc>
        <w:tc>
          <w:tcPr>
            <w:tcW w:w="1417" w:type="dxa"/>
            <w:tcBorders>
              <w:top w:val="nil"/>
              <w:left w:val="nil"/>
              <w:bottom w:val="single" w:sz="4" w:space="0" w:color="auto"/>
              <w:right w:val="single" w:sz="4" w:space="0" w:color="auto"/>
            </w:tcBorders>
            <w:noWrap/>
            <w:vAlign w:val="center"/>
            <w:hideMark/>
          </w:tcPr>
          <w:p w14:paraId="6B29FE2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1788,0</w:t>
            </w:r>
          </w:p>
        </w:tc>
      </w:tr>
      <w:tr w:rsidR="00522861" w:rsidRPr="006414E6" w14:paraId="06174124"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4F4743B"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Prirodni plin</w:t>
            </w:r>
          </w:p>
        </w:tc>
        <w:tc>
          <w:tcPr>
            <w:tcW w:w="1417" w:type="dxa"/>
            <w:tcBorders>
              <w:top w:val="nil"/>
              <w:left w:val="nil"/>
              <w:bottom w:val="single" w:sz="4" w:space="0" w:color="auto"/>
              <w:right w:val="single" w:sz="4" w:space="0" w:color="auto"/>
            </w:tcBorders>
            <w:noWrap/>
            <w:vAlign w:val="center"/>
            <w:hideMark/>
          </w:tcPr>
          <w:p w14:paraId="711BC7B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2313,3</w:t>
            </w:r>
          </w:p>
        </w:tc>
        <w:tc>
          <w:tcPr>
            <w:tcW w:w="1417" w:type="dxa"/>
            <w:tcBorders>
              <w:top w:val="nil"/>
              <w:left w:val="nil"/>
              <w:bottom w:val="single" w:sz="4" w:space="0" w:color="auto"/>
              <w:right w:val="single" w:sz="4" w:space="0" w:color="auto"/>
            </w:tcBorders>
            <w:noWrap/>
            <w:vAlign w:val="center"/>
            <w:hideMark/>
          </w:tcPr>
          <w:p w14:paraId="51C9678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2229,2</w:t>
            </w:r>
          </w:p>
        </w:tc>
        <w:tc>
          <w:tcPr>
            <w:tcW w:w="1417" w:type="dxa"/>
            <w:tcBorders>
              <w:top w:val="nil"/>
              <w:left w:val="nil"/>
              <w:bottom w:val="single" w:sz="4" w:space="0" w:color="auto"/>
              <w:right w:val="single" w:sz="4" w:space="0" w:color="auto"/>
            </w:tcBorders>
            <w:noWrap/>
            <w:vAlign w:val="center"/>
            <w:hideMark/>
          </w:tcPr>
          <w:p w14:paraId="3694D0B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2124,0</w:t>
            </w:r>
          </w:p>
        </w:tc>
      </w:tr>
      <w:tr w:rsidR="00522861" w:rsidRPr="006414E6" w14:paraId="6D3B3C31"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52ABAF3"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Obnovljivi izvori</w:t>
            </w:r>
          </w:p>
        </w:tc>
        <w:tc>
          <w:tcPr>
            <w:tcW w:w="1417" w:type="dxa"/>
            <w:tcBorders>
              <w:top w:val="nil"/>
              <w:left w:val="nil"/>
              <w:bottom w:val="single" w:sz="4" w:space="0" w:color="auto"/>
              <w:right w:val="single" w:sz="4" w:space="0" w:color="auto"/>
            </w:tcBorders>
            <w:noWrap/>
            <w:vAlign w:val="center"/>
            <w:hideMark/>
          </w:tcPr>
          <w:p w14:paraId="1352D0F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2817,6</w:t>
            </w:r>
          </w:p>
        </w:tc>
        <w:tc>
          <w:tcPr>
            <w:tcW w:w="1417" w:type="dxa"/>
            <w:tcBorders>
              <w:top w:val="nil"/>
              <w:left w:val="nil"/>
              <w:bottom w:val="single" w:sz="4" w:space="0" w:color="auto"/>
              <w:right w:val="single" w:sz="4" w:space="0" w:color="auto"/>
            </w:tcBorders>
            <w:noWrap/>
            <w:vAlign w:val="center"/>
            <w:hideMark/>
          </w:tcPr>
          <w:p w14:paraId="6B26B77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3272,2</w:t>
            </w:r>
          </w:p>
        </w:tc>
        <w:tc>
          <w:tcPr>
            <w:tcW w:w="1417" w:type="dxa"/>
            <w:tcBorders>
              <w:top w:val="nil"/>
              <w:left w:val="nil"/>
              <w:bottom w:val="single" w:sz="4" w:space="0" w:color="auto"/>
              <w:right w:val="single" w:sz="4" w:space="0" w:color="auto"/>
            </w:tcBorders>
            <w:noWrap/>
            <w:vAlign w:val="center"/>
            <w:hideMark/>
          </w:tcPr>
          <w:p w14:paraId="475A45F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3426,0</w:t>
            </w:r>
          </w:p>
        </w:tc>
      </w:tr>
      <w:tr w:rsidR="00522861" w:rsidRPr="006414E6" w14:paraId="01C96DA7"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8122BB"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Neobnovljivi otpad</w:t>
            </w:r>
          </w:p>
        </w:tc>
        <w:tc>
          <w:tcPr>
            <w:tcW w:w="1417" w:type="dxa"/>
            <w:tcBorders>
              <w:top w:val="nil"/>
              <w:left w:val="nil"/>
              <w:bottom w:val="single" w:sz="4" w:space="0" w:color="auto"/>
              <w:right w:val="single" w:sz="4" w:space="0" w:color="auto"/>
            </w:tcBorders>
            <w:noWrap/>
            <w:vAlign w:val="center"/>
            <w:hideMark/>
          </w:tcPr>
          <w:p w14:paraId="391E2E6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10,6</w:t>
            </w:r>
          </w:p>
        </w:tc>
        <w:tc>
          <w:tcPr>
            <w:tcW w:w="1417" w:type="dxa"/>
            <w:tcBorders>
              <w:top w:val="nil"/>
              <w:left w:val="nil"/>
              <w:bottom w:val="single" w:sz="4" w:space="0" w:color="auto"/>
              <w:right w:val="single" w:sz="4" w:space="0" w:color="auto"/>
            </w:tcBorders>
            <w:noWrap/>
            <w:vAlign w:val="center"/>
            <w:hideMark/>
          </w:tcPr>
          <w:p w14:paraId="55E6464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10,0</w:t>
            </w:r>
          </w:p>
        </w:tc>
        <w:tc>
          <w:tcPr>
            <w:tcW w:w="1417" w:type="dxa"/>
            <w:tcBorders>
              <w:top w:val="nil"/>
              <w:left w:val="nil"/>
              <w:bottom w:val="single" w:sz="4" w:space="0" w:color="auto"/>
              <w:right w:val="single" w:sz="4" w:space="0" w:color="auto"/>
            </w:tcBorders>
            <w:noWrap/>
            <w:vAlign w:val="center"/>
            <w:hideMark/>
          </w:tcPr>
          <w:p w14:paraId="7E2237F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8,1</w:t>
            </w:r>
          </w:p>
        </w:tc>
      </w:tr>
      <w:tr w:rsidR="00522861" w:rsidRPr="006414E6" w14:paraId="31EAB51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7804343"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Električna energija</w:t>
            </w:r>
          </w:p>
        </w:tc>
        <w:tc>
          <w:tcPr>
            <w:tcW w:w="1417" w:type="dxa"/>
            <w:tcBorders>
              <w:top w:val="nil"/>
              <w:left w:val="nil"/>
              <w:bottom w:val="single" w:sz="4" w:space="0" w:color="auto"/>
              <w:right w:val="single" w:sz="4" w:space="0" w:color="auto"/>
            </w:tcBorders>
            <w:noWrap/>
            <w:vAlign w:val="center"/>
            <w:hideMark/>
          </w:tcPr>
          <w:p w14:paraId="7EA11F8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335,4</w:t>
            </w:r>
          </w:p>
        </w:tc>
        <w:tc>
          <w:tcPr>
            <w:tcW w:w="1417" w:type="dxa"/>
            <w:tcBorders>
              <w:top w:val="nil"/>
              <w:left w:val="nil"/>
              <w:bottom w:val="single" w:sz="4" w:space="0" w:color="auto"/>
              <w:right w:val="single" w:sz="4" w:space="0" w:color="auto"/>
            </w:tcBorders>
            <w:noWrap/>
            <w:vAlign w:val="center"/>
            <w:hideMark/>
          </w:tcPr>
          <w:p w14:paraId="06438C1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160,2</w:t>
            </w:r>
          </w:p>
        </w:tc>
        <w:tc>
          <w:tcPr>
            <w:tcW w:w="1417" w:type="dxa"/>
            <w:tcBorders>
              <w:top w:val="nil"/>
              <w:left w:val="nil"/>
              <w:bottom w:val="single" w:sz="4" w:space="0" w:color="auto"/>
              <w:right w:val="single" w:sz="4" w:space="0" w:color="auto"/>
            </w:tcBorders>
            <w:noWrap/>
            <w:vAlign w:val="center"/>
            <w:hideMark/>
          </w:tcPr>
          <w:p w14:paraId="6862D0A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2,1</w:t>
            </w:r>
          </w:p>
        </w:tc>
      </w:tr>
      <w:tr w:rsidR="00522861" w:rsidRPr="006414E6" w14:paraId="2645D038"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1432E058"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Vodik</w:t>
            </w:r>
          </w:p>
        </w:tc>
        <w:tc>
          <w:tcPr>
            <w:tcW w:w="1417" w:type="dxa"/>
            <w:tcBorders>
              <w:top w:val="nil"/>
              <w:left w:val="nil"/>
              <w:bottom w:val="double" w:sz="4" w:space="0" w:color="auto"/>
              <w:right w:val="single" w:sz="4" w:space="0" w:color="auto"/>
            </w:tcBorders>
            <w:noWrap/>
            <w:vAlign w:val="center"/>
            <w:hideMark/>
          </w:tcPr>
          <w:p w14:paraId="7ED55C6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0,0</w:t>
            </w:r>
          </w:p>
        </w:tc>
        <w:tc>
          <w:tcPr>
            <w:tcW w:w="1417" w:type="dxa"/>
            <w:tcBorders>
              <w:top w:val="nil"/>
              <w:left w:val="nil"/>
              <w:bottom w:val="double" w:sz="4" w:space="0" w:color="auto"/>
              <w:right w:val="single" w:sz="4" w:space="0" w:color="auto"/>
            </w:tcBorders>
            <w:noWrap/>
            <w:vAlign w:val="center"/>
            <w:hideMark/>
          </w:tcPr>
          <w:p w14:paraId="5A46730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0,2</w:t>
            </w:r>
          </w:p>
        </w:tc>
        <w:tc>
          <w:tcPr>
            <w:tcW w:w="1417" w:type="dxa"/>
            <w:tcBorders>
              <w:top w:val="nil"/>
              <w:left w:val="nil"/>
              <w:bottom w:val="double" w:sz="4" w:space="0" w:color="auto"/>
              <w:right w:val="single" w:sz="4" w:space="0" w:color="auto"/>
            </w:tcBorders>
            <w:noWrap/>
            <w:vAlign w:val="center"/>
            <w:hideMark/>
          </w:tcPr>
          <w:p w14:paraId="5BB7690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15,9</w:t>
            </w:r>
          </w:p>
        </w:tc>
      </w:tr>
      <w:tr w:rsidR="00522861" w:rsidRPr="006414E6" w14:paraId="0FA009F4"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F51CC88"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6020759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8783,7</w:t>
            </w:r>
          </w:p>
        </w:tc>
        <w:tc>
          <w:tcPr>
            <w:tcW w:w="1417" w:type="dxa"/>
            <w:tcBorders>
              <w:top w:val="double" w:sz="4" w:space="0" w:color="auto"/>
              <w:left w:val="nil"/>
              <w:bottom w:val="single" w:sz="4" w:space="0" w:color="auto"/>
              <w:right w:val="single" w:sz="4" w:space="0" w:color="auto"/>
            </w:tcBorders>
            <w:noWrap/>
            <w:vAlign w:val="center"/>
            <w:hideMark/>
          </w:tcPr>
          <w:p w14:paraId="584C092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8323,2</w:t>
            </w:r>
          </w:p>
        </w:tc>
        <w:tc>
          <w:tcPr>
            <w:tcW w:w="1417" w:type="dxa"/>
            <w:tcBorders>
              <w:top w:val="double" w:sz="4" w:space="0" w:color="auto"/>
              <w:left w:val="nil"/>
              <w:bottom w:val="single" w:sz="4" w:space="0" w:color="auto"/>
              <w:right w:val="single" w:sz="4" w:space="0" w:color="auto"/>
            </w:tcBorders>
            <w:noWrap/>
            <w:vAlign w:val="center"/>
            <w:hideMark/>
          </w:tcPr>
          <w:p w14:paraId="7809160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7391,7</w:t>
            </w:r>
          </w:p>
        </w:tc>
      </w:tr>
    </w:tbl>
    <w:p w14:paraId="70FBB74E" w14:textId="77777777" w:rsidR="00522861" w:rsidRPr="006414E6" w:rsidRDefault="00522861" w:rsidP="00522861">
      <w:pPr>
        <w:rPr>
          <w:rFonts w:cs="Times New Roman"/>
          <w:u w:val="single"/>
        </w:rPr>
      </w:pPr>
      <w:r w:rsidRPr="006414E6">
        <w:rPr>
          <w:rFonts w:cs="Times New Roman"/>
          <w:u w:val="single"/>
        </w:rPr>
        <w:t>Obnovljivi izvori energije</w:t>
      </w:r>
    </w:p>
    <w:p w14:paraId="311CA8B6" w14:textId="77777777" w:rsidR="00522861" w:rsidRPr="006414E6" w:rsidRDefault="00522861" w:rsidP="00522861">
      <w:pPr>
        <w:rPr>
          <w:rFonts w:cs="Times New Roman"/>
        </w:rPr>
      </w:pPr>
      <w:r w:rsidRPr="006414E6">
        <w:rPr>
          <w:rFonts w:cs="Times New Roman"/>
        </w:rPr>
        <w:t>U NU1 scenariju očekuje se snažan porast korištenja energije iz obnovljivih izvora i diversifikacija korištenih izvora energije. Do 2030. korištenje OIE se povećava za 49%, a do 2050. godine za 81%.</w:t>
      </w:r>
    </w:p>
    <w:p w14:paraId="79127FC6" w14:textId="77777777" w:rsidR="00522861" w:rsidRPr="006414E6" w:rsidRDefault="00522861" w:rsidP="00522861">
      <w:pPr>
        <w:rPr>
          <w:rFonts w:cs="Times New Roman"/>
        </w:rPr>
      </w:pPr>
      <w:r w:rsidRPr="006414E6">
        <w:rPr>
          <w:rFonts w:cs="Times New Roman"/>
        </w:rPr>
        <w:t>U tablici II.1-4 prikazane su projekcije potrošnje obnovljivih izvora energije u NU1 scenariju.</w:t>
      </w:r>
    </w:p>
    <w:p w14:paraId="4532963E" w14:textId="77777777" w:rsidR="00522861" w:rsidRPr="006414E6" w:rsidRDefault="00522861" w:rsidP="00016B17">
      <w:pPr>
        <w:rPr>
          <w:rFonts w:cs="Times New Roman"/>
          <w:i/>
        </w:rPr>
      </w:pPr>
      <w:r w:rsidRPr="006414E6">
        <w:rPr>
          <w:rFonts w:cs="Times New Roman"/>
          <w:i/>
        </w:rPr>
        <w:t xml:space="preserve">Tablica II.1-4: Projekcije potrošnje obnovljivih izvora energije u NU1 scenariju </w:t>
      </w:r>
    </w:p>
    <w:tbl>
      <w:tblPr>
        <w:tblW w:w="7086" w:type="dxa"/>
        <w:tblLook w:val="04A0" w:firstRow="1" w:lastRow="0" w:firstColumn="1" w:lastColumn="0" w:noHBand="0" w:noVBand="1"/>
      </w:tblPr>
      <w:tblGrid>
        <w:gridCol w:w="2835"/>
        <w:gridCol w:w="1417"/>
        <w:gridCol w:w="1417"/>
        <w:gridCol w:w="1417"/>
      </w:tblGrid>
      <w:tr w:rsidR="00522861" w:rsidRPr="006414E6" w14:paraId="676A8472"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BA9FE4" w14:textId="77777777" w:rsidR="00522861" w:rsidRPr="006414E6" w:rsidRDefault="00522861" w:rsidP="00016B17">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94BFB9"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F8C0A81"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7BB8BA"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6F10786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C67F130"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Geotermalna energija</w:t>
            </w:r>
          </w:p>
        </w:tc>
        <w:tc>
          <w:tcPr>
            <w:tcW w:w="1417" w:type="dxa"/>
            <w:tcBorders>
              <w:top w:val="nil"/>
              <w:left w:val="nil"/>
              <w:bottom w:val="single" w:sz="4" w:space="0" w:color="auto"/>
              <w:right w:val="single" w:sz="4" w:space="0" w:color="auto"/>
            </w:tcBorders>
            <w:noWrap/>
            <w:vAlign w:val="center"/>
            <w:hideMark/>
          </w:tcPr>
          <w:p w14:paraId="3A9CAE3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153,0</w:t>
            </w:r>
          </w:p>
        </w:tc>
        <w:tc>
          <w:tcPr>
            <w:tcW w:w="1417" w:type="dxa"/>
            <w:tcBorders>
              <w:top w:val="nil"/>
              <w:left w:val="nil"/>
              <w:bottom w:val="single" w:sz="4" w:space="0" w:color="auto"/>
              <w:right w:val="single" w:sz="4" w:space="0" w:color="auto"/>
            </w:tcBorders>
            <w:noWrap/>
            <w:vAlign w:val="center"/>
            <w:hideMark/>
          </w:tcPr>
          <w:p w14:paraId="27D4E79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374,4</w:t>
            </w:r>
          </w:p>
        </w:tc>
        <w:tc>
          <w:tcPr>
            <w:tcW w:w="1417" w:type="dxa"/>
            <w:tcBorders>
              <w:top w:val="nil"/>
              <w:left w:val="nil"/>
              <w:bottom w:val="single" w:sz="4" w:space="0" w:color="auto"/>
              <w:right w:val="single" w:sz="4" w:space="0" w:color="auto"/>
            </w:tcBorders>
            <w:noWrap/>
            <w:vAlign w:val="center"/>
            <w:hideMark/>
          </w:tcPr>
          <w:p w14:paraId="2DC4B99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442,6</w:t>
            </w:r>
          </w:p>
        </w:tc>
      </w:tr>
      <w:tr w:rsidR="00522861" w:rsidRPr="006414E6" w14:paraId="570473D7"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5E7B0C7"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Biogoriva</w:t>
            </w:r>
          </w:p>
        </w:tc>
        <w:tc>
          <w:tcPr>
            <w:tcW w:w="1417" w:type="dxa"/>
            <w:tcBorders>
              <w:top w:val="nil"/>
              <w:left w:val="nil"/>
              <w:bottom w:val="single" w:sz="4" w:space="0" w:color="auto"/>
              <w:right w:val="single" w:sz="4" w:space="0" w:color="auto"/>
            </w:tcBorders>
            <w:noWrap/>
            <w:vAlign w:val="center"/>
            <w:hideMark/>
          </w:tcPr>
          <w:p w14:paraId="0475A65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248,3</w:t>
            </w:r>
          </w:p>
        </w:tc>
        <w:tc>
          <w:tcPr>
            <w:tcW w:w="1417" w:type="dxa"/>
            <w:tcBorders>
              <w:top w:val="nil"/>
              <w:left w:val="nil"/>
              <w:bottom w:val="single" w:sz="4" w:space="0" w:color="auto"/>
              <w:right w:val="single" w:sz="4" w:space="0" w:color="auto"/>
            </w:tcBorders>
            <w:noWrap/>
            <w:vAlign w:val="center"/>
            <w:hideMark/>
          </w:tcPr>
          <w:p w14:paraId="307A847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277,3</w:t>
            </w:r>
          </w:p>
        </w:tc>
        <w:tc>
          <w:tcPr>
            <w:tcW w:w="1417" w:type="dxa"/>
            <w:tcBorders>
              <w:top w:val="nil"/>
              <w:left w:val="nil"/>
              <w:bottom w:val="single" w:sz="4" w:space="0" w:color="auto"/>
              <w:right w:val="single" w:sz="4" w:space="0" w:color="auto"/>
            </w:tcBorders>
            <w:noWrap/>
            <w:vAlign w:val="center"/>
            <w:hideMark/>
          </w:tcPr>
          <w:p w14:paraId="67377EB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193,7</w:t>
            </w:r>
          </w:p>
        </w:tc>
      </w:tr>
      <w:tr w:rsidR="00522861" w:rsidRPr="006414E6" w14:paraId="4EEABA50"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0DCDEA3"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Bioplin</w:t>
            </w:r>
          </w:p>
        </w:tc>
        <w:tc>
          <w:tcPr>
            <w:tcW w:w="1417" w:type="dxa"/>
            <w:tcBorders>
              <w:top w:val="nil"/>
              <w:left w:val="nil"/>
              <w:bottom w:val="single" w:sz="4" w:space="0" w:color="auto"/>
              <w:right w:val="single" w:sz="4" w:space="0" w:color="auto"/>
            </w:tcBorders>
            <w:noWrap/>
            <w:vAlign w:val="center"/>
            <w:hideMark/>
          </w:tcPr>
          <w:p w14:paraId="145603C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69,5</w:t>
            </w:r>
          </w:p>
        </w:tc>
        <w:tc>
          <w:tcPr>
            <w:tcW w:w="1417" w:type="dxa"/>
            <w:tcBorders>
              <w:top w:val="nil"/>
              <w:left w:val="nil"/>
              <w:bottom w:val="single" w:sz="4" w:space="0" w:color="auto"/>
              <w:right w:val="single" w:sz="4" w:space="0" w:color="auto"/>
            </w:tcBorders>
            <w:noWrap/>
            <w:vAlign w:val="center"/>
            <w:hideMark/>
          </w:tcPr>
          <w:p w14:paraId="42DAFC9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77,6</w:t>
            </w:r>
          </w:p>
        </w:tc>
        <w:tc>
          <w:tcPr>
            <w:tcW w:w="1417" w:type="dxa"/>
            <w:tcBorders>
              <w:top w:val="nil"/>
              <w:left w:val="nil"/>
              <w:bottom w:val="single" w:sz="4" w:space="0" w:color="auto"/>
              <w:right w:val="single" w:sz="4" w:space="0" w:color="auto"/>
            </w:tcBorders>
            <w:noWrap/>
            <w:vAlign w:val="center"/>
            <w:hideMark/>
          </w:tcPr>
          <w:p w14:paraId="661857B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34,5</w:t>
            </w:r>
          </w:p>
        </w:tc>
      </w:tr>
      <w:tr w:rsidR="00522861" w:rsidRPr="006414E6" w14:paraId="29EAA70C"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DFA61F0"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Kruta biomasa</w:t>
            </w:r>
          </w:p>
        </w:tc>
        <w:tc>
          <w:tcPr>
            <w:tcW w:w="1417" w:type="dxa"/>
            <w:tcBorders>
              <w:top w:val="nil"/>
              <w:left w:val="nil"/>
              <w:bottom w:val="single" w:sz="4" w:space="0" w:color="auto"/>
              <w:right w:val="single" w:sz="4" w:space="0" w:color="auto"/>
            </w:tcBorders>
            <w:noWrap/>
            <w:vAlign w:val="center"/>
            <w:hideMark/>
          </w:tcPr>
          <w:p w14:paraId="298BE39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1292,6</w:t>
            </w:r>
          </w:p>
        </w:tc>
        <w:tc>
          <w:tcPr>
            <w:tcW w:w="1417" w:type="dxa"/>
            <w:tcBorders>
              <w:top w:val="nil"/>
              <w:left w:val="nil"/>
              <w:bottom w:val="single" w:sz="4" w:space="0" w:color="auto"/>
              <w:right w:val="single" w:sz="4" w:space="0" w:color="auto"/>
            </w:tcBorders>
            <w:noWrap/>
            <w:vAlign w:val="center"/>
            <w:hideMark/>
          </w:tcPr>
          <w:p w14:paraId="76A7FD6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1136,3</w:t>
            </w:r>
          </w:p>
        </w:tc>
        <w:tc>
          <w:tcPr>
            <w:tcW w:w="1417" w:type="dxa"/>
            <w:tcBorders>
              <w:top w:val="nil"/>
              <w:left w:val="nil"/>
              <w:bottom w:val="single" w:sz="4" w:space="0" w:color="auto"/>
              <w:right w:val="single" w:sz="4" w:space="0" w:color="auto"/>
            </w:tcBorders>
            <w:noWrap/>
            <w:vAlign w:val="center"/>
            <w:hideMark/>
          </w:tcPr>
          <w:p w14:paraId="25B19D4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957,4</w:t>
            </w:r>
          </w:p>
        </w:tc>
      </w:tr>
      <w:tr w:rsidR="00522861" w:rsidRPr="006414E6" w14:paraId="5F66B029"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A17486F"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Energija Sunca</w:t>
            </w:r>
          </w:p>
        </w:tc>
        <w:tc>
          <w:tcPr>
            <w:tcW w:w="1417" w:type="dxa"/>
            <w:tcBorders>
              <w:top w:val="nil"/>
              <w:left w:val="nil"/>
              <w:bottom w:val="single" w:sz="4" w:space="0" w:color="auto"/>
              <w:right w:val="single" w:sz="4" w:space="0" w:color="auto"/>
            </w:tcBorders>
            <w:noWrap/>
            <w:vAlign w:val="center"/>
            <w:hideMark/>
          </w:tcPr>
          <w:p w14:paraId="5A42925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119,7</w:t>
            </w:r>
          </w:p>
        </w:tc>
        <w:tc>
          <w:tcPr>
            <w:tcW w:w="1417" w:type="dxa"/>
            <w:tcBorders>
              <w:top w:val="nil"/>
              <w:left w:val="nil"/>
              <w:bottom w:val="single" w:sz="4" w:space="0" w:color="auto"/>
              <w:right w:val="single" w:sz="4" w:space="0" w:color="auto"/>
            </w:tcBorders>
            <w:noWrap/>
            <w:vAlign w:val="center"/>
            <w:hideMark/>
          </w:tcPr>
          <w:p w14:paraId="46F48FB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265,5</w:t>
            </w:r>
          </w:p>
        </w:tc>
        <w:tc>
          <w:tcPr>
            <w:tcW w:w="1417" w:type="dxa"/>
            <w:tcBorders>
              <w:top w:val="nil"/>
              <w:left w:val="nil"/>
              <w:bottom w:val="single" w:sz="4" w:space="0" w:color="auto"/>
              <w:right w:val="single" w:sz="4" w:space="0" w:color="auto"/>
            </w:tcBorders>
            <w:noWrap/>
            <w:vAlign w:val="center"/>
            <w:hideMark/>
          </w:tcPr>
          <w:p w14:paraId="2F3A01E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413,2</w:t>
            </w:r>
          </w:p>
        </w:tc>
      </w:tr>
      <w:tr w:rsidR="00522861" w:rsidRPr="006414E6" w14:paraId="706B9B3E"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181012C"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Energija vjetra</w:t>
            </w:r>
          </w:p>
        </w:tc>
        <w:tc>
          <w:tcPr>
            <w:tcW w:w="1417" w:type="dxa"/>
            <w:tcBorders>
              <w:top w:val="nil"/>
              <w:left w:val="nil"/>
              <w:bottom w:val="single" w:sz="4" w:space="0" w:color="auto"/>
              <w:right w:val="single" w:sz="4" w:space="0" w:color="auto"/>
            </w:tcBorders>
            <w:noWrap/>
            <w:vAlign w:val="center"/>
            <w:hideMark/>
          </w:tcPr>
          <w:p w14:paraId="4D16942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305,1</w:t>
            </w:r>
          </w:p>
        </w:tc>
        <w:tc>
          <w:tcPr>
            <w:tcW w:w="1417" w:type="dxa"/>
            <w:tcBorders>
              <w:top w:val="nil"/>
              <w:left w:val="nil"/>
              <w:bottom w:val="single" w:sz="4" w:space="0" w:color="auto"/>
              <w:right w:val="single" w:sz="4" w:space="0" w:color="auto"/>
            </w:tcBorders>
            <w:noWrap/>
            <w:vAlign w:val="center"/>
            <w:hideMark/>
          </w:tcPr>
          <w:p w14:paraId="763E8B9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476,7</w:t>
            </w:r>
          </w:p>
        </w:tc>
        <w:tc>
          <w:tcPr>
            <w:tcW w:w="1417" w:type="dxa"/>
            <w:tcBorders>
              <w:top w:val="nil"/>
              <w:left w:val="nil"/>
              <w:bottom w:val="single" w:sz="4" w:space="0" w:color="auto"/>
              <w:right w:val="single" w:sz="4" w:space="0" w:color="auto"/>
            </w:tcBorders>
            <w:noWrap/>
            <w:vAlign w:val="center"/>
            <w:hideMark/>
          </w:tcPr>
          <w:p w14:paraId="587DE29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675,7</w:t>
            </w:r>
          </w:p>
        </w:tc>
      </w:tr>
      <w:tr w:rsidR="00522861" w:rsidRPr="006414E6" w14:paraId="64C92842"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6B2F7D2D"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Hidroenergija</w:t>
            </w:r>
          </w:p>
        </w:tc>
        <w:tc>
          <w:tcPr>
            <w:tcW w:w="1417" w:type="dxa"/>
            <w:tcBorders>
              <w:top w:val="nil"/>
              <w:left w:val="nil"/>
              <w:bottom w:val="double" w:sz="4" w:space="0" w:color="auto"/>
              <w:right w:val="single" w:sz="4" w:space="0" w:color="auto"/>
            </w:tcBorders>
            <w:noWrap/>
            <w:vAlign w:val="center"/>
            <w:hideMark/>
          </w:tcPr>
          <w:p w14:paraId="17E217A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629,3</w:t>
            </w:r>
          </w:p>
        </w:tc>
        <w:tc>
          <w:tcPr>
            <w:tcW w:w="1417" w:type="dxa"/>
            <w:tcBorders>
              <w:top w:val="nil"/>
              <w:left w:val="nil"/>
              <w:bottom w:val="double" w:sz="4" w:space="0" w:color="auto"/>
              <w:right w:val="single" w:sz="4" w:space="0" w:color="auto"/>
            </w:tcBorders>
            <w:noWrap/>
            <w:vAlign w:val="center"/>
            <w:hideMark/>
          </w:tcPr>
          <w:p w14:paraId="57B2B96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662,3</w:t>
            </w:r>
          </w:p>
        </w:tc>
        <w:tc>
          <w:tcPr>
            <w:tcW w:w="1417" w:type="dxa"/>
            <w:tcBorders>
              <w:top w:val="nil"/>
              <w:left w:val="nil"/>
              <w:bottom w:val="double" w:sz="4" w:space="0" w:color="auto"/>
              <w:right w:val="single" w:sz="4" w:space="0" w:color="auto"/>
            </w:tcBorders>
            <w:noWrap/>
            <w:vAlign w:val="center"/>
            <w:hideMark/>
          </w:tcPr>
          <w:p w14:paraId="7E7EE2A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708,9</w:t>
            </w:r>
          </w:p>
        </w:tc>
      </w:tr>
      <w:tr w:rsidR="00522861" w:rsidRPr="006414E6" w14:paraId="3C6BD367"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41A49DD" w14:textId="77777777" w:rsidR="00522861" w:rsidRPr="006414E6" w:rsidRDefault="00522861" w:rsidP="00016B17">
            <w:pPr>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4F906D9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2817,6</w:t>
            </w:r>
          </w:p>
        </w:tc>
        <w:tc>
          <w:tcPr>
            <w:tcW w:w="1417" w:type="dxa"/>
            <w:tcBorders>
              <w:top w:val="double" w:sz="4" w:space="0" w:color="auto"/>
              <w:left w:val="nil"/>
              <w:bottom w:val="single" w:sz="4" w:space="0" w:color="auto"/>
              <w:right w:val="single" w:sz="4" w:space="0" w:color="auto"/>
            </w:tcBorders>
            <w:noWrap/>
            <w:vAlign w:val="center"/>
            <w:hideMark/>
          </w:tcPr>
          <w:p w14:paraId="72CA011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3270,2</w:t>
            </w:r>
          </w:p>
        </w:tc>
        <w:tc>
          <w:tcPr>
            <w:tcW w:w="1417" w:type="dxa"/>
            <w:tcBorders>
              <w:top w:val="double" w:sz="4" w:space="0" w:color="auto"/>
              <w:left w:val="nil"/>
              <w:bottom w:val="single" w:sz="4" w:space="0" w:color="auto"/>
              <w:right w:val="single" w:sz="4" w:space="0" w:color="auto"/>
            </w:tcBorders>
            <w:noWrap/>
            <w:vAlign w:val="center"/>
            <w:hideMark/>
          </w:tcPr>
          <w:p w14:paraId="4A97CBA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3426,0</w:t>
            </w:r>
          </w:p>
        </w:tc>
      </w:tr>
    </w:tbl>
    <w:p w14:paraId="1FA005C8" w14:textId="77777777" w:rsidR="00522861" w:rsidRPr="006414E6" w:rsidRDefault="00522861" w:rsidP="00016B17">
      <w:pPr>
        <w:rPr>
          <w:rFonts w:cs="Times New Roman"/>
          <w:u w:val="single"/>
        </w:rPr>
      </w:pPr>
      <w:r w:rsidRPr="006414E6">
        <w:rPr>
          <w:rFonts w:cs="Times New Roman"/>
          <w:u w:val="single"/>
        </w:rPr>
        <w:lastRenderedPageBreak/>
        <w:t>Proizvodnja električne energije i topline</w:t>
      </w:r>
    </w:p>
    <w:p w14:paraId="02FC2CB1" w14:textId="77777777" w:rsidR="00522861" w:rsidRPr="006414E6" w:rsidRDefault="00522861" w:rsidP="00522861">
      <w:pPr>
        <w:rPr>
          <w:rFonts w:cs="Times New Roman"/>
        </w:rPr>
      </w:pPr>
      <w:r w:rsidRPr="006414E6">
        <w:rPr>
          <w:rFonts w:cs="Times New Roman"/>
        </w:rPr>
        <w:t>U NU1 scenariju očekuje se povećanje domaće proizvodnje i značajna promjena u strukturi proizvodnje električne energije. Povećava se udio obnovljivih izvora energije, a smanjuje udio proizvodnje termoelektrana (općenito – termoelektrane, javne toplane i industrijske kogeneracije). Do kraja promatranog razdoblja sve potrebne količine električne energije mogle bi se proizvesti iz domaćih elektrana, ali je moguća razmjena sa susjednim sustavima (tj. neto uvoz je jednak nuli).</w:t>
      </w:r>
    </w:p>
    <w:p w14:paraId="21C59734" w14:textId="77777777" w:rsidR="00522861" w:rsidRPr="006414E6" w:rsidRDefault="00522861" w:rsidP="00522861">
      <w:pPr>
        <w:rPr>
          <w:rFonts w:cs="Times New Roman"/>
        </w:rPr>
      </w:pPr>
      <w:r w:rsidRPr="006414E6">
        <w:rPr>
          <w:rFonts w:cs="Times New Roman"/>
        </w:rPr>
        <w:t xml:space="preserve">U NU1 scenariju ukupna snaga elektrana raste na 6,57 GW u 2030. godini, odnosno na 10,3 GW u 2050. godini. Prosječno je godišnje potrebno izgraditi oko 260 MW novih elektrana. </w:t>
      </w:r>
    </w:p>
    <w:p w14:paraId="0E180C32" w14:textId="77777777" w:rsidR="00522861" w:rsidRPr="006414E6" w:rsidRDefault="00522861" w:rsidP="00522861">
      <w:pPr>
        <w:rPr>
          <w:rFonts w:cs="Times New Roman"/>
        </w:rPr>
      </w:pPr>
      <w:r w:rsidRPr="006414E6">
        <w:rPr>
          <w:rFonts w:cs="Times New Roman"/>
        </w:rPr>
        <w:t>U NU1 do kraja razdoblja pretpostavljen je izlazak iz pogona NE Krško te postojećih jedinica na lokaciji Plomin. Nema izgradnje novih TE na ugljen.</w:t>
      </w:r>
    </w:p>
    <w:p w14:paraId="39EE36AD" w14:textId="77777777" w:rsidR="00522861" w:rsidRPr="006414E6" w:rsidRDefault="00522861" w:rsidP="00522861">
      <w:pPr>
        <w:rPr>
          <w:rFonts w:cs="Times New Roman"/>
        </w:rPr>
      </w:pPr>
      <w:r w:rsidRPr="006414E6">
        <w:rPr>
          <w:rFonts w:cs="Times New Roman"/>
        </w:rPr>
        <w:t>U tablici II.1-5 prikazane su projekcije proizvodnje električne energije u NU1 scenariju.</w:t>
      </w:r>
    </w:p>
    <w:p w14:paraId="5E33FDD9" w14:textId="77777777" w:rsidR="00522861" w:rsidRPr="006414E6" w:rsidRDefault="00522861" w:rsidP="00E57F72">
      <w:pPr>
        <w:rPr>
          <w:rFonts w:cs="Times New Roman"/>
          <w:i/>
        </w:rPr>
      </w:pPr>
      <w:r w:rsidRPr="006414E6">
        <w:rPr>
          <w:rFonts w:cs="Times New Roman"/>
          <w:i/>
        </w:rPr>
        <w:t xml:space="preserve">Tablica II.1-5: Projekcije proizvodnje električne energije u NU1 scenariju </w:t>
      </w:r>
    </w:p>
    <w:tbl>
      <w:tblPr>
        <w:tblW w:w="7086" w:type="dxa"/>
        <w:tblLook w:val="04A0" w:firstRow="1" w:lastRow="0" w:firstColumn="1" w:lastColumn="0" w:noHBand="0" w:noVBand="1"/>
      </w:tblPr>
      <w:tblGrid>
        <w:gridCol w:w="2835"/>
        <w:gridCol w:w="1417"/>
        <w:gridCol w:w="1417"/>
        <w:gridCol w:w="1417"/>
      </w:tblGrid>
      <w:tr w:rsidR="00522861" w:rsidRPr="006414E6" w14:paraId="5E1114F3"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9E5C82" w14:textId="77777777" w:rsidR="00522861" w:rsidRPr="006414E6" w:rsidRDefault="00522861" w:rsidP="00E57F72">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4F9635"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4244D2"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5716C3"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1E7113C3"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05D8D83"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Industrijske kogeneracije</w:t>
            </w:r>
          </w:p>
        </w:tc>
        <w:tc>
          <w:tcPr>
            <w:tcW w:w="1417" w:type="dxa"/>
            <w:tcBorders>
              <w:top w:val="nil"/>
              <w:left w:val="nil"/>
              <w:bottom w:val="single" w:sz="4" w:space="0" w:color="auto"/>
              <w:right w:val="single" w:sz="4" w:space="0" w:color="auto"/>
            </w:tcBorders>
            <w:noWrap/>
            <w:vAlign w:val="center"/>
            <w:hideMark/>
          </w:tcPr>
          <w:p w14:paraId="300AAF4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320,3</w:t>
            </w:r>
          </w:p>
        </w:tc>
        <w:tc>
          <w:tcPr>
            <w:tcW w:w="1417" w:type="dxa"/>
            <w:tcBorders>
              <w:top w:val="nil"/>
              <w:left w:val="nil"/>
              <w:bottom w:val="single" w:sz="4" w:space="0" w:color="auto"/>
              <w:right w:val="single" w:sz="4" w:space="0" w:color="auto"/>
            </w:tcBorders>
            <w:noWrap/>
            <w:vAlign w:val="center"/>
            <w:hideMark/>
          </w:tcPr>
          <w:p w14:paraId="24F25A8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280,4</w:t>
            </w:r>
          </w:p>
        </w:tc>
        <w:tc>
          <w:tcPr>
            <w:tcW w:w="1417" w:type="dxa"/>
            <w:tcBorders>
              <w:top w:val="nil"/>
              <w:left w:val="nil"/>
              <w:bottom w:val="single" w:sz="4" w:space="0" w:color="auto"/>
              <w:right w:val="single" w:sz="4" w:space="0" w:color="auto"/>
            </w:tcBorders>
            <w:noWrap/>
            <w:vAlign w:val="center"/>
            <w:hideMark/>
          </w:tcPr>
          <w:p w14:paraId="0088E2C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239,8</w:t>
            </w:r>
          </w:p>
        </w:tc>
      </w:tr>
      <w:tr w:rsidR="00522861" w:rsidRPr="006414E6" w14:paraId="07E2D38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30FD20A"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Javne kogeneracije</w:t>
            </w:r>
          </w:p>
        </w:tc>
        <w:tc>
          <w:tcPr>
            <w:tcW w:w="1417" w:type="dxa"/>
            <w:tcBorders>
              <w:top w:val="nil"/>
              <w:left w:val="nil"/>
              <w:bottom w:val="single" w:sz="4" w:space="0" w:color="auto"/>
              <w:right w:val="single" w:sz="4" w:space="0" w:color="auto"/>
            </w:tcBorders>
            <w:noWrap/>
            <w:vAlign w:val="center"/>
            <w:hideMark/>
          </w:tcPr>
          <w:p w14:paraId="40F9C9C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3508,0</w:t>
            </w:r>
          </w:p>
        </w:tc>
        <w:tc>
          <w:tcPr>
            <w:tcW w:w="1417" w:type="dxa"/>
            <w:tcBorders>
              <w:top w:val="nil"/>
              <w:left w:val="nil"/>
              <w:bottom w:val="single" w:sz="4" w:space="0" w:color="auto"/>
              <w:right w:val="single" w:sz="4" w:space="0" w:color="auto"/>
            </w:tcBorders>
            <w:noWrap/>
            <w:vAlign w:val="center"/>
            <w:hideMark/>
          </w:tcPr>
          <w:p w14:paraId="49BF789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3971,5</w:t>
            </w:r>
          </w:p>
        </w:tc>
        <w:tc>
          <w:tcPr>
            <w:tcW w:w="1417" w:type="dxa"/>
            <w:tcBorders>
              <w:top w:val="nil"/>
              <w:left w:val="nil"/>
              <w:bottom w:val="single" w:sz="4" w:space="0" w:color="auto"/>
              <w:right w:val="single" w:sz="4" w:space="0" w:color="auto"/>
            </w:tcBorders>
            <w:noWrap/>
            <w:vAlign w:val="center"/>
            <w:hideMark/>
          </w:tcPr>
          <w:p w14:paraId="51821EC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3199,7</w:t>
            </w:r>
          </w:p>
        </w:tc>
      </w:tr>
      <w:tr w:rsidR="00522861" w:rsidRPr="006414E6" w14:paraId="473E547F"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3D93D08"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Termoelektrane</w:t>
            </w:r>
          </w:p>
        </w:tc>
        <w:tc>
          <w:tcPr>
            <w:tcW w:w="1417" w:type="dxa"/>
            <w:tcBorders>
              <w:top w:val="nil"/>
              <w:left w:val="nil"/>
              <w:bottom w:val="single" w:sz="4" w:space="0" w:color="auto"/>
              <w:right w:val="single" w:sz="4" w:space="0" w:color="auto"/>
            </w:tcBorders>
            <w:noWrap/>
            <w:vAlign w:val="center"/>
            <w:hideMark/>
          </w:tcPr>
          <w:p w14:paraId="600719B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799,5</w:t>
            </w:r>
          </w:p>
        </w:tc>
        <w:tc>
          <w:tcPr>
            <w:tcW w:w="1417" w:type="dxa"/>
            <w:tcBorders>
              <w:top w:val="nil"/>
              <w:left w:val="nil"/>
              <w:bottom w:val="single" w:sz="4" w:space="0" w:color="auto"/>
              <w:right w:val="single" w:sz="4" w:space="0" w:color="auto"/>
            </w:tcBorders>
            <w:noWrap/>
            <w:vAlign w:val="center"/>
            <w:hideMark/>
          </w:tcPr>
          <w:p w14:paraId="0B72A26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160,3</w:t>
            </w:r>
          </w:p>
        </w:tc>
        <w:tc>
          <w:tcPr>
            <w:tcW w:w="1417" w:type="dxa"/>
            <w:tcBorders>
              <w:top w:val="nil"/>
              <w:left w:val="nil"/>
              <w:bottom w:val="single" w:sz="4" w:space="0" w:color="auto"/>
              <w:right w:val="single" w:sz="4" w:space="0" w:color="auto"/>
            </w:tcBorders>
            <w:noWrap/>
            <w:vAlign w:val="center"/>
            <w:hideMark/>
          </w:tcPr>
          <w:p w14:paraId="47CE0FB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1951,9</w:t>
            </w:r>
          </w:p>
        </w:tc>
      </w:tr>
      <w:tr w:rsidR="00522861" w:rsidRPr="006414E6" w14:paraId="209C0129"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D3C64A1"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Geotermalne elektrane</w:t>
            </w:r>
          </w:p>
        </w:tc>
        <w:tc>
          <w:tcPr>
            <w:tcW w:w="1417" w:type="dxa"/>
            <w:tcBorders>
              <w:top w:val="nil"/>
              <w:left w:val="nil"/>
              <w:bottom w:val="single" w:sz="4" w:space="0" w:color="auto"/>
              <w:right w:val="single" w:sz="4" w:space="0" w:color="auto"/>
            </w:tcBorders>
            <w:noWrap/>
            <w:vAlign w:val="center"/>
            <w:hideMark/>
          </w:tcPr>
          <w:p w14:paraId="50ED3BD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128,8</w:t>
            </w:r>
          </w:p>
        </w:tc>
        <w:tc>
          <w:tcPr>
            <w:tcW w:w="1417" w:type="dxa"/>
            <w:tcBorders>
              <w:top w:val="nil"/>
              <w:left w:val="nil"/>
              <w:bottom w:val="single" w:sz="4" w:space="0" w:color="auto"/>
              <w:right w:val="single" w:sz="4" w:space="0" w:color="auto"/>
            </w:tcBorders>
            <w:noWrap/>
            <w:vAlign w:val="center"/>
            <w:hideMark/>
          </w:tcPr>
          <w:p w14:paraId="381CBE2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365,8</w:t>
            </w:r>
          </w:p>
        </w:tc>
        <w:tc>
          <w:tcPr>
            <w:tcW w:w="1417" w:type="dxa"/>
            <w:tcBorders>
              <w:top w:val="nil"/>
              <w:left w:val="nil"/>
              <w:bottom w:val="single" w:sz="4" w:space="0" w:color="auto"/>
              <w:right w:val="single" w:sz="4" w:space="0" w:color="auto"/>
            </w:tcBorders>
            <w:noWrap/>
            <w:vAlign w:val="center"/>
            <w:hideMark/>
          </w:tcPr>
          <w:p w14:paraId="41B6E5D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427,8</w:t>
            </w:r>
          </w:p>
        </w:tc>
      </w:tr>
      <w:tr w:rsidR="00522861" w:rsidRPr="006414E6" w14:paraId="72F22F30"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BE54123"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Sunčane elektrane</w:t>
            </w:r>
          </w:p>
        </w:tc>
        <w:tc>
          <w:tcPr>
            <w:tcW w:w="1417" w:type="dxa"/>
            <w:tcBorders>
              <w:top w:val="nil"/>
              <w:left w:val="nil"/>
              <w:bottom w:val="single" w:sz="4" w:space="0" w:color="auto"/>
              <w:right w:val="single" w:sz="4" w:space="0" w:color="auto"/>
            </w:tcBorders>
            <w:noWrap/>
            <w:vAlign w:val="center"/>
            <w:hideMark/>
          </w:tcPr>
          <w:p w14:paraId="45009AE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1013,3</w:t>
            </w:r>
          </w:p>
        </w:tc>
        <w:tc>
          <w:tcPr>
            <w:tcW w:w="1417" w:type="dxa"/>
            <w:tcBorders>
              <w:top w:val="nil"/>
              <w:left w:val="nil"/>
              <w:bottom w:val="single" w:sz="4" w:space="0" w:color="auto"/>
              <w:right w:val="single" w:sz="4" w:space="0" w:color="auto"/>
            </w:tcBorders>
            <w:noWrap/>
            <w:vAlign w:val="center"/>
            <w:hideMark/>
          </w:tcPr>
          <w:p w14:paraId="4342884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2374,6</w:t>
            </w:r>
          </w:p>
        </w:tc>
        <w:tc>
          <w:tcPr>
            <w:tcW w:w="1417" w:type="dxa"/>
            <w:tcBorders>
              <w:top w:val="nil"/>
              <w:left w:val="nil"/>
              <w:bottom w:val="single" w:sz="4" w:space="0" w:color="auto"/>
              <w:right w:val="single" w:sz="4" w:space="0" w:color="auto"/>
            </w:tcBorders>
            <w:noWrap/>
            <w:vAlign w:val="center"/>
            <w:hideMark/>
          </w:tcPr>
          <w:p w14:paraId="6A73AE4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3624,4</w:t>
            </w:r>
          </w:p>
        </w:tc>
      </w:tr>
      <w:tr w:rsidR="00522861" w:rsidRPr="006414E6" w14:paraId="5F2782E7"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0092A44"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Vjetroelektrane</w:t>
            </w:r>
          </w:p>
        </w:tc>
        <w:tc>
          <w:tcPr>
            <w:tcW w:w="1417" w:type="dxa"/>
            <w:tcBorders>
              <w:top w:val="nil"/>
              <w:left w:val="nil"/>
              <w:bottom w:val="single" w:sz="4" w:space="0" w:color="auto"/>
              <w:right w:val="single" w:sz="4" w:space="0" w:color="auto"/>
            </w:tcBorders>
            <w:noWrap/>
            <w:vAlign w:val="center"/>
            <w:hideMark/>
          </w:tcPr>
          <w:p w14:paraId="0AA746D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3548,8</w:t>
            </w:r>
          </w:p>
        </w:tc>
        <w:tc>
          <w:tcPr>
            <w:tcW w:w="1417" w:type="dxa"/>
            <w:tcBorders>
              <w:top w:val="nil"/>
              <w:left w:val="nil"/>
              <w:bottom w:val="single" w:sz="4" w:space="0" w:color="auto"/>
              <w:right w:val="single" w:sz="4" w:space="0" w:color="auto"/>
            </w:tcBorders>
            <w:noWrap/>
            <w:vAlign w:val="center"/>
            <w:hideMark/>
          </w:tcPr>
          <w:p w14:paraId="4E55CBF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5544,6</w:t>
            </w:r>
          </w:p>
        </w:tc>
        <w:tc>
          <w:tcPr>
            <w:tcW w:w="1417" w:type="dxa"/>
            <w:tcBorders>
              <w:top w:val="nil"/>
              <w:left w:val="nil"/>
              <w:bottom w:val="single" w:sz="4" w:space="0" w:color="auto"/>
              <w:right w:val="single" w:sz="4" w:space="0" w:color="auto"/>
            </w:tcBorders>
            <w:noWrap/>
            <w:vAlign w:val="center"/>
            <w:hideMark/>
          </w:tcPr>
          <w:p w14:paraId="4C7FD55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7858,9</w:t>
            </w:r>
          </w:p>
        </w:tc>
      </w:tr>
      <w:tr w:rsidR="00522861" w:rsidRPr="006414E6" w14:paraId="7F95F734"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09D5C923"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Hidroelektrane</w:t>
            </w:r>
          </w:p>
        </w:tc>
        <w:tc>
          <w:tcPr>
            <w:tcW w:w="1417" w:type="dxa"/>
            <w:tcBorders>
              <w:top w:val="nil"/>
              <w:left w:val="nil"/>
              <w:bottom w:val="double" w:sz="4" w:space="0" w:color="auto"/>
              <w:right w:val="single" w:sz="4" w:space="0" w:color="auto"/>
            </w:tcBorders>
            <w:noWrap/>
            <w:vAlign w:val="center"/>
            <w:hideMark/>
          </w:tcPr>
          <w:p w14:paraId="699208C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7319,2</w:t>
            </w:r>
          </w:p>
        </w:tc>
        <w:tc>
          <w:tcPr>
            <w:tcW w:w="1417" w:type="dxa"/>
            <w:tcBorders>
              <w:top w:val="nil"/>
              <w:left w:val="nil"/>
              <w:bottom w:val="double" w:sz="4" w:space="0" w:color="auto"/>
              <w:right w:val="single" w:sz="4" w:space="0" w:color="auto"/>
            </w:tcBorders>
            <w:noWrap/>
            <w:vAlign w:val="center"/>
            <w:hideMark/>
          </w:tcPr>
          <w:p w14:paraId="2268661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7702,5</w:t>
            </w:r>
          </w:p>
        </w:tc>
        <w:tc>
          <w:tcPr>
            <w:tcW w:w="1417" w:type="dxa"/>
            <w:tcBorders>
              <w:top w:val="nil"/>
              <w:left w:val="nil"/>
              <w:bottom w:val="double" w:sz="4" w:space="0" w:color="auto"/>
              <w:right w:val="single" w:sz="4" w:space="0" w:color="auto"/>
            </w:tcBorders>
            <w:noWrap/>
            <w:vAlign w:val="center"/>
            <w:hideMark/>
          </w:tcPr>
          <w:p w14:paraId="1A2103A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8244,3</w:t>
            </w:r>
          </w:p>
        </w:tc>
      </w:tr>
      <w:tr w:rsidR="00522861" w:rsidRPr="006414E6" w14:paraId="3E512523"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39886B"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3533348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16637,9</w:t>
            </w:r>
          </w:p>
        </w:tc>
        <w:tc>
          <w:tcPr>
            <w:tcW w:w="1417" w:type="dxa"/>
            <w:tcBorders>
              <w:top w:val="double" w:sz="4" w:space="0" w:color="auto"/>
              <w:left w:val="nil"/>
              <w:bottom w:val="single" w:sz="4" w:space="0" w:color="auto"/>
              <w:right w:val="single" w:sz="4" w:space="0" w:color="auto"/>
            </w:tcBorders>
            <w:noWrap/>
            <w:vAlign w:val="center"/>
            <w:hideMark/>
          </w:tcPr>
          <w:p w14:paraId="0873201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20399,6</w:t>
            </w:r>
          </w:p>
        </w:tc>
        <w:tc>
          <w:tcPr>
            <w:tcW w:w="1417" w:type="dxa"/>
            <w:tcBorders>
              <w:top w:val="double" w:sz="4" w:space="0" w:color="auto"/>
              <w:left w:val="nil"/>
              <w:bottom w:val="single" w:sz="4" w:space="0" w:color="auto"/>
              <w:right w:val="single" w:sz="4" w:space="0" w:color="auto"/>
            </w:tcBorders>
            <w:noWrap/>
            <w:vAlign w:val="center"/>
            <w:hideMark/>
          </w:tcPr>
          <w:p w14:paraId="43A2242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25546,7</w:t>
            </w:r>
          </w:p>
        </w:tc>
      </w:tr>
    </w:tbl>
    <w:p w14:paraId="102C6B32" w14:textId="77777777" w:rsidR="00522861" w:rsidRPr="006414E6" w:rsidRDefault="00522861" w:rsidP="00522861">
      <w:pPr>
        <w:rPr>
          <w:rFonts w:cs="Times New Roman"/>
          <w:u w:val="single"/>
        </w:rPr>
      </w:pPr>
      <w:r w:rsidRPr="006414E6">
        <w:rPr>
          <w:rFonts w:cs="Times New Roman"/>
          <w:u w:val="single"/>
        </w:rPr>
        <w:t>Proizvodnja i uvoz energije</w:t>
      </w:r>
    </w:p>
    <w:p w14:paraId="42138719" w14:textId="77777777" w:rsidR="00522861" w:rsidRPr="006414E6" w:rsidRDefault="00522861" w:rsidP="00522861">
      <w:pPr>
        <w:rPr>
          <w:rFonts w:cs="Times New Roman"/>
        </w:rPr>
      </w:pPr>
      <w:r w:rsidRPr="006414E6">
        <w:rPr>
          <w:rFonts w:cs="Times New Roman"/>
        </w:rPr>
        <w:t>U NU1 scenariju udio domaće proizvodnje energije u ukupnoj potrošnji energije kontinuirano raste prema kraju razdoblja što se objašnjava smanjenjem ukupnih potreba za energijom: zbog mjera energetske učinkovitosti – obnova fonda zgrada i prelaska na druge oblike energije (npr. električna energija u prometu). Istovremeno se povećava proizvodnja iz OIE, i unatoč opadanju proizvodnje fosilnih goriva, vlastita opskrbljenost raste na 55,8% u 2030. godini, da bi se nakon toga spustila na 51,7 % u 2050. godini.</w:t>
      </w:r>
    </w:p>
    <w:p w14:paraId="6AB372D2" w14:textId="77777777" w:rsidR="00522861" w:rsidRPr="006414E6" w:rsidRDefault="00522861" w:rsidP="00522861">
      <w:pPr>
        <w:rPr>
          <w:rFonts w:cs="Times New Roman"/>
        </w:rPr>
      </w:pPr>
      <w:r w:rsidRPr="006414E6">
        <w:rPr>
          <w:rFonts w:cs="Times New Roman"/>
        </w:rPr>
        <w:t>U tablici II.1-6 prikazane su projekcije proizvodnje i uvoza energije u NU1 scenariju.</w:t>
      </w:r>
    </w:p>
    <w:p w14:paraId="6020D2BF" w14:textId="77777777" w:rsidR="00522861" w:rsidRPr="006414E6" w:rsidRDefault="00522861" w:rsidP="00E57F72">
      <w:pPr>
        <w:rPr>
          <w:rFonts w:cs="Times New Roman"/>
          <w:i/>
        </w:rPr>
      </w:pPr>
      <w:r w:rsidRPr="006414E6">
        <w:rPr>
          <w:rFonts w:cs="Times New Roman"/>
          <w:i/>
        </w:rPr>
        <w:t xml:space="preserve">Tablica II.1-6: Projekcije proizvodnje i uvoza energije u NU1 scenariju </w:t>
      </w:r>
    </w:p>
    <w:tbl>
      <w:tblPr>
        <w:tblW w:w="7086" w:type="dxa"/>
        <w:tblLook w:val="04A0" w:firstRow="1" w:lastRow="0" w:firstColumn="1" w:lastColumn="0" w:noHBand="0" w:noVBand="1"/>
      </w:tblPr>
      <w:tblGrid>
        <w:gridCol w:w="2835"/>
        <w:gridCol w:w="1417"/>
        <w:gridCol w:w="1417"/>
        <w:gridCol w:w="1417"/>
      </w:tblGrid>
      <w:tr w:rsidR="00522861" w:rsidRPr="006414E6" w14:paraId="43A6FA8E"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41CB3E" w14:textId="77777777" w:rsidR="00522861" w:rsidRPr="006414E6" w:rsidRDefault="00522861" w:rsidP="00E57F72">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1EF75F"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04B5EE"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C42AB4"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5BD02FB1"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7E6F824"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Domaća energija</w:t>
            </w:r>
          </w:p>
        </w:tc>
        <w:tc>
          <w:tcPr>
            <w:tcW w:w="1417" w:type="dxa"/>
            <w:tcBorders>
              <w:top w:val="nil"/>
              <w:left w:val="nil"/>
              <w:bottom w:val="single" w:sz="4" w:space="0" w:color="auto"/>
              <w:right w:val="single" w:sz="4" w:space="0" w:color="auto"/>
            </w:tcBorders>
            <w:noWrap/>
            <w:vAlign w:val="center"/>
            <w:hideMark/>
          </w:tcPr>
          <w:p w14:paraId="72CA861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4922,0</w:t>
            </w:r>
          </w:p>
        </w:tc>
        <w:tc>
          <w:tcPr>
            <w:tcW w:w="1417" w:type="dxa"/>
            <w:tcBorders>
              <w:top w:val="nil"/>
              <w:left w:val="nil"/>
              <w:bottom w:val="single" w:sz="4" w:space="0" w:color="auto"/>
              <w:right w:val="single" w:sz="4" w:space="0" w:color="auto"/>
            </w:tcBorders>
            <w:noWrap/>
            <w:vAlign w:val="center"/>
            <w:hideMark/>
          </w:tcPr>
          <w:p w14:paraId="5E8835A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4700,6</w:t>
            </w:r>
          </w:p>
        </w:tc>
        <w:tc>
          <w:tcPr>
            <w:tcW w:w="1417" w:type="dxa"/>
            <w:tcBorders>
              <w:top w:val="nil"/>
              <w:left w:val="nil"/>
              <w:bottom w:val="single" w:sz="4" w:space="0" w:color="auto"/>
              <w:right w:val="single" w:sz="4" w:space="0" w:color="auto"/>
            </w:tcBorders>
            <w:noWrap/>
            <w:vAlign w:val="center"/>
            <w:hideMark/>
          </w:tcPr>
          <w:p w14:paraId="2A7EC173"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3824,7</w:t>
            </w:r>
          </w:p>
        </w:tc>
      </w:tr>
      <w:tr w:rsidR="00522861" w:rsidRPr="006414E6" w14:paraId="4016A7E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CC28E1D"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Uvozna energija</w:t>
            </w:r>
          </w:p>
        </w:tc>
        <w:tc>
          <w:tcPr>
            <w:tcW w:w="1417" w:type="dxa"/>
            <w:tcBorders>
              <w:top w:val="nil"/>
              <w:left w:val="nil"/>
              <w:bottom w:val="single" w:sz="4" w:space="0" w:color="auto"/>
              <w:right w:val="single" w:sz="4" w:space="0" w:color="auto"/>
            </w:tcBorders>
            <w:noWrap/>
            <w:vAlign w:val="center"/>
            <w:hideMark/>
          </w:tcPr>
          <w:p w14:paraId="2ED2CF3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3861,6</w:t>
            </w:r>
          </w:p>
        </w:tc>
        <w:tc>
          <w:tcPr>
            <w:tcW w:w="1417" w:type="dxa"/>
            <w:tcBorders>
              <w:top w:val="nil"/>
              <w:left w:val="nil"/>
              <w:bottom w:val="single" w:sz="4" w:space="0" w:color="auto"/>
              <w:right w:val="single" w:sz="4" w:space="0" w:color="auto"/>
            </w:tcBorders>
            <w:noWrap/>
            <w:vAlign w:val="center"/>
            <w:hideMark/>
          </w:tcPr>
          <w:p w14:paraId="686370C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3622,6</w:t>
            </w:r>
          </w:p>
        </w:tc>
        <w:tc>
          <w:tcPr>
            <w:tcW w:w="1417" w:type="dxa"/>
            <w:tcBorders>
              <w:top w:val="nil"/>
              <w:left w:val="nil"/>
              <w:bottom w:val="single" w:sz="4" w:space="0" w:color="auto"/>
              <w:right w:val="single" w:sz="4" w:space="0" w:color="auto"/>
            </w:tcBorders>
            <w:noWrap/>
            <w:vAlign w:val="center"/>
            <w:hideMark/>
          </w:tcPr>
          <w:p w14:paraId="49EA644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3566,9</w:t>
            </w:r>
          </w:p>
        </w:tc>
      </w:tr>
      <w:tr w:rsidR="00522861" w:rsidRPr="006414E6" w14:paraId="2C117867"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3513A7" w14:textId="77777777" w:rsidR="00522861" w:rsidRPr="006414E6" w:rsidRDefault="00522861" w:rsidP="00E57F72">
            <w:pPr>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4F3FBE5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8783,7</w:t>
            </w:r>
          </w:p>
        </w:tc>
        <w:tc>
          <w:tcPr>
            <w:tcW w:w="1417" w:type="dxa"/>
            <w:tcBorders>
              <w:top w:val="double" w:sz="4" w:space="0" w:color="auto"/>
              <w:left w:val="nil"/>
              <w:bottom w:val="single" w:sz="4" w:space="0" w:color="auto"/>
              <w:right w:val="single" w:sz="4" w:space="0" w:color="auto"/>
            </w:tcBorders>
            <w:noWrap/>
            <w:vAlign w:val="center"/>
            <w:hideMark/>
          </w:tcPr>
          <w:p w14:paraId="5B76E7A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8323,2</w:t>
            </w:r>
          </w:p>
        </w:tc>
        <w:tc>
          <w:tcPr>
            <w:tcW w:w="1417" w:type="dxa"/>
            <w:tcBorders>
              <w:top w:val="double" w:sz="4" w:space="0" w:color="auto"/>
              <w:left w:val="nil"/>
              <w:bottom w:val="single" w:sz="4" w:space="0" w:color="auto"/>
              <w:right w:val="single" w:sz="4" w:space="0" w:color="auto"/>
            </w:tcBorders>
            <w:noWrap/>
            <w:vAlign w:val="center"/>
            <w:hideMark/>
          </w:tcPr>
          <w:p w14:paraId="7BA2B54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7391,7</w:t>
            </w:r>
          </w:p>
        </w:tc>
      </w:tr>
    </w:tbl>
    <w:p w14:paraId="2D90FD83" w14:textId="77777777" w:rsidR="00522861" w:rsidRPr="006414E6" w:rsidRDefault="00522861" w:rsidP="00F415A7">
      <w:pPr>
        <w:pStyle w:val="Heading2"/>
      </w:pPr>
      <w:bookmarkStart w:id="367" w:name="_Toc39133337"/>
      <w:r w:rsidRPr="006414E6">
        <w:lastRenderedPageBreak/>
        <w:t xml:space="preserve">II.2. </w:t>
      </w:r>
      <w:r w:rsidRPr="006414E6">
        <w:tab/>
        <w:t>INDUSTRIJA</w:t>
      </w:r>
      <w:bookmarkEnd w:id="367"/>
    </w:p>
    <w:p w14:paraId="2E5A64E1" w14:textId="77777777" w:rsidR="00522861" w:rsidRPr="006414E6" w:rsidRDefault="00522861" w:rsidP="00522861">
      <w:pPr>
        <w:pStyle w:val="NormalWeb"/>
        <w:ind w:hanging="705"/>
        <w:rPr>
          <w:rFonts w:eastAsia="Times New Roman" w:cs="Times New Roman"/>
          <w:lang w:eastAsia="hr-HR"/>
        </w:rPr>
      </w:pPr>
    </w:p>
    <w:p w14:paraId="5CDCE0DB" w14:textId="77777777" w:rsidR="00522861" w:rsidRPr="006414E6" w:rsidRDefault="00522861" w:rsidP="00522861">
      <w:pPr>
        <w:pStyle w:val="NormalWeb"/>
        <w:rPr>
          <w:rFonts w:eastAsia="MS Mincho" w:cs="Times New Roman"/>
          <w:lang w:eastAsia="hr-HR"/>
        </w:rPr>
      </w:pPr>
      <w:r w:rsidRPr="006414E6">
        <w:rPr>
          <w:rFonts w:eastAsia="MS Mincho" w:cs="Times New Roman"/>
          <w:lang w:eastAsia="hr-HR"/>
        </w:rPr>
        <w:t xml:space="preserve">Scenarij uključuje primjenu troškovno-učinkovitih mjera za smanjenje emisija stakleničkih plinova iz potrošnje energije po industrijskim granama i procesnih emisija u proizvodnji cementa, te smanjenje emisije hlapljivih organskih spojeva, kontroliranih tvari i </w:t>
      </w:r>
      <w:proofErr w:type="spellStart"/>
      <w:r w:rsidRPr="006414E6">
        <w:rPr>
          <w:rFonts w:eastAsia="MS Mincho" w:cs="Times New Roman"/>
          <w:lang w:eastAsia="hr-HR"/>
        </w:rPr>
        <w:t>fluoriranih</w:t>
      </w:r>
      <w:proofErr w:type="spellEnd"/>
      <w:r w:rsidRPr="006414E6">
        <w:rPr>
          <w:rFonts w:eastAsia="MS Mincho" w:cs="Times New Roman"/>
          <w:lang w:eastAsia="hr-HR"/>
        </w:rPr>
        <w:t xml:space="preserve"> stakleničkih plinova.</w:t>
      </w:r>
    </w:p>
    <w:p w14:paraId="5EDB02F7" w14:textId="77777777" w:rsidR="00522861" w:rsidRPr="006414E6" w:rsidRDefault="00522861" w:rsidP="00522861">
      <w:pPr>
        <w:pStyle w:val="NormalWeb"/>
        <w:rPr>
          <w:rFonts w:eastAsia="MS Mincho" w:cs="Times New Roman"/>
          <w:lang w:eastAsia="hr-HR"/>
        </w:rPr>
      </w:pPr>
      <w:r w:rsidRPr="006414E6">
        <w:rPr>
          <w:rFonts w:eastAsia="MS Mincho" w:cs="Times New Roman"/>
          <w:lang w:eastAsia="hr-HR"/>
        </w:rPr>
        <w:t>Prerađivačka industrija</w:t>
      </w:r>
    </w:p>
    <w:p w14:paraId="0BF54848" w14:textId="77777777" w:rsidR="00522861" w:rsidRPr="006414E6" w:rsidRDefault="00522861" w:rsidP="00522861">
      <w:pPr>
        <w:pStyle w:val="NormalWeb"/>
        <w:rPr>
          <w:rFonts w:eastAsia="MS Mincho" w:cs="Times New Roman"/>
          <w:lang w:eastAsia="hr-HR"/>
        </w:rPr>
      </w:pPr>
      <w:r w:rsidRPr="006414E6">
        <w:rPr>
          <w:rFonts w:eastAsia="MS Mincho" w:cs="Times New Roman"/>
          <w:lang w:eastAsia="hr-HR"/>
        </w:rPr>
        <w:t>Mjere za smanjenje emisija stakleničkih plinova iz potrošnje energije u industriji uključuju:</w:t>
      </w:r>
    </w:p>
    <w:p w14:paraId="23B669F8" w14:textId="77777777" w:rsidR="00522861" w:rsidRPr="006414E6" w:rsidRDefault="00522861" w:rsidP="003A2F37">
      <w:pPr>
        <w:pStyle w:val="NormalWeb"/>
        <w:numPr>
          <w:ilvl w:val="0"/>
          <w:numId w:val="73"/>
        </w:numPr>
        <w:rPr>
          <w:rFonts w:eastAsia="MS Mincho" w:cs="Times New Roman"/>
          <w:lang w:eastAsia="hr-HR"/>
        </w:rPr>
      </w:pPr>
      <w:r w:rsidRPr="006414E6">
        <w:rPr>
          <w:rFonts w:eastAsia="MS Mincho" w:cs="Times New Roman"/>
          <w:lang w:eastAsia="hr-HR"/>
        </w:rPr>
        <w:t>povećanje energetske učinkovitosti</w:t>
      </w:r>
    </w:p>
    <w:p w14:paraId="280C2065" w14:textId="77777777" w:rsidR="00522861" w:rsidRPr="006414E6" w:rsidRDefault="00522861" w:rsidP="003A2F37">
      <w:pPr>
        <w:pStyle w:val="NormalWeb"/>
        <w:numPr>
          <w:ilvl w:val="0"/>
          <w:numId w:val="73"/>
        </w:numPr>
        <w:rPr>
          <w:rFonts w:eastAsia="MS Mincho" w:cs="Times New Roman"/>
          <w:lang w:eastAsia="hr-HR"/>
        </w:rPr>
      </w:pPr>
      <w:r w:rsidRPr="006414E6">
        <w:rPr>
          <w:rFonts w:eastAsia="MS Mincho" w:cs="Times New Roman"/>
          <w:lang w:eastAsia="hr-HR"/>
        </w:rPr>
        <w:t>zamjenu energenata u industrijskim kogeneracijama/toplanama</w:t>
      </w:r>
    </w:p>
    <w:p w14:paraId="7443793D" w14:textId="77777777" w:rsidR="00522861" w:rsidRPr="006414E6" w:rsidRDefault="00522861" w:rsidP="003A2F37">
      <w:pPr>
        <w:pStyle w:val="NormalWeb"/>
        <w:numPr>
          <w:ilvl w:val="0"/>
          <w:numId w:val="73"/>
        </w:numPr>
        <w:rPr>
          <w:rFonts w:eastAsia="MS Mincho" w:cs="Times New Roman"/>
          <w:lang w:eastAsia="hr-HR"/>
        </w:rPr>
      </w:pPr>
      <w:r w:rsidRPr="006414E6">
        <w:rPr>
          <w:rFonts w:eastAsia="MS Mincho" w:cs="Times New Roman"/>
          <w:lang w:eastAsia="hr-HR"/>
        </w:rPr>
        <w:t xml:space="preserve">upotrebu biogoriva u </w:t>
      </w:r>
      <w:proofErr w:type="spellStart"/>
      <w:r w:rsidRPr="006414E6">
        <w:rPr>
          <w:rFonts w:eastAsia="MS Mincho" w:cs="Times New Roman"/>
          <w:lang w:eastAsia="hr-HR"/>
        </w:rPr>
        <w:t>vancestovnim</w:t>
      </w:r>
      <w:proofErr w:type="spellEnd"/>
      <w:r w:rsidRPr="006414E6">
        <w:rPr>
          <w:rFonts w:eastAsia="MS Mincho" w:cs="Times New Roman"/>
          <w:lang w:eastAsia="hr-HR"/>
        </w:rPr>
        <w:t xml:space="preserve"> vozilima.</w:t>
      </w:r>
    </w:p>
    <w:p w14:paraId="1766093B" w14:textId="77777777" w:rsidR="00522861" w:rsidRPr="006414E6" w:rsidRDefault="00522861" w:rsidP="00522861">
      <w:pPr>
        <w:pStyle w:val="NormalWeb"/>
        <w:rPr>
          <w:rFonts w:eastAsia="MS Mincho" w:cs="Times New Roman"/>
          <w:lang w:eastAsia="hr-HR"/>
        </w:rPr>
      </w:pPr>
      <w:r w:rsidRPr="006414E6">
        <w:rPr>
          <w:rFonts w:eastAsia="MS Mincho" w:cs="Times New Roman"/>
          <w:lang w:eastAsia="hr-HR"/>
        </w:rPr>
        <w:t>Procesne mjere za smanjenje emisija stakleničkih plinova iz industrijskih procesa:</w:t>
      </w:r>
    </w:p>
    <w:p w14:paraId="10DBFCD3" w14:textId="77777777" w:rsidR="00522861" w:rsidRPr="006414E6" w:rsidRDefault="00522861" w:rsidP="003A2F37">
      <w:pPr>
        <w:pStyle w:val="NormalWeb"/>
        <w:numPr>
          <w:ilvl w:val="0"/>
          <w:numId w:val="74"/>
        </w:numPr>
        <w:rPr>
          <w:rFonts w:eastAsia="MS Mincho" w:cs="Times New Roman"/>
          <w:lang w:eastAsia="hr-HR"/>
        </w:rPr>
      </w:pPr>
      <w:r w:rsidRPr="006414E6">
        <w:rPr>
          <w:rFonts w:eastAsia="MS Mincho" w:cs="Times New Roman"/>
          <w:lang w:eastAsia="hr-HR"/>
        </w:rPr>
        <w:t xml:space="preserve">postupno smanjenje udjela </w:t>
      </w:r>
      <w:proofErr w:type="spellStart"/>
      <w:r w:rsidRPr="006414E6">
        <w:rPr>
          <w:rFonts w:eastAsia="MS Mincho" w:cs="Times New Roman"/>
          <w:lang w:eastAsia="hr-HR"/>
        </w:rPr>
        <w:t>klinkera</w:t>
      </w:r>
      <w:proofErr w:type="spellEnd"/>
      <w:r w:rsidRPr="006414E6">
        <w:rPr>
          <w:rFonts w:eastAsia="MS Mincho" w:cs="Times New Roman"/>
          <w:lang w:eastAsia="hr-HR"/>
        </w:rPr>
        <w:t xml:space="preserve"> u proizvodnji cementa (u 2030. udio iznosi 65%, a u 2050. 50%).</w:t>
      </w:r>
    </w:p>
    <w:p w14:paraId="3BB72026" w14:textId="77777777" w:rsidR="00522861" w:rsidRPr="006414E6" w:rsidRDefault="00522861" w:rsidP="00522861">
      <w:pPr>
        <w:rPr>
          <w:rFonts w:cs="Times New Roman"/>
          <w:u w:val="single"/>
        </w:rPr>
      </w:pPr>
      <w:r w:rsidRPr="006414E6">
        <w:rPr>
          <w:rFonts w:cs="Times New Roman"/>
          <w:u w:val="single"/>
        </w:rPr>
        <w:t>Uporaba zamjenskih tvari za tvari koje oštećuju ozonski sloj</w:t>
      </w:r>
    </w:p>
    <w:p w14:paraId="2414EB56" w14:textId="77777777" w:rsidR="00522861" w:rsidRPr="006414E6" w:rsidRDefault="00522861" w:rsidP="00522861">
      <w:pPr>
        <w:rPr>
          <w:rFonts w:cs="Times New Roman"/>
        </w:rPr>
      </w:pPr>
      <w:r w:rsidRPr="006414E6">
        <w:rPr>
          <w:rFonts w:cs="Times New Roman"/>
        </w:rPr>
        <w:t xml:space="preserve">Scenarij NU1 uključuje intenzivnije smanjenje </w:t>
      </w:r>
      <w:proofErr w:type="spellStart"/>
      <w:r w:rsidRPr="006414E6">
        <w:rPr>
          <w:rFonts w:cs="Times New Roman"/>
        </w:rPr>
        <w:t>fluoriranih</w:t>
      </w:r>
      <w:proofErr w:type="spellEnd"/>
      <w:r w:rsidRPr="006414E6">
        <w:rPr>
          <w:rFonts w:cs="Times New Roman"/>
        </w:rPr>
        <w:t xml:space="preserve"> stakleničkih plinova dostupnih na tržištu nakon 2030. godine, u odnosu na NUR scenarij, sukladno stručnoj procjeni temeljenoj na nastavku trenda smanjenja </w:t>
      </w:r>
      <w:proofErr w:type="spellStart"/>
      <w:r w:rsidRPr="006414E6">
        <w:rPr>
          <w:rFonts w:cs="Times New Roman"/>
        </w:rPr>
        <w:t>fluoriranih</w:t>
      </w:r>
      <w:proofErr w:type="spellEnd"/>
      <w:r w:rsidRPr="006414E6">
        <w:rPr>
          <w:rFonts w:cs="Times New Roman"/>
        </w:rPr>
        <w:t xml:space="preserve"> stakleničkih plinova. U scenarij NU1 uključene su pretpostavke o broju vozila, što je povezano sa smanjenjem emisija </w:t>
      </w:r>
      <w:proofErr w:type="spellStart"/>
      <w:r w:rsidRPr="006414E6">
        <w:rPr>
          <w:rFonts w:cs="Times New Roman"/>
        </w:rPr>
        <w:t>fluoriranih</w:t>
      </w:r>
      <w:proofErr w:type="spellEnd"/>
      <w:r w:rsidRPr="006414E6">
        <w:rPr>
          <w:rFonts w:cs="Times New Roman"/>
        </w:rPr>
        <w:t xml:space="preserve"> stakleničkih plinova iz mobilnih sustava za klimatiziranje.</w:t>
      </w:r>
      <w:r w:rsidRPr="006414E6">
        <w:rPr>
          <w:rFonts w:eastAsia="MS Mincho" w:cs="Times New Roman"/>
          <w:szCs w:val="24"/>
          <w:lang w:eastAsia="ja-JP"/>
        </w:rPr>
        <w:t xml:space="preserve"> O</w:t>
      </w:r>
      <w:r w:rsidRPr="006414E6">
        <w:rPr>
          <w:rFonts w:cs="Times New Roman"/>
        </w:rPr>
        <w:t xml:space="preserve">graničavanje mogućnosti naknadne ugradnje klimatizacijske opreme oblikovane da sadrži </w:t>
      </w:r>
      <w:proofErr w:type="spellStart"/>
      <w:r w:rsidRPr="006414E6">
        <w:rPr>
          <w:rFonts w:cs="Times New Roman"/>
        </w:rPr>
        <w:t>fluorirane</w:t>
      </w:r>
      <w:proofErr w:type="spellEnd"/>
      <w:r w:rsidRPr="006414E6">
        <w:rPr>
          <w:rFonts w:cs="Times New Roman"/>
        </w:rPr>
        <w:t xml:space="preserve"> stakleničke plinove s potencijalom globalnog zagrijavanja iznad 150 u motorna vozila temeljena je na stručnoj procjeni, sukladno analizi grupe zemalja sličnih nacionalnih karakteristika.</w:t>
      </w:r>
    </w:p>
    <w:p w14:paraId="5B9A9A64" w14:textId="77777777" w:rsidR="00522861" w:rsidRPr="006414E6" w:rsidRDefault="00522861" w:rsidP="00F415A7">
      <w:pPr>
        <w:pStyle w:val="Heading2"/>
      </w:pPr>
      <w:bookmarkStart w:id="368" w:name="_Toc39133338"/>
      <w:r w:rsidRPr="006414E6">
        <w:t xml:space="preserve">II.3. </w:t>
      </w:r>
      <w:r w:rsidRPr="006414E6">
        <w:tab/>
        <w:t>PROMET</w:t>
      </w:r>
      <w:bookmarkEnd w:id="368"/>
    </w:p>
    <w:p w14:paraId="1058B9A3" w14:textId="77777777" w:rsidR="00522861" w:rsidRPr="006414E6" w:rsidRDefault="00522861" w:rsidP="00E57F72">
      <w:pPr>
        <w:rPr>
          <w:rFonts w:cs="Times New Roman"/>
        </w:rPr>
      </w:pPr>
      <w:r w:rsidRPr="006414E6">
        <w:rPr>
          <w:rFonts w:cs="Times New Roman"/>
        </w:rPr>
        <w:t xml:space="preserve">U sektoru prometa uključene su sljedeće pretpostavke i mjere u NU1 scenariju: </w:t>
      </w:r>
    </w:p>
    <w:p w14:paraId="56210A4D" w14:textId="77777777" w:rsidR="00522861" w:rsidRPr="006414E6" w:rsidRDefault="00522861" w:rsidP="00E57F72">
      <w:pPr>
        <w:pStyle w:val="ListParagraph"/>
        <w:numPr>
          <w:ilvl w:val="0"/>
          <w:numId w:val="75"/>
        </w:numPr>
        <w:spacing w:line="240" w:lineRule="auto"/>
        <w:rPr>
          <w:rFonts w:cs="Times New Roman"/>
        </w:rPr>
      </w:pPr>
      <w:r w:rsidRPr="006414E6">
        <w:rPr>
          <w:rFonts w:cs="Times New Roman"/>
        </w:rPr>
        <w:t>porast udjela električnih vozila na 35% od ukupnog broja automobila u 2050. godini, odnosno 762.700 električnih vozila u 2050. godini</w:t>
      </w:r>
    </w:p>
    <w:p w14:paraId="4C95147F" w14:textId="77777777" w:rsidR="00522861" w:rsidRPr="006414E6" w:rsidRDefault="00522861" w:rsidP="00E57F72">
      <w:pPr>
        <w:pStyle w:val="ListParagraph"/>
        <w:numPr>
          <w:ilvl w:val="0"/>
          <w:numId w:val="75"/>
        </w:numPr>
        <w:spacing w:line="240" w:lineRule="auto"/>
        <w:rPr>
          <w:rFonts w:cs="Times New Roman"/>
        </w:rPr>
      </w:pPr>
      <w:r w:rsidRPr="006414E6">
        <w:rPr>
          <w:rFonts w:cs="Times New Roman"/>
        </w:rPr>
        <w:t>porast broja hibridnih i plug-</w:t>
      </w:r>
      <w:proofErr w:type="spellStart"/>
      <w:r w:rsidRPr="006414E6">
        <w:rPr>
          <w:rFonts w:cs="Times New Roman"/>
        </w:rPr>
        <w:t>in</w:t>
      </w:r>
      <w:proofErr w:type="spellEnd"/>
      <w:r w:rsidRPr="006414E6">
        <w:rPr>
          <w:rFonts w:cs="Times New Roman"/>
        </w:rPr>
        <w:t xml:space="preserve"> hibridnih vozila na 20% (6% hibridnih i 14% plug-</w:t>
      </w:r>
      <w:proofErr w:type="spellStart"/>
      <w:r w:rsidRPr="006414E6">
        <w:rPr>
          <w:rFonts w:cs="Times New Roman"/>
        </w:rPr>
        <w:t>in</w:t>
      </w:r>
      <w:proofErr w:type="spellEnd"/>
      <w:r w:rsidRPr="006414E6">
        <w:rPr>
          <w:rFonts w:cs="Times New Roman"/>
        </w:rPr>
        <w:t xml:space="preserve"> hibridnih) od ukupnog broja osobnih vozila do 2050. godine, čime bi broj hibridnih i plug-</w:t>
      </w:r>
      <w:proofErr w:type="spellStart"/>
      <w:r w:rsidRPr="006414E6">
        <w:rPr>
          <w:rFonts w:cs="Times New Roman"/>
        </w:rPr>
        <w:t>in</w:t>
      </w:r>
      <w:proofErr w:type="spellEnd"/>
      <w:r w:rsidRPr="006414E6">
        <w:rPr>
          <w:rFonts w:cs="Times New Roman"/>
        </w:rPr>
        <w:t xml:space="preserve"> hibridnih vozila u 2030. godini iznosio oko 70.000, a u 2050. godini broj vozila za obadvije kategorije bi iznosio ukupno 449.000 vozila.</w:t>
      </w:r>
    </w:p>
    <w:p w14:paraId="0E4034E4" w14:textId="77777777" w:rsidR="00522861" w:rsidRPr="006414E6" w:rsidRDefault="00522861" w:rsidP="003A2F37">
      <w:pPr>
        <w:pStyle w:val="ListParagraph"/>
        <w:numPr>
          <w:ilvl w:val="0"/>
          <w:numId w:val="75"/>
        </w:numPr>
        <w:spacing w:line="240" w:lineRule="auto"/>
        <w:rPr>
          <w:rFonts w:cs="Times New Roman"/>
        </w:rPr>
      </w:pPr>
      <w:r w:rsidRPr="006414E6">
        <w:rPr>
          <w:rFonts w:cs="Times New Roman"/>
        </w:rPr>
        <w:t>porast broja vozila koja koriste vodik nakon 2030. godine na 1,4% od ukupnog broja osobnih vozila, odnosno na oko 31.000 vozila u 2050. godini</w:t>
      </w:r>
    </w:p>
    <w:p w14:paraId="5039BFC1" w14:textId="77777777" w:rsidR="00522861" w:rsidRPr="006414E6" w:rsidRDefault="00522861" w:rsidP="003A2F37">
      <w:pPr>
        <w:pStyle w:val="ListParagraph"/>
        <w:numPr>
          <w:ilvl w:val="0"/>
          <w:numId w:val="75"/>
        </w:numPr>
        <w:spacing w:line="240" w:lineRule="auto"/>
        <w:rPr>
          <w:rFonts w:cs="Times New Roman"/>
        </w:rPr>
      </w:pPr>
      <w:r w:rsidRPr="006414E6">
        <w:rPr>
          <w:rFonts w:cs="Times New Roman"/>
        </w:rPr>
        <w:t>porast udjela biogoriva u benzinskim i dizelskim gorivima na prosječnih 12% do 2050. godine</w:t>
      </w:r>
    </w:p>
    <w:p w14:paraId="527E4067" w14:textId="77777777" w:rsidR="00522861" w:rsidRPr="006414E6" w:rsidRDefault="00522861" w:rsidP="003A2F37">
      <w:pPr>
        <w:pStyle w:val="ListParagraph"/>
        <w:numPr>
          <w:ilvl w:val="0"/>
          <w:numId w:val="75"/>
        </w:numPr>
        <w:spacing w:line="240" w:lineRule="auto"/>
        <w:rPr>
          <w:rFonts w:cs="Times New Roman"/>
        </w:rPr>
      </w:pPr>
      <w:r w:rsidRPr="006414E6">
        <w:rPr>
          <w:rFonts w:cs="Times New Roman"/>
        </w:rPr>
        <w:t xml:space="preserve">popularizacija integriranog i </w:t>
      </w:r>
      <w:proofErr w:type="spellStart"/>
      <w:r w:rsidRPr="006414E6">
        <w:rPr>
          <w:rFonts w:cs="Times New Roman"/>
        </w:rPr>
        <w:t>intermodalnog</w:t>
      </w:r>
      <w:proofErr w:type="spellEnd"/>
      <w:r w:rsidRPr="006414E6">
        <w:rPr>
          <w:rFonts w:cs="Times New Roman"/>
        </w:rPr>
        <w:t xml:space="preserve"> gradskog i međugradskog prometa s naglaskom na razvoj željeznice za prijevoz tereta, (rast na oko 25% u 2050. godini), pri čemu se očekuje sukcesivno uvođenje električnih lokomotiva umjesto dizelskih</w:t>
      </w:r>
    </w:p>
    <w:p w14:paraId="5079A1D5" w14:textId="77777777" w:rsidR="00522861" w:rsidRPr="006414E6" w:rsidRDefault="00522861" w:rsidP="003A2F37">
      <w:pPr>
        <w:pStyle w:val="ListParagraph"/>
        <w:numPr>
          <w:ilvl w:val="0"/>
          <w:numId w:val="75"/>
        </w:numPr>
        <w:spacing w:line="240" w:lineRule="auto"/>
        <w:rPr>
          <w:rFonts w:cs="Times New Roman"/>
        </w:rPr>
      </w:pPr>
      <w:r w:rsidRPr="006414E6">
        <w:rPr>
          <w:rFonts w:cs="Times New Roman"/>
        </w:rPr>
        <w:t xml:space="preserve">u pomorskom prometu pretpostavlja se da će u 2050. godini udio biogoriva iznositi 20%, </w:t>
      </w:r>
      <w:proofErr w:type="spellStart"/>
      <w:r w:rsidRPr="006414E6">
        <w:rPr>
          <w:rFonts w:cs="Times New Roman"/>
        </w:rPr>
        <w:t>UPP</w:t>
      </w:r>
      <w:proofErr w:type="spellEnd"/>
      <w:r w:rsidRPr="006414E6">
        <w:rPr>
          <w:rFonts w:cs="Times New Roman"/>
        </w:rPr>
        <w:t>-a 5%.</w:t>
      </w:r>
    </w:p>
    <w:p w14:paraId="3C0CB7D5" w14:textId="77777777" w:rsidR="00522861" w:rsidRPr="006414E6" w:rsidRDefault="00522861" w:rsidP="00F415A7">
      <w:pPr>
        <w:pStyle w:val="Heading2"/>
      </w:pPr>
      <w:bookmarkStart w:id="369" w:name="_Toc39133339"/>
      <w:r w:rsidRPr="006414E6">
        <w:t xml:space="preserve">II.4. </w:t>
      </w:r>
      <w:r w:rsidRPr="006414E6">
        <w:tab/>
        <w:t>SEKTOR OPĆE POTROŠNJE</w:t>
      </w:r>
      <w:bookmarkEnd w:id="369"/>
    </w:p>
    <w:p w14:paraId="311ADC9D" w14:textId="77777777" w:rsidR="00522861" w:rsidRPr="006414E6" w:rsidRDefault="00522861" w:rsidP="00522861">
      <w:pPr>
        <w:rPr>
          <w:rFonts w:cs="Times New Roman"/>
        </w:rPr>
      </w:pPr>
      <w:r w:rsidRPr="006414E6">
        <w:rPr>
          <w:rFonts w:cs="Times New Roman"/>
        </w:rPr>
        <w:t>U NU1 scenariju za dostizanje ciljeva uključene su sljedeće mjere:</w:t>
      </w:r>
    </w:p>
    <w:p w14:paraId="6117425A" w14:textId="77777777" w:rsidR="00522861" w:rsidRPr="006414E6" w:rsidRDefault="00522861" w:rsidP="003A2F37">
      <w:pPr>
        <w:pStyle w:val="ListParagraph"/>
        <w:numPr>
          <w:ilvl w:val="0"/>
          <w:numId w:val="76"/>
        </w:numPr>
        <w:spacing w:line="240" w:lineRule="auto"/>
        <w:rPr>
          <w:rFonts w:cs="Times New Roman"/>
        </w:rPr>
      </w:pPr>
      <w:r w:rsidRPr="006414E6">
        <w:rPr>
          <w:rFonts w:cs="Times New Roman"/>
        </w:rPr>
        <w:lastRenderedPageBreak/>
        <w:t xml:space="preserve">najznačajniji doprinos smanjenju potrošnji energije daje energetska obnova zgrada – obnova postojećeg fonda zgrada, prikladnog za obnovu, po godišnjoj stopi od 1,6% </w:t>
      </w:r>
    </w:p>
    <w:p w14:paraId="54595CAC" w14:textId="77777777" w:rsidR="00522861" w:rsidRPr="006414E6" w:rsidRDefault="00522861" w:rsidP="003A2F37">
      <w:pPr>
        <w:pStyle w:val="ListParagraph"/>
        <w:numPr>
          <w:ilvl w:val="1"/>
          <w:numId w:val="77"/>
        </w:numPr>
        <w:spacing w:line="240" w:lineRule="auto"/>
        <w:ind w:left="1071" w:hanging="357"/>
        <w:rPr>
          <w:rFonts w:cs="Times New Roman"/>
        </w:rPr>
      </w:pPr>
      <w:r w:rsidRPr="006414E6">
        <w:rPr>
          <w:rFonts w:cs="Times New Roman"/>
        </w:rPr>
        <w:t>u sektoru kućanstava previđa se obnova oko 10.000 stambenih jedinica godišnje.</w:t>
      </w:r>
    </w:p>
    <w:p w14:paraId="0345147F" w14:textId="77777777" w:rsidR="00522861" w:rsidRPr="006414E6" w:rsidRDefault="00522861" w:rsidP="003A2F37">
      <w:pPr>
        <w:pStyle w:val="ListParagraph"/>
        <w:numPr>
          <w:ilvl w:val="0"/>
          <w:numId w:val="76"/>
        </w:numPr>
        <w:spacing w:line="240" w:lineRule="auto"/>
        <w:rPr>
          <w:rFonts w:cs="Times New Roman"/>
        </w:rPr>
      </w:pPr>
      <w:r w:rsidRPr="006414E6">
        <w:rPr>
          <w:rFonts w:cs="Times New Roman"/>
        </w:rPr>
        <w:t>penetracija električne energije za toplinske namjene je snažno prisutna</w:t>
      </w:r>
    </w:p>
    <w:p w14:paraId="0C2FEFBB" w14:textId="77777777" w:rsidR="00522861" w:rsidRPr="006414E6" w:rsidRDefault="00522861" w:rsidP="003A2F37">
      <w:pPr>
        <w:pStyle w:val="ListParagraph"/>
        <w:numPr>
          <w:ilvl w:val="0"/>
          <w:numId w:val="76"/>
        </w:numPr>
        <w:spacing w:line="240" w:lineRule="auto"/>
        <w:rPr>
          <w:rFonts w:cs="Times New Roman"/>
        </w:rPr>
      </w:pPr>
      <w:r w:rsidRPr="006414E6">
        <w:rPr>
          <w:rFonts w:cs="Times New Roman"/>
        </w:rPr>
        <w:t>do 2050. godine 36% stambenog fonda su novoizgrađene stambene jedince, a 21% stambenih jedinica ima poboljšanu toplinsku izolaciju u odnosu na 2016. godinu, što rezultira specifičnom potrošnjom 67 kWh/m</w:t>
      </w:r>
      <w:r w:rsidRPr="006414E6">
        <w:rPr>
          <w:rFonts w:cs="Times New Roman"/>
          <w:vertAlign w:val="superscript"/>
        </w:rPr>
        <w:t>2</w:t>
      </w:r>
      <w:r w:rsidRPr="006414E6">
        <w:rPr>
          <w:rFonts w:cs="Times New Roman"/>
        </w:rPr>
        <w:t xml:space="preserve"> grijane površine</w:t>
      </w:r>
    </w:p>
    <w:p w14:paraId="260C9721" w14:textId="77777777" w:rsidR="00522861" w:rsidRPr="006414E6" w:rsidRDefault="00522861" w:rsidP="003A2F37">
      <w:pPr>
        <w:pStyle w:val="ListParagraph"/>
        <w:numPr>
          <w:ilvl w:val="0"/>
          <w:numId w:val="76"/>
        </w:numPr>
        <w:spacing w:line="240" w:lineRule="auto"/>
        <w:rPr>
          <w:rFonts w:cs="Times New Roman"/>
        </w:rPr>
      </w:pPr>
      <w:r w:rsidRPr="006414E6">
        <w:rPr>
          <w:rFonts w:cs="Times New Roman"/>
        </w:rPr>
        <w:t>struktura energenata za grijanje u kućanstvima u 2050. godini je 43% biomasa (pri čemu je 27% moderna biomasa, a ostalo ogrjevno drvo), 19% dizalice topline, 10% daljinsko grijanje te prirodni plin 29%</w:t>
      </w:r>
    </w:p>
    <w:p w14:paraId="4C0E8E51" w14:textId="77777777" w:rsidR="00522861" w:rsidRPr="006414E6" w:rsidRDefault="00522861" w:rsidP="003A2F37">
      <w:pPr>
        <w:pStyle w:val="ListParagraph"/>
        <w:numPr>
          <w:ilvl w:val="0"/>
          <w:numId w:val="76"/>
        </w:numPr>
        <w:spacing w:line="240" w:lineRule="auto"/>
        <w:rPr>
          <w:rFonts w:cs="Times New Roman"/>
        </w:rPr>
      </w:pPr>
      <w:r w:rsidRPr="006414E6">
        <w:rPr>
          <w:rFonts w:cs="Times New Roman"/>
        </w:rPr>
        <w:t>toplinske potrebe u uslužnom sektoru do 2050. godine svode se na 55 kWh/m</w:t>
      </w:r>
      <w:r w:rsidRPr="006414E6">
        <w:rPr>
          <w:rFonts w:cs="Times New Roman"/>
          <w:vertAlign w:val="superscript"/>
        </w:rPr>
        <w:t>2</w:t>
      </w:r>
      <w:r w:rsidRPr="006414E6">
        <w:rPr>
          <w:rFonts w:cs="Times New Roman"/>
        </w:rPr>
        <w:t xml:space="preserve"> grijane površine.</w:t>
      </w:r>
    </w:p>
    <w:p w14:paraId="10F259CB" w14:textId="77777777" w:rsidR="00522861" w:rsidRPr="006414E6" w:rsidRDefault="00522861" w:rsidP="00F415A7">
      <w:pPr>
        <w:pStyle w:val="Heading2"/>
      </w:pPr>
      <w:bookmarkStart w:id="370" w:name="_Toc39133340"/>
      <w:r w:rsidRPr="006414E6">
        <w:t xml:space="preserve">II.5. </w:t>
      </w:r>
      <w:r w:rsidRPr="006414E6">
        <w:tab/>
        <w:t>POLJOPRIVREDA</w:t>
      </w:r>
      <w:bookmarkEnd w:id="370"/>
    </w:p>
    <w:p w14:paraId="02E8EE47" w14:textId="77777777" w:rsidR="00522861" w:rsidRPr="006414E6" w:rsidRDefault="00522861" w:rsidP="00522861">
      <w:pPr>
        <w:rPr>
          <w:rFonts w:cs="Times New Roman"/>
        </w:rPr>
      </w:pPr>
      <w:r w:rsidRPr="006414E6">
        <w:rPr>
          <w:rFonts w:cs="Times New Roman"/>
        </w:rPr>
        <w:t>Pozitivan utjecaj primjene mjera na ukupnu emisiju stakleničkih plinova u sektoru poljoprivrede  očituje se kroz izravno smanjenje emisija metana i dušikovih spojeva. Mjere uključene pri formiranju NU1 scenarija poljoprivrede u odnosu na NUR scenarij:</w:t>
      </w:r>
    </w:p>
    <w:p w14:paraId="3BC9E51B" w14:textId="77777777" w:rsidR="00522861" w:rsidRPr="006414E6" w:rsidRDefault="00522861" w:rsidP="003A2F37">
      <w:pPr>
        <w:pStyle w:val="ListParagraph"/>
        <w:numPr>
          <w:ilvl w:val="0"/>
          <w:numId w:val="78"/>
        </w:numPr>
        <w:rPr>
          <w:rFonts w:cs="Times New Roman"/>
        </w:rPr>
      </w:pPr>
      <w:r w:rsidRPr="006414E6">
        <w:rPr>
          <w:rFonts w:cs="Times New Roman"/>
        </w:rPr>
        <w:t>Promjena režima ishrane goveda i svinja te kvalitete stočne hrane</w:t>
      </w:r>
    </w:p>
    <w:p w14:paraId="4B66FEE5" w14:textId="77777777" w:rsidR="00522861" w:rsidRPr="006414E6" w:rsidRDefault="00522861" w:rsidP="003A2F37">
      <w:pPr>
        <w:pStyle w:val="ListParagraph"/>
        <w:numPr>
          <w:ilvl w:val="0"/>
          <w:numId w:val="78"/>
        </w:numPr>
        <w:rPr>
          <w:rFonts w:cs="Times New Roman"/>
        </w:rPr>
      </w:pPr>
      <w:r w:rsidRPr="006414E6">
        <w:rPr>
          <w:rFonts w:cs="Times New Roman"/>
        </w:rPr>
        <w:t>Anaerobna razgradnja stajskog gnoja i proizvodnja bioplina</w:t>
      </w:r>
    </w:p>
    <w:p w14:paraId="494D78F9" w14:textId="77777777" w:rsidR="00522861" w:rsidRPr="006414E6" w:rsidRDefault="00522861" w:rsidP="003A2F37">
      <w:pPr>
        <w:pStyle w:val="ListParagraph"/>
        <w:numPr>
          <w:ilvl w:val="0"/>
          <w:numId w:val="78"/>
        </w:numPr>
        <w:rPr>
          <w:rFonts w:cs="Times New Roman"/>
        </w:rPr>
      </w:pPr>
      <w:r w:rsidRPr="006414E6">
        <w:rPr>
          <w:rFonts w:cs="Times New Roman"/>
        </w:rPr>
        <w:t>Poboljšanje objekata ili nastambi kao i sustava gospodarenja stajskim gnojem</w:t>
      </w:r>
    </w:p>
    <w:p w14:paraId="3C26C3DF" w14:textId="77777777" w:rsidR="00522861" w:rsidRPr="006414E6" w:rsidRDefault="00522861" w:rsidP="003A2F37">
      <w:pPr>
        <w:pStyle w:val="ListParagraph"/>
        <w:numPr>
          <w:ilvl w:val="0"/>
          <w:numId w:val="78"/>
        </w:numPr>
        <w:rPr>
          <w:rFonts w:cs="Times New Roman"/>
        </w:rPr>
      </w:pPr>
      <w:r w:rsidRPr="006414E6">
        <w:rPr>
          <w:rFonts w:cs="Times New Roman"/>
        </w:rPr>
        <w:t>Poboljšanje načina primjene mineralnih gnojiva</w:t>
      </w:r>
    </w:p>
    <w:p w14:paraId="36350C91" w14:textId="77777777" w:rsidR="00522861" w:rsidRPr="006414E6" w:rsidRDefault="00522861" w:rsidP="003A2F37">
      <w:pPr>
        <w:pStyle w:val="ListParagraph"/>
        <w:numPr>
          <w:ilvl w:val="0"/>
          <w:numId w:val="78"/>
        </w:numPr>
        <w:rPr>
          <w:rFonts w:cs="Times New Roman"/>
        </w:rPr>
      </w:pPr>
      <w:proofErr w:type="spellStart"/>
      <w:r w:rsidRPr="006414E6">
        <w:rPr>
          <w:rFonts w:cs="Times New Roman"/>
        </w:rPr>
        <w:t>Hidromelioracijski</w:t>
      </w:r>
      <w:proofErr w:type="spellEnd"/>
      <w:r w:rsidRPr="006414E6">
        <w:rPr>
          <w:rFonts w:cs="Times New Roman"/>
        </w:rPr>
        <w:t xml:space="preserve"> zahvati i sustavi zaštite od nepogoda</w:t>
      </w:r>
    </w:p>
    <w:p w14:paraId="2C2FE640" w14:textId="77777777" w:rsidR="00522861" w:rsidRPr="006414E6" w:rsidRDefault="00522861" w:rsidP="003A2F37">
      <w:pPr>
        <w:pStyle w:val="ListParagraph"/>
        <w:numPr>
          <w:ilvl w:val="0"/>
          <w:numId w:val="78"/>
        </w:numPr>
        <w:rPr>
          <w:rFonts w:cs="Times New Roman"/>
        </w:rPr>
      </w:pPr>
      <w:r w:rsidRPr="006414E6">
        <w:rPr>
          <w:rFonts w:cs="Times New Roman"/>
        </w:rPr>
        <w:t>Uvođenje novih kultivara, sorti i kultura.</w:t>
      </w:r>
    </w:p>
    <w:p w14:paraId="6ED72D7E" w14:textId="77777777" w:rsidR="00522861" w:rsidRPr="006414E6" w:rsidRDefault="00522861" w:rsidP="00522861">
      <w:pPr>
        <w:rPr>
          <w:rFonts w:cs="Times New Roman"/>
        </w:rPr>
      </w:pPr>
      <w:r w:rsidRPr="006414E6">
        <w:rPr>
          <w:rFonts w:cs="Times New Roman"/>
        </w:rPr>
        <w:t xml:space="preserve">Za procjenu potencijalnog umanjenja ukupnih emisija kroz povećanje organskog ugljika u tlu primjenom dodatnog seta mjera potrebno je provesti nacionalna istraživanja s ciljem definiranja stvarnih potencijala za povećavanje ponora ugljika u poljoprivrednim tlima u Republici Hrvatskoj, posebice odnos sustava reducirane obrade tla s obzirom na </w:t>
      </w:r>
      <w:proofErr w:type="spellStart"/>
      <w:r w:rsidRPr="006414E6">
        <w:rPr>
          <w:rFonts w:cs="Times New Roman"/>
        </w:rPr>
        <w:t>gnojidbene</w:t>
      </w:r>
      <w:proofErr w:type="spellEnd"/>
      <w:r w:rsidRPr="006414E6">
        <w:rPr>
          <w:rFonts w:cs="Times New Roman"/>
        </w:rPr>
        <w:t xml:space="preserve"> preporuke, te nastaviti istraživanje potencijala za primjenu ovisno o uzgojnoj kulturi. Mjere koje imaju potencijal za povećavanje sekvestracije ugljika:</w:t>
      </w:r>
    </w:p>
    <w:p w14:paraId="23A984FD" w14:textId="77777777" w:rsidR="00522861" w:rsidRPr="006414E6" w:rsidRDefault="00522861" w:rsidP="003A2F37">
      <w:pPr>
        <w:pStyle w:val="ListParagraph"/>
        <w:numPr>
          <w:ilvl w:val="0"/>
          <w:numId w:val="78"/>
        </w:numPr>
        <w:rPr>
          <w:rFonts w:cs="Times New Roman"/>
        </w:rPr>
      </w:pPr>
      <w:r w:rsidRPr="006414E6">
        <w:rPr>
          <w:rFonts w:cs="Times New Roman"/>
        </w:rPr>
        <w:t>Unaprjeđivanje i promjena sustava obrade tla (reducirana obrada)</w:t>
      </w:r>
    </w:p>
    <w:p w14:paraId="395FA0E6" w14:textId="77777777" w:rsidR="00522861" w:rsidRPr="006414E6" w:rsidRDefault="00522861" w:rsidP="003A2F37">
      <w:pPr>
        <w:pStyle w:val="ListParagraph"/>
        <w:numPr>
          <w:ilvl w:val="0"/>
          <w:numId w:val="78"/>
        </w:numPr>
        <w:rPr>
          <w:rFonts w:cs="Times New Roman"/>
        </w:rPr>
      </w:pPr>
      <w:r w:rsidRPr="006414E6">
        <w:rPr>
          <w:rFonts w:cs="Times New Roman"/>
        </w:rPr>
        <w:t>Proširenje plodoreda s većim učešćem leguminoza</w:t>
      </w:r>
    </w:p>
    <w:p w14:paraId="24AC59DE" w14:textId="77777777" w:rsidR="00522861" w:rsidRPr="006414E6" w:rsidRDefault="00522861" w:rsidP="003A2F37">
      <w:pPr>
        <w:pStyle w:val="ListParagraph"/>
        <w:numPr>
          <w:ilvl w:val="0"/>
          <w:numId w:val="78"/>
        </w:numPr>
        <w:rPr>
          <w:rFonts w:cs="Times New Roman"/>
        </w:rPr>
      </w:pPr>
      <w:r w:rsidRPr="006414E6">
        <w:rPr>
          <w:rFonts w:cs="Times New Roman"/>
        </w:rPr>
        <w:t xml:space="preserve">Intenziviranje plodoreda korištenjem </w:t>
      </w:r>
      <w:proofErr w:type="spellStart"/>
      <w:r w:rsidRPr="006414E6">
        <w:rPr>
          <w:rFonts w:cs="Times New Roman"/>
        </w:rPr>
        <w:t>međuusjeva</w:t>
      </w:r>
      <w:proofErr w:type="spellEnd"/>
    </w:p>
    <w:p w14:paraId="030069FA" w14:textId="77777777" w:rsidR="00522861" w:rsidRPr="006414E6" w:rsidRDefault="00522861" w:rsidP="003A2F37">
      <w:pPr>
        <w:pStyle w:val="ListParagraph"/>
        <w:numPr>
          <w:ilvl w:val="0"/>
          <w:numId w:val="78"/>
        </w:numPr>
        <w:rPr>
          <w:rFonts w:cs="Times New Roman"/>
        </w:rPr>
      </w:pPr>
      <w:r w:rsidRPr="006414E6">
        <w:rPr>
          <w:rFonts w:cs="Times New Roman"/>
        </w:rPr>
        <w:t>Poboljšanje načina primjene organskih gnojiva</w:t>
      </w:r>
    </w:p>
    <w:p w14:paraId="41EE4482" w14:textId="77777777" w:rsidR="00522861" w:rsidRPr="006414E6" w:rsidRDefault="00522861" w:rsidP="003A2F37">
      <w:pPr>
        <w:pStyle w:val="ListParagraph"/>
        <w:numPr>
          <w:ilvl w:val="0"/>
          <w:numId w:val="78"/>
        </w:numPr>
        <w:rPr>
          <w:rFonts w:cs="Times New Roman"/>
        </w:rPr>
      </w:pPr>
      <w:proofErr w:type="spellStart"/>
      <w:r w:rsidRPr="006414E6">
        <w:rPr>
          <w:rFonts w:cs="Times New Roman"/>
        </w:rPr>
        <w:t>Agrošumarstvo</w:t>
      </w:r>
      <w:proofErr w:type="spellEnd"/>
      <w:r w:rsidRPr="006414E6">
        <w:rPr>
          <w:rFonts w:cs="Times New Roman"/>
        </w:rPr>
        <w:t>.</w:t>
      </w:r>
    </w:p>
    <w:p w14:paraId="2894724C" w14:textId="77777777" w:rsidR="00522861" w:rsidRPr="006414E6" w:rsidRDefault="00522861" w:rsidP="00F415A7">
      <w:pPr>
        <w:pStyle w:val="Heading2"/>
      </w:pPr>
      <w:bookmarkStart w:id="371" w:name="_Toc39133341"/>
      <w:r w:rsidRPr="006414E6">
        <w:t xml:space="preserve">II.6. </w:t>
      </w:r>
      <w:r w:rsidRPr="006414E6">
        <w:tab/>
        <w:t>GOSPODARENJE OTPADOM</w:t>
      </w:r>
      <w:bookmarkEnd w:id="371"/>
    </w:p>
    <w:p w14:paraId="0942770C" w14:textId="77777777" w:rsidR="00522861" w:rsidRPr="006414E6" w:rsidRDefault="00522861" w:rsidP="00522861">
      <w:pPr>
        <w:rPr>
          <w:rFonts w:cs="Times New Roman"/>
        </w:rPr>
      </w:pPr>
      <w:r w:rsidRPr="006414E6">
        <w:rPr>
          <w:rFonts w:cs="Times New Roman"/>
        </w:rPr>
        <w:t>Scenarij NU1 jednak je scenariju NUR budući nisu raspoznate dodatne mjere za smanjenje emisija. Usporedbenom analizom grupe zemalja sličnih nacionalnih karakteristika utvrđeno je da nacionalno zakonodavstvo, koje je usklađeno s EU zakonodavstvom, propisuje mjere koje sve države članice moraju implementirati do određenog roka te ih razmatraju u okviru scenarija s mjerama (što odgovara NUR scenariju).</w:t>
      </w:r>
    </w:p>
    <w:p w14:paraId="38C619FE" w14:textId="21760278" w:rsidR="00522861" w:rsidRPr="00E57F72" w:rsidRDefault="00311FED" w:rsidP="00F415A7">
      <w:pPr>
        <w:pStyle w:val="Heading1"/>
      </w:pPr>
      <w:bookmarkStart w:id="372" w:name="_Toc33417212"/>
      <w:bookmarkStart w:id="373" w:name="_Toc39133342"/>
      <w:r w:rsidRPr="00E57F72">
        <w:t>PRILOG III</w:t>
      </w:r>
      <w:r w:rsidR="00E530A4" w:rsidRPr="00E57F72">
        <w:t>.</w:t>
      </w:r>
      <w:r w:rsidR="007937D9" w:rsidRPr="00E57F72">
        <w:t xml:space="preserve">  -  </w:t>
      </w:r>
      <w:r w:rsidR="00522861" w:rsidRPr="00E57F72">
        <w:t>OPIS NISKOUGLJIČNOG SCENARIJA SNAŽNE TRANZICIJE</w:t>
      </w:r>
      <w:bookmarkEnd w:id="365"/>
      <w:bookmarkEnd w:id="366"/>
      <w:r w:rsidR="00522861" w:rsidRPr="00E57F72">
        <w:t xml:space="preserve"> (NU2)</w:t>
      </w:r>
      <w:bookmarkEnd w:id="372"/>
      <w:bookmarkEnd w:id="373"/>
    </w:p>
    <w:p w14:paraId="03FD87B9" w14:textId="77777777" w:rsidR="00522861" w:rsidRPr="006414E6" w:rsidRDefault="00522861" w:rsidP="00F415A7">
      <w:pPr>
        <w:pStyle w:val="Heading2"/>
      </w:pPr>
      <w:bookmarkStart w:id="374" w:name="_Toc39133343"/>
      <w:bookmarkStart w:id="375" w:name="_Toc20841330"/>
      <w:bookmarkStart w:id="376" w:name="_Toc20841436"/>
      <w:r w:rsidRPr="006414E6">
        <w:t xml:space="preserve">III.1. </w:t>
      </w:r>
      <w:r w:rsidRPr="006414E6">
        <w:tab/>
        <w:t>ENERGETSKA POSTROJENJA</w:t>
      </w:r>
      <w:bookmarkEnd w:id="374"/>
    </w:p>
    <w:p w14:paraId="00A6A59B" w14:textId="77777777" w:rsidR="00522861" w:rsidRPr="006414E6" w:rsidRDefault="00522861" w:rsidP="00522861">
      <w:pPr>
        <w:rPr>
          <w:rFonts w:cs="Times New Roman"/>
          <w:u w:val="single"/>
        </w:rPr>
      </w:pPr>
      <w:r w:rsidRPr="006414E6">
        <w:rPr>
          <w:rFonts w:cs="Times New Roman"/>
          <w:u w:val="single"/>
        </w:rPr>
        <w:t>Neposredna potrošnja energije</w:t>
      </w:r>
    </w:p>
    <w:p w14:paraId="6EE6DB08" w14:textId="77777777" w:rsidR="00522861" w:rsidRPr="006414E6" w:rsidRDefault="00522861" w:rsidP="00522861">
      <w:pPr>
        <w:rPr>
          <w:rFonts w:cs="Times New Roman"/>
        </w:rPr>
      </w:pPr>
      <w:r w:rsidRPr="006414E6">
        <w:rPr>
          <w:rFonts w:cs="Times New Roman"/>
        </w:rPr>
        <w:lastRenderedPageBreak/>
        <w:t>U Scenariju snažne tranzicije (NU2), neposredna potrošnja energije do 2030. godine smanjuje se za ukupno 4%, a zatim za 33% do 2050. godine, promatrano u odnosu na sadašnju razinu (2018. godina) neposredne potrošnje energije.</w:t>
      </w:r>
    </w:p>
    <w:p w14:paraId="6FB5D0BB" w14:textId="77777777" w:rsidR="00522861" w:rsidRPr="006414E6" w:rsidRDefault="00522861" w:rsidP="00522861">
      <w:pPr>
        <w:rPr>
          <w:rFonts w:cs="Times New Roman"/>
        </w:rPr>
      </w:pPr>
      <w:r w:rsidRPr="006414E6">
        <w:rPr>
          <w:rFonts w:cs="Times New Roman"/>
        </w:rPr>
        <w:t>Mijenja se struktura utrošenih oblika energije. Očekuje se porast udjela električne energije i vodika, a smanjuje se udio prirodnog plina te krutih i tekućih fosilnih goriva. Ukupni udio fosilnih goriva opada na 53,8% u 2030. godini i na 32,0% u 2050. godini.</w:t>
      </w:r>
    </w:p>
    <w:p w14:paraId="3058AC99" w14:textId="77777777" w:rsidR="00522861" w:rsidRPr="006414E6" w:rsidRDefault="00522861" w:rsidP="00522861">
      <w:pPr>
        <w:rPr>
          <w:rFonts w:cs="Times New Roman"/>
        </w:rPr>
      </w:pPr>
      <w:r w:rsidRPr="006414E6">
        <w:rPr>
          <w:rFonts w:cs="Times New Roman"/>
        </w:rPr>
        <w:t xml:space="preserve">Neposredna potrošnja energije u svim granama (industrija, promet, opća potrošnja) se smanjuje tijekom cijelog promatranog razdoblja. </w:t>
      </w:r>
    </w:p>
    <w:p w14:paraId="05C3091C" w14:textId="77777777" w:rsidR="00522861" w:rsidRPr="006414E6" w:rsidRDefault="00522861" w:rsidP="00522861">
      <w:pPr>
        <w:rPr>
          <w:rFonts w:cs="Times New Roman"/>
        </w:rPr>
      </w:pPr>
      <w:r w:rsidRPr="006414E6">
        <w:rPr>
          <w:rFonts w:cs="Times New Roman"/>
        </w:rPr>
        <w:t>U tablici III.1-1 i tablici III.1-2 prikazane su projekcije neposredne potrošnje energije u NU2 scenariju.</w:t>
      </w:r>
    </w:p>
    <w:p w14:paraId="2EA341BE" w14:textId="77777777" w:rsidR="00522861" w:rsidRPr="006414E6" w:rsidRDefault="00522861" w:rsidP="00522861">
      <w:pPr>
        <w:rPr>
          <w:rFonts w:cs="Times New Roman"/>
          <w:i/>
        </w:rPr>
      </w:pPr>
      <w:r w:rsidRPr="006414E6">
        <w:rPr>
          <w:rFonts w:cs="Times New Roman"/>
          <w:i/>
        </w:rPr>
        <w:t>Tablica III.1-1: Neposredna potrošnja energije po gorivima, NU2</w:t>
      </w:r>
    </w:p>
    <w:tbl>
      <w:tblPr>
        <w:tblW w:w="7086" w:type="dxa"/>
        <w:tblLook w:val="04A0" w:firstRow="1" w:lastRow="0" w:firstColumn="1" w:lastColumn="0" w:noHBand="0" w:noVBand="1"/>
      </w:tblPr>
      <w:tblGrid>
        <w:gridCol w:w="2835"/>
        <w:gridCol w:w="1417"/>
        <w:gridCol w:w="1417"/>
        <w:gridCol w:w="1417"/>
      </w:tblGrid>
      <w:tr w:rsidR="00522861" w:rsidRPr="006414E6" w14:paraId="1582E850"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1DE9CB" w14:textId="77777777" w:rsidR="00522861" w:rsidRPr="006414E6" w:rsidRDefault="00522861">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9EED6F"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07893F"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29327F"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04413BF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A17050D"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Ugljen i koks</w:t>
            </w:r>
          </w:p>
        </w:tc>
        <w:tc>
          <w:tcPr>
            <w:tcW w:w="1417" w:type="dxa"/>
            <w:tcBorders>
              <w:top w:val="nil"/>
              <w:left w:val="nil"/>
              <w:bottom w:val="single" w:sz="4" w:space="0" w:color="auto"/>
              <w:right w:val="single" w:sz="4" w:space="0" w:color="auto"/>
            </w:tcBorders>
            <w:noWrap/>
            <w:vAlign w:val="center"/>
            <w:hideMark/>
          </w:tcPr>
          <w:p w14:paraId="4029A235"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51,8</w:t>
            </w:r>
          </w:p>
        </w:tc>
        <w:tc>
          <w:tcPr>
            <w:tcW w:w="1417" w:type="dxa"/>
            <w:tcBorders>
              <w:top w:val="nil"/>
              <w:left w:val="nil"/>
              <w:bottom w:val="single" w:sz="4" w:space="0" w:color="auto"/>
              <w:right w:val="single" w:sz="4" w:space="0" w:color="auto"/>
            </w:tcBorders>
            <w:noWrap/>
            <w:vAlign w:val="center"/>
            <w:hideMark/>
          </w:tcPr>
          <w:p w14:paraId="1840A6F8"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34,2</w:t>
            </w:r>
          </w:p>
        </w:tc>
        <w:tc>
          <w:tcPr>
            <w:tcW w:w="1417" w:type="dxa"/>
            <w:tcBorders>
              <w:top w:val="nil"/>
              <w:left w:val="nil"/>
              <w:bottom w:val="single" w:sz="4" w:space="0" w:color="auto"/>
              <w:right w:val="single" w:sz="4" w:space="0" w:color="auto"/>
            </w:tcBorders>
            <w:noWrap/>
            <w:vAlign w:val="center"/>
            <w:hideMark/>
          </w:tcPr>
          <w:p w14:paraId="03523829"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17,8</w:t>
            </w:r>
          </w:p>
        </w:tc>
      </w:tr>
      <w:tr w:rsidR="00522861" w:rsidRPr="006414E6" w14:paraId="7D783FF7"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5A70A24"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Neobnovljivi otpad</w:t>
            </w:r>
          </w:p>
        </w:tc>
        <w:tc>
          <w:tcPr>
            <w:tcW w:w="1417" w:type="dxa"/>
            <w:tcBorders>
              <w:top w:val="nil"/>
              <w:left w:val="nil"/>
              <w:bottom w:val="single" w:sz="4" w:space="0" w:color="auto"/>
              <w:right w:val="single" w:sz="4" w:space="0" w:color="auto"/>
            </w:tcBorders>
            <w:noWrap/>
            <w:vAlign w:val="center"/>
            <w:hideMark/>
          </w:tcPr>
          <w:p w14:paraId="043CDE84"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10,6</w:t>
            </w:r>
          </w:p>
        </w:tc>
        <w:tc>
          <w:tcPr>
            <w:tcW w:w="1417" w:type="dxa"/>
            <w:tcBorders>
              <w:top w:val="nil"/>
              <w:left w:val="nil"/>
              <w:bottom w:val="single" w:sz="4" w:space="0" w:color="auto"/>
              <w:right w:val="single" w:sz="4" w:space="0" w:color="auto"/>
            </w:tcBorders>
            <w:noWrap/>
            <w:vAlign w:val="center"/>
            <w:hideMark/>
          </w:tcPr>
          <w:p w14:paraId="2E31112C"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10,0</w:t>
            </w:r>
          </w:p>
        </w:tc>
        <w:tc>
          <w:tcPr>
            <w:tcW w:w="1417" w:type="dxa"/>
            <w:tcBorders>
              <w:top w:val="nil"/>
              <w:left w:val="nil"/>
              <w:bottom w:val="single" w:sz="4" w:space="0" w:color="auto"/>
              <w:right w:val="single" w:sz="4" w:space="0" w:color="auto"/>
            </w:tcBorders>
            <w:noWrap/>
            <w:vAlign w:val="center"/>
            <w:hideMark/>
          </w:tcPr>
          <w:p w14:paraId="2B6C86B3"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8,1</w:t>
            </w:r>
          </w:p>
        </w:tc>
      </w:tr>
      <w:tr w:rsidR="00522861" w:rsidRPr="006414E6" w14:paraId="054B9966"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93AD6C0"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Obnovljivi izvori</w:t>
            </w:r>
          </w:p>
        </w:tc>
        <w:tc>
          <w:tcPr>
            <w:tcW w:w="1417" w:type="dxa"/>
            <w:tcBorders>
              <w:top w:val="nil"/>
              <w:left w:val="nil"/>
              <w:bottom w:val="single" w:sz="4" w:space="0" w:color="auto"/>
              <w:right w:val="single" w:sz="4" w:space="0" w:color="auto"/>
            </w:tcBorders>
            <w:noWrap/>
            <w:vAlign w:val="center"/>
            <w:hideMark/>
          </w:tcPr>
          <w:p w14:paraId="314D4C82"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1232,4</w:t>
            </w:r>
          </w:p>
        </w:tc>
        <w:tc>
          <w:tcPr>
            <w:tcW w:w="1417" w:type="dxa"/>
            <w:tcBorders>
              <w:top w:val="nil"/>
              <w:left w:val="nil"/>
              <w:bottom w:val="single" w:sz="4" w:space="0" w:color="auto"/>
              <w:right w:val="single" w:sz="4" w:space="0" w:color="auto"/>
            </w:tcBorders>
            <w:noWrap/>
            <w:vAlign w:val="center"/>
            <w:hideMark/>
          </w:tcPr>
          <w:p w14:paraId="7D7CD903"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940,2</w:t>
            </w:r>
          </w:p>
        </w:tc>
        <w:tc>
          <w:tcPr>
            <w:tcW w:w="1417" w:type="dxa"/>
            <w:tcBorders>
              <w:top w:val="nil"/>
              <w:left w:val="nil"/>
              <w:bottom w:val="single" w:sz="4" w:space="0" w:color="auto"/>
              <w:right w:val="single" w:sz="4" w:space="0" w:color="auto"/>
            </w:tcBorders>
            <w:noWrap/>
            <w:vAlign w:val="center"/>
            <w:hideMark/>
          </w:tcPr>
          <w:p w14:paraId="399E345D"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775,7</w:t>
            </w:r>
          </w:p>
        </w:tc>
      </w:tr>
      <w:tr w:rsidR="00522861" w:rsidRPr="006414E6" w14:paraId="1ED2A16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04887B7"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Tekuća fosilna goriva</w:t>
            </w:r>
          </w:p>
        </w:tc>
        <w:tc>
          <w:tcPr>
            <w:tcW w:w="1417" w:type="dxa"/>
            <w:tcBorders>
              <w:top w:val="nil"/>
              <w:left w:val="nil"/>
              <w:bottom w:val="single" w:sz="4" w:space="0" w:color="auto"/>
              <w:right w:val="single" w:sz="4" w:space="0" w:color="auto"/>
            </w:tcBorders>
            <w:noWrap/>
            <w:vAlign w:val="center"/>
            <w:hideMark/>
          </w:tcPr>
          <w:p w14:paraId="398B5105"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2444,1</w:t>
            </w:r>
          </w:p>
        </w:tc>
        <w:tc>
          <w:tcPr>
            <w:tcW w:w="1417" w:type="dxa"/>
            <w:tcBorders>
              <w:top w:val="nil"/>
              <w:left w:val="nil"/>
              <w:bottom w:val="single" w:sz="4" w:space="0" w:color="auto"/>
              <w:right w:val="single" w:sz="4" w:space="0" w:color="auto"/>
            </w:tcBorders>
            <w:noWrap/>
            <w:vAlign w:val="center"/>
            <w:hideMark/>
          </w:tcPr>
          <w:p w14:paraId="30B008FB"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2006,2</w:t>
            </w:r>
          </w:p>
        </w:tc>
        <w:tc>
          <w:tcPr>
            <w:tcW w:w="1417" w:type="dxa"/>
            <w:tcBorders>
              <w:top w:val="nil"/>
              <w:left w:val="nil"/>
              <w:bottom w:val="single" w:sz="4" w:space="0" w:color="auto"/>
              <w:right w:val="single" w:sz="4" w:space="0" w:color="auto"/>
            </w:tcBorders>
            <w:noWrap/>
            <w:vAlign w:val="center"/>
            <w:hideMark/>
          </w:tcPr>
          <w:p w14:paraId="6C5548B1"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887,5</w:t>
            </w:r>
          </w:p>
        </w:tc>
      </w:tr>
      <w:tr w:rsidR="00522861" w:rsidRPr="006414E6" w14:paraId="7D5481C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186532C"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Prirodni plin</w:t>
            </w:r>
          </w:p>
        </w:tc>
        <w:tc>
          <w:tcPr>
            <w:tcW w:w="1417" w:type="dxa"/>
            <w:tcBorders>
              <w:top w:val="nil"/>
              <w:left w:val="nil"/>
              <w:bottom w:val="single" w:sz="4" w:space="0" w:color="auto"/>
              <w:right w:val="single" w:sz="4" w:space="0" w:color="auto"/>
            </w:tcBorders>
            <w:noWrap/>
            <w:vAlign w:val="center"/>
            <w:hideMark/>
          </w:tcPr>
          <w:p w14:paraId="69316A4A"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1007,6</w:t>
            </w:r>
          </w:p>
        </w:tc>
        <w:tc>
          <w:tcPr>
            <w:tcW w:w="1417" w:type="dxa"/>
            <w:tcBorders>
              <w:top w:val="nil"/>
              <w:left w:val="nil"/>
              <w:bottom w:val="single" w:sz="4" w:space="0" w:color="auto"/>
              <w:right w:val="single" w:sz="4" w:space="0" w:color="auto"/>
            </w:tcBorders>
            <w:noWrap/>
            <w:vAlign w:val="center"/>
            <w:hideMark/>
          </w:tcPr>
          <w:p w14:paraId="27C798A3"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793,7</w:t>
            </w:r>
          </w:p>
        </w:tc>
        <w:tc>
          <w:tcPr>
            <w:tcW w:w="1417" w:type="dxa"/>
            <w:tcBorders>
              <w:top w:val="nil"/>
              <w:left w:val="nil"/>
              <w:bottom w:val="single" w:sz="4" w:space="0" w:color="auto"/>
              <w:right w:val="single" w:sz="4" w:space="0" w:color="auto"/>
            </w:tcBorders>
            <w:noWrap/>
            <w:vAlign w:val="center"/>
            <w:hideMark/>
          </w:tcPr>
          <w:p w14:paraId="2F377371"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542,3</w:t>
            </w:r>
          </w:p>
        </w:tc>
      </w:tr>
      <w:tr w:rsidR="00522861" w:rsidRPr="006414E6" w14:paraId="0ACDD8D3"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E0487D1"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Električna energija</w:t>
            </w:r>
          </w:p>
        </w:tc>
        <w:tc>
          <w:tcPr>
            <w:tcW w:w="1417" w:type="dxa"/>
            <w:tcBorders>
              <w:top w:val="nil"/>
              <w:left w:val="nil"/>
              <w:bottom w:val="single" w:sz="4" w:space="0" w:color="auto"/>
              <w:right w:val="single" w:sz="4" w:space="0" w:color="auto"/>
            </w:tcBorders>
            <w:noWrap/>
            <w:vAlign w:val="center"/>
            <w:hideMark/>
          </w:tcPr>
          <w:p w14:paraId="7EDB1797"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1547,7</w:t>
            </w:r>
          </w:p>
        </w:tc>
        <w:tc>
          <w:tcPr>
            <w:tcW w:w="1417" w:type="dxa"/>
            <w:tcBorders>
              <w:top w:val="nil"/>
              <w:left w:val="nil"/>
              <w:bottom w:val="single" w:sz="4" w:space="0" w:color="auto"/>
              <w:right w:val="single" w:sz="4" w:space="0" w:color="auto"/>
            </w:tcBorders>
            <w:noWrap/>
            <w:vAlign w:val="center"/>
            <w:hideMark/>
          </w:tcPr>
          <w:p w14:paraId="362504AD"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1724,7</w:t>
            </w:r>
          </w:p>
        </w:tc>
        <w:tc>
          <w:tcPr>
            <w:tcW w:w="1417" w:type="dxa"/>
            <w:tcBorders>
              <w:top w:val="nil"/>
              <w:left w:val="nil"/>
              <w:bottom w:val="single" w:sz="4" w:space="0" w:color="auto"/>
              <w:right w:val="single" w:sz="4" w:space="0" w:color="auto"/>
            </w:tcBorders>
            <w:noWrap/>
            <w:vAlign w:val="center"/>
            <w:hideMark/>
          </w:tcPr>
          <w:p w14:paraId="45312E66"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2129,9</w:t>
            </w:r>
          </w:p>
        </w:tc>
      </w:tr>
      <w:tr w:rsidR="00522861" w:rsidRPr="006414E6" w14:paraId="5175AA1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03BAFF"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Toplinska energija</w:t>
            </w:r>
          </w:p>
        </w:tc>
        <w:tc>
          <w:tcPr>
            <w:tcW w:w="1417" w:type="dxa"/>
            <w:tcBorders>
              <w:top w:val="nil"/>
              <w:left w:val="nil"/>
              <w:bottom w:val="single" w:sz="4" w:space="0" w:color="auto"/>
              <w:right w:val="single" w:sz="4" w:space="0" w:color="auto"/>
            </w:tcBorders>
            <w:noWrap/>
            <w:vAlign w:val="center"/>
            <w:hideMark/>
          </w:tcPr>
          <w:p w14:paraId="28297FC9"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214,1</w:t>
            </w:r>
          </w:p>
        </w:tc>
        <w:tc>
          <w:tcPr>
            <w:tcW w:w="1417" w:type="dxa"/>
            <w:tcBorders>
              <w:top w:val="nil"/>
              <w:left w:val="nil"/>
              <w:bottom w:val="single" w:sz="4" w:space="0" w:color="auto"/>
              <w:right w:val="single" w:sz="4" w:space="0" w:color="auto"/>
            </w:tcBorders>
            <w:noWrap/>
            <w:vAlign w:val="center"/>
            <w:hideMark/>
          </w:tcPr>
          <w:p w14:paraId="5B180FDE"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182,9</w:t>
            </w:r>
          </w:p>
        </w:tc>
        <w:tc>
          <w:tcPr>
            <w:tcW w:w="1417" w:type="dxa"/>
            <w:tcBorders>
              <w:top w:val="nil"/>
              <w:left w:val="nil"/>
              <w:bottom w:val="single" w:sz="4" w:space="0" w:color="auto"/>
              <w:right w:val="single" w:sz="4" w:space="0" w:color="auto"/>
            </w:tcBorders>
            <w:noWrap/>
            <w:vAlign w:val="center"/>
            <w:hideMark/>
          </w:tcPr>
          <w:p w14:paraId="4525AD49"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136,9</w:t>
            </w:r>
          </w:p>
        </w:tc>
      </w:tr>
      <w:tr w:rsidR="00522861" w:rsidRPr="006414E6" w14:paraId="03B746D6"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2A0B8675"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Vodik</w:t>
            </w:r>
          </w:p>
        </w:tc>
        <w:tc>
          <w:tcPr>
            <w:tcW w:w="1417" w:type="dxa"/>
            <w:tcBorders>
              <w:top w:val="nil"/>
              <w:left w:val="nil"/>
              <w:bottom w:val="double" w:sz="4" w:space="0" w:color="auto"/>
              <w:right w:val="single" w:sz="4" w:space="0" w:color="auto"/>
            </w:tcBorders>
            <w:noWrap/>
            <w:vAlign w:val="center"/>
            <w:hideMark/>
          </w:tcPr>
          <w:p w14:paraId="1731F645"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0,005</w:t>
            </w:r>
          </w:p>
        </w:tc>
        <w:tc>
          <w:tcPr>
            <w:tcW w:w="1417" w:type="dxa"/>
            <w:tcBorders>
              <w:top w:val="nil"/>
              <w:left w:val="nil"/>
              <w:bottom w:val="double" w:sz="4" w:space="0" w:color="auto"/>
              <w:right w:val="single" w:sz="4" w:space="0" w:color="auto"/>
            </w:tcBorders>
            <w:noWrap/>
            <w:vAlign w:val="center"/>
            <w:hideMark/>
          </w:tcPr>
          <w:p w14:paraId="72C17EA5"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0,3</w:t>
            </w:r>
          </w:p>
        </w:tc>
        <w:tc>
          <w:tcPr>
            <w:tcW w:w="1417" w:type="dxa"/>
            <w:tcBorders>
              <w:top w:val="nil"/>
              <w:left w:val="nil"/>
              <w:bottom w:val="double" w:sz="4" w:space="0" w:color="auto"/>
              <w:right w:val="single" w:sz="4" w:space="0" w:color="auto"/>
            </w:tcBorders>
            <w:noWrap/>
            <w:vAlign w:val="center"/>
            <w:hideMark/>
          </w:tcPr>
          <w:p w14:paraId="04246805"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30,2</w:t>
            </w:r>
          </w:p>
        </w:tc>
      </w:tr>
      <w:tr w:rsidR="00522861" w:rsidRPr="006414E6" w14:paraId="43072D1B"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252A01" w14:textId="77777777" w:rsidR="00522861" w:rsidRPr="006414E6" w:rsidRDefault="00522861">
            <w:pPr>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11C92CED"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6508,3</w:t>
            </w:r>
          </w:p>
        </w:tc>
        <w:tc>
          <w:tcPr>
            <w:tcW w:w="1417" w:type="dxa"/>
            <w:tcBorders>
              <w:top w:val="double" w:sz="4" w:space="0" w:color="auto"/>
              <w:left w:val="nil"/>
              <w:bottom w:val="single" w:sz="4" w:space="0" w:color="auto"/>
              <w:right w:val="single" w:sz="4" w:space="0" w:color="auto"/>
            </w:tcBorders>
            <w:noWrap/>
            <w:vAlign w:val="center"/>
            <w:hideMark/>
          </w:tcPr>
          <w:p w14:paraId="6DCD3B4A"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5692,2</w:t>
            </w:r>
          </w:p>
        </w:tc>
        <w:tc>
          <w:tcPr>
            <w:tcW w:w="1417" w:type="dxa"/>
            <w:tcBorders>
              <w:top w:val="double" w:sz="4" w:space="0" w:color="auto"/>
              <w:left w:val="nil"/>
              <w:bottom w:val="single" w:sz="4" w:space="0" w:color="auto"/>
              <w:right w:val="single" w:sz="4" w:space="0" w:color="auto"/>
            </w:tcBorders>
            <w:noWrap/>
            <w:vAlign w:val="center"/>
            <w:hideMark/>
          </w:tcPr>
          <w:p w14:paraId="756872C0" w14:textId="77777777" w:rsidR="00522861" w:rsidRPr="006414E6" w:rsidRDefault="00522861">
            <w:pPr>
              <w:jc w:val="center"/>
              <w:rPr>
                <w:rFonts w:eastAsia="Times New Roman" w:cs="Times New Roman"/>
                <w:color w:val="000000"/>
                <w:sz w:val="20"/>
                <w:lang w:eastAsia="hr-HR"/>
              </w:rPr>
            </w:pPr>
            <w:r w:rsidRPr="006414E6">
              <w:rPr>
                <w:rFonts w:eastAsia="Times New Roman" w:cs="Times New Roman"/>
                <w:color w:val="000000"/>
                <w:sz w:val="20"/>
                <w:lang w:eastAsia="hr-HR"/>
              </w:rPr>
              <w:t>4528,3</w:t>
            </w:r>
          </w:p>
        </w:tc>
      </w:tr>
    </w:tbl>
    <w:p w14:paraId="717B7F7A" w14:textId="77777777" w:rsidR="00522861" w:rsidRPr="006414E6" w:rsidRDefault="00522861" w:rsidP="00522861">
      <w:pPr>
        <w:rPr>
          <w:rFonts w:cs="Times New Roman"/>
          <w:i/>
        </w:rPr>
      </w:pPr>
      <w:r w:rsidRPr="006414E6">
        <w:rPr>
          <w:rFonts w:cs="Times New Roman"/>
          <w:i/>
        </w:rPr>
        <w:t>Tablica III.1-2: Neposredna potrošnja energije po granama, NU2</w:t>
      </w:r>
    </w:p>
    <w:tbl>
      <w:tblPr>
        <w:tblW w:w="0" w:type="auto"/>
        <w:tblLayout w:type="fixed"/>
        <w:tblLook w:val="04A0" w:firstRow="1" w:lastRow="0" w:firstColumn="1" w:lastColumn="0" w:noHBand="0" w:noVBand="1"/>
      </w:tblPr>
      <w:tblGrid>
        <w:gridCol w:w="2835"/>
        <w:gridCol w:w="1417"/>
        <w:gridCol w:w="1417"/>
        <w:gridCol w:w="1417"/>
      </w:tblGrid>
      <w:tr w:rsidR="00522861" w:rsidRPr="006414E6" w14:paraId="7960CDB3"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D64D8E" w14:textId="77777777" w:rsidR="00522861" w:rsidRPr="006414E6" w:rsidRDefault="00522861">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69F929"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8852B2"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D91E00"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19241CF2"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1C034DB" w14:textId="77777777" w:rsidR="00522861" w:rsidRPr="006414E6" w:rsidRDefault="00522861">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Industrija</w:t>
            </w:r>
          </w:p>
        </w:tc>
        <w:tc>
          <w:tcPr>
            <w:tcW w:w="1417" w:type="dxa"/>
            <w:tcBorders>
              <w:top w:val="nil"/>
              <w:left w:val="nil"/>
              <w:bottom w:val="single" w:sz="4" w:space="0" w:color="auto"/>
              <w:right w:val="single" w:sz="4" w:space="0" w:color="auto"/>
            </w:tcBorders>
            <w:noWrap/>
            <w:vAlign w:val="center"/>
            <w:hideMark/>
          </w:tcPr>
          <w:p w14:paraId="15B86D88"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1165,7</w:t>
            </w:r>
          </w:p>
        </w:tc>
        <w:tc>
          <w:tcPr>
            <w:tcW w:w="1417" w:type="dxa"/>
            <w:tcBorders>
              <w:top w:val="nil"/>
              <w:left w:val="nil"/>
              <w:bottom w:val="single" w:sz="4" w:space="0" w:color="auto"/>
              <w:right w:val="single" w:sz="4" w:space="0" w:color="auto"/>
            </w:tcBorders>
            <w:noWrap/>
            <w:vAlign w:val="center"/>
            <w:hideMark/>
          </w:tcPr>
          <w:p w14:paraId="5F4EC82E"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1110,0</w:t>
            </w:r>
          </w:p>
        </w:tc>
        <w:tc>
          <w:tcPr>
            <w:tcW w:w="1417" w:type="dxa"/>
            <w:tcBorders>
              <w:top w:val="nil"/>
              <w:left w:val="nil"/>
              <w:bottom w:val="single" w:sz="4" w:space="0" w:color="auto"/>
              <w:right w:val="single" w:sz="4" w:space="0" w:color="auto"/>
            </w:tcBorders>
            <w:noWrap/>
            <w:vAlign w:val="center"/>
            <w:hideMark/>
          </w:tcPr>
          <w:p w14:paraId="6C627B61"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1017,1</w:t>
            </w:r>
          </w:p>
        </w:tc>
      </w:tr>
      <w:tr w:rsidR="00522861" w:rsidRPr="006414E6" w14:paraId="008B46F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9772830" w14:textId="77777777" w:rsidR="00522861" w:rsidRPr="006414E6" w:rsidRDefault="00522861">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Promet</w:t>
            </w:r>
          </w:p>
        </w:tc>
        <w:tc>
          <w:tcPr>
            <w:tcW w:w="1417" w:type="dxa"/>
            <w:tcBorders>
              <w:top w:val="nil"/>
              <w:left w:val="nil"/>
              <w:bottom w:val="single" w:sz="4" w:space="0" w:color="auto"/>
              <w:right w:val="single" w:sz="4" w:space="0" w:color="auto"/>
            </w:tcBorders>
            <w:noWrap/>
            <w:vAlign w:val="center"/>
            <w:hideMark/>
          </w:tcPr>
          <w:p w14:paraId="0B4D7CBA"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2178,9</w:t>
            </w:r>
          </w:p>
        </w:tc>
        <w:tc>
          <w:tcPr>
            <w:tcW w:w="1417" w:type="dxa"/>
            <w:tcBorders>
              <w:top w:val="nil"/>
              <w:left w:val="nil"/>
              <w:bottom w:val="single" w:sz="4" w:space="0" w:color="auto"/>
              <w:right w:val="single" w:sz="4" w:space="0" w:color="auto"/>
            </w:tcBorders>
            <w:noWrap/>
            <w:vAlign w:val="center"/>
            <w:hideMark/>
          </w:tcPr>
          <w:p w14:paraId="36B6A365"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1998,6</w:t>
            </w:r>
          </w:p>
        </w:tc>
        <w:tc>
          <w:tcPr>
            <w:tcW w:w="1417" w:type="dxa"/>
            <w:tcBorders>
              <w:top w:val="nil"/>
              <w:left w:val="nil"/>
              <w:bottom w:val="single" w:sz="4" w:space="0" w:color="auto"/>
              <w:right w:val="single" w:sz="4" w:space="0" w:color="auto"/>
            </w:tcBorders>
            <w:noWrap/>
            <w:vAlign w:val="center"/>
            <w:hideMark/>
          </w:tcPr>
          <w:p w14:paraId="17A71988"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1416,8</w:t>
            </w:r>
          </w:p>
        </w:tc>
      </w:tr>
      <w:tr w:rsidR="00522861" w:rsidRPr="006414E6" w14:paraId="6A2F37FB"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A2DE297" w14:textId="77777777" w:rsidR="00522861" w:rsidRPr="006414E6" w:rsidRDefault="00522861">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Opća potrošnja</w:t>
            </w:r>
          </w:p>
        </w:tc>
        <w:tc>
          <w:tcPr>
            <w:tcW w:w="1417" w:type="dxa"/>
            <w:tcBorders>
              <w:top w:val="nil"/>
              <w:left w:val="nil"/>
              <w:bottom w:val="single" w:sz="4" w:space="0" w:color="auto"/>
              <w:right w:val="single" w:sz="4" w:space="0" w:color="auto"/>
            </w:tcBorders>
            <w:noWrap/>
            <w:hideMark/>
          </w:tcPr>
          <w:p w14:paraId="4D5AC6E6" w14:textId="77777777" w:rsidR="00522861" w:rsidRPr="006414E6" w:rsidRDefault="00522861">
            <w:pPr>
              <w:spacing w:line="240" w:lineRule="auto"/>
              <w:jc w:val="center"/>
              <w:rPr>
                <w:rFonts w:eastAsia="Times New Roman" w:cs="Times New Roman"/>
                <w:color w:val="000000"/>
                <w:sz w:val="20"/>
                <w:lang w:eastAsia="hr-HR"/>
              </w:rPr>
            </w:pPr>
            <w:r w:rsidRPr="006414E6">
              <w:rPr>
                <w:rFonts w:cs="Times New Roman"/>
                <w:sz w:val="20"/>
              </w:rPr>
              <w:t>3163,6</w:t>
            </w:r>
          </w:p>
        </w:tc>
        <w:tc>
          <w:tcPr>
            <w:tcW w:w="1417" w:type="dxa"/>
            <w:tcBorders>
              <w:top w:val="nil"/>
              <w:left w:val="nil"/>
              <w:bottom w:val="single" w:sz="4" w:space="0" w:color="auto"/>
              <w:right w:val="single" w:sz="4" w:space="0" w:color="auto"/>
            </w:tcBorders>
            <w:noWrap/>
            <w:hideMark/>
          </w:tcPr>
          <w:p w14:paraId="2E8D374E" w14:textId="77777777" w:rsidR="00522861" w:rsidRPr="006414E6" w:rsidRDefault="00522861">
            <w:pPr>
              <w:spacing w:line="240" w:lineRule="auto"/>
              <w:jc w:val="center"/>
              <w:rPr>
                <w:rFonts w:eastAsia="Times New Roman" w:cs="Times New Roman"/>
                <w:color w:val="000000"/>
                <w:sz w:val="20"/>
                <w:lang w:eastAsia="hr-HR"/>
              </w:rPr>
            </w:pPr>
            <w:r w:rsidRPr="006414E6">
              <w:rPr>
                <w:rFonts w:cs="Times New Roman"/>
                <w:sz w:val="20"/>
              </w:rPr>
              <w:t>2583,6</w:t>
            </w:r>
          </w:p>
        </w:tc>
        <w:tc>
          <w:tcPr>
            <w:tcW w:w="1417" w:type="dxa"/>
            <w:tcBorders>
              <w:top w:val="nil"/>
              <w:left w:val="nil"/>
              <w:bottom w:val="single" w:sz="4" w:space="0" w:color="auto"/>
              <w:right w:val="single" w:sz="4" w:space="0" w:color="auto"/>
            </w:tcBorders>
            <w:noWrap/>
            <w:hideMark/>
          </w:tcPr>
          <w:p w14:paraId="7A8F6554" w14:textId="77777777" w:rsidR="00522861" w:rsidRPr="006414E6" w:rsidRDefault="00522861">
            <w:pPr>
              <w:spacing w:line="240" w:lineRule="auto"/>
              <w:jc w:val="center"/>
              <w:rPr>
                <w:rFonts w:eastAsia="Times New Roman" w:cs="Times New Roman"/>
                <w:color w:val="000000"/>
                <w:sz w:val="20"/>
                <w:lang w:eastAsia="hr-HR"/>
              </w:rPr>
            </w:pPr>
            <w:r w:rsidRPr="006414E6">
              <w:rPr>
                <w:rFonts w:cs="Times New Roman"/>
                <w:sz w:val="20"/>
              </w:rPr>
              <w:t>2094,4</w:t>
            </w:r>
          </w:p>
        </w:tc>
      </w:tr>
      <w:tr w:rsidR="00522861" w:rsidRPr="006414E6" w14:paraId="7D9A6F5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0838AC0" w14:textId="77777777" w:rsidR="00522861" w:rsidRPr="006414E6" w:rsidRDefault="00522861">
            <w:pPr>
              <w:spacing w:line="240" w:lineRule="auto"/>
              <w:ind w:left="170"/>
              <w:jc w:val="left"/>
              <w:rPr>
                <w:rFonts w:eastAsia="Times New Roman" w:cs="Times New Roman"/>
                <w:i/>
                <w:iCs/>
                <w:color w:val="000000"/>
                <w:sz w:val="20"/>
                <w:lang w:eastAsia="hr-HR"/>
              </w:rPr>
            </w:pPr>
            <w:r w:rsidRPr="006414E6">
              <w:rPr>
                <w:rFonts w:eastAsia="Times New Roman" w:cs="Times New Roman"/>
                <w:i/>
                <w:iCs/>
                <w:color w:val="000000"/>
                <w:sz w:val="20"/>
                <w:lang w:eastAsia="hr-HR"/>
              </w:rPr>
              <w:t>Kućanstva</w:t>
            </w:r>
          </w:p>
        </w:tc>
        <w:tc>
          <w:tcPr>
            <w:tcW w:w="1417" w:type="dxa"/>
            <w:tcBorders>
              <w:top w:val="nil"/>
              <w:left w:val="nil"/>
              <w:bottom w:val="single" w:sz="4" w:space="0" w:color="auto"/>
              <w:right w:val="single" w:sz="4" w:space="0" w:color="auto"/>
            </w:tcBorders>
            <w:noWrap/>
            <w:vAlign w:val="center"/>
            <w:hideMark/>
          </w:tcPr>
          <w:p w14:paraId="416EB72D"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2038,2</w:t>
            </w:r>
          </w:p>
        </w:tc>
        <w:tc>
          <w:tcPr>
            <w:tcW w:w="1417" w:type="dxa"/>
            <w:tcBorders>
              <w:top w:val="nil"/>
              <w:left w:val="nil"/>
              <w:bottom w:val="single" w:sz="4" w:space="0" w:color="auto"/>
              <w:right w:val="single" w:sz="4" w:space="0" w:color="auto"/>
            </w:tcBorders>
            <w:noWrap/>
            <w:vAlign w:val="center"/>
            <w:hideMark/>
          </w:tcPr>
          <w:p w14:paraId="4F760181"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1504,0</w:t>
            </w:r>
          </w:p>
        </w:tc>
        <w:tc>
          <w:tcPr>
            <w:tcW w:w="1417" w:type="dxa"/>
            <w:tcBorders>
              <w:top w:val="nil"/>
              <w:left w:val="nil"/>
              <w:bottom w:val="single" w:sz="4" w:space="0" w:color="auto"/>
              <w:right w:val="single" w:sz="4" w:space="0" w:color="auto"/>
            </w:tcBorders>
            <w:noWrap/>
            <w:vAlign w:val="center"/>
            <w:hideMark/>
          </w:tcPr>
          <w:p w14:paraId="7D2488A0"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1153,2</w:t>
            </w:r>
          </w:p>
        </w:tc>
      </w:tr>
      <w:tr w:rsidR="00522861" w:rsidRPr="006414E6" w14:paraId="6E054E0F"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8AF2BC3" w14:textId="77777777" w:rsidR="00522861" w:rsidRPr="006414E6" w:rsidRDefault="00522861">
            <w:pPr>
              <w:spacing w:line="240" w:lineRule="auto"/>
              <w:ind w:left="170"/>
              <w:jc w:val="left"/>
              <w:rPr>
                <w:rFonts w:eastAsia="Times New Roman" w:cs="Times New Roman"/>
                <w:i/>
                <w:iCs/>
                <w:color w:val="000000"/>
                <w:sz w:val="20"/>
                <w:lang w:eastAsia="hr-HR"/>
              </w:rPr>
            </w:pPr>
            <w:r w:rsidRPr="006414E6">
              <w:rPr>
                <w:rFonts w:eastAsia="Times New Roman" w:cs="Times New Roman"/>
                <w:i/>
                <w:iCs/>
                <w:color w:val="000000"/>
                <w:sz w:val="20"/>
                <w:lang w:eastAsia="hr-HR"/>
              </w:rPr>
              <w:t>Uslužni sektor</w:t>
            </w:r>
          </w:p>
        </w:tc>
        <w:tc>
          <w:tcPr>
            <w:tcW w:w="1417" w:type="dxa"/>
            <w:tcBorders>
              <w:top w:val="nil"/>
              <w:left w:val="nil"/>
              <w:bottom w:val="single" w:sz="4" w:space="0" w:color="auto"/>
              <w:right w:val="single" w:sz="4" w:space="0" w:color="auto"/>
            </w:tcBorders>
            <w:noWrap/>
            <w:vAlign w:val="center"/>
            <w:hideMark/>
          </w:tcPr>
          <w:p w14:paraId="632E9DBF"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919,9</w:t>
            </w:r>
          </w:p>
        </w:tc>
        <w:tc>
          <w:tcPr>
            <w:tcW w:w="1417" w:type="dxa"/>
            <w:tcBorders>
              <w:top w:val="nil"/>
              <w:left w:val="nil"/>
              <w:bottom w:val="single" w:sz="4" w:space="0" w:color="auto"/>
              <w:right w:val="single" w:sz="4" w:space="0" w:color="auto"/>
            </w:tcBorders>
            <w:noWrap/>
            <w:vAlign w:val="center"/>
            <w:hideMark/>
          </w:tcPr>
          <w:p w14:paraId="0E669449"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885,1</w:t>
            </w:r>
          </w:p>
        </w:tc>
        <w:tc>
          <w:tcPr>
            <w:tcW w:w="1417" w:type="dxa"/>
            <w:tcBorders>
              <w:top w:val="nil"/>
              <w:left w:val="nil"/>
              <w:bottom w:val="single" w:sz="4" w:space="0" w:color="auto"/>
              <w:right w:val="single" w:sz="4" w:space="0" w:color="auto"/>
            </w:tcBorders>
            <w:noWrap/>
            <w:vAlign w:val="center"/>
            <w:hideMark/>
          </w:tcPr>
          <w:p w14:paraId="10537D94"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764,0</w:t>
            </w:r>
          </w:p>
        </w:tc>
      </w:tr>
      <w:tr w:rsidR="00522861" w:rsidRPr="006414E6" w14:paraId="3E96DCD6"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5C909799" w14:textId="77777777" w:rsidR="00522861" w:rsidRPr="006414E6" w:rsidRDefault="00522861">
            <w:pPr>
              <w:spacing w:line="240" w:lineRule="auto"/>
              <w:ind w:left="170"/>
              <w:jc w:val="left"/>
              <w:rPr>
                <w:rFonts w:eastAsia="Times New Roman" w:cs="Times New Roman"/>
                <w:i/>
                <w:iCs/>
                <w:color w:val="000000"/>
                <w:sz w:val="20"/>
                <w:lang w:eastAsia="hr-HR"/>
              </w:rPr>
            </w:pPr>
            <w:r w:rsidRPr="006414E6">
              <w:rPr>
                <w:rFonts w:eastAsia="Times New Roman" w:cs="Times New Roman"/>
                <w:i/>
                <w:iCs/>
                <w:color w:val="000000"/>
                <w:sz w:val="20"/>
                <w:lang w:eastAsia="hr-HR"/>
              </w:rPr>
              <w:t>Poljoprivreda</w:t>
            </w:r>
          </w:p>
        </w:tc>
        <w:tc>
          <w:tcPr>
            <w:tcW w:w="1417" w:type="dxa"/>
            <w:tcBorders>
              <w:top w:val="nil"/>
              <w:left w:val="nil"/>
              <w:bottom w:val="double" w:sz="4" w:space="0" w:color="auto"/>
              <w:right w:val="single" w:sz="4" w:space="0" w:color="auto"/>
            </w:tcBorders>
            <w:noWrap/>
            <w:vAlign w:val="center"/>
            <w:hideMark/>
          </w:tcPr>
          <w:p w14:paraId="3214B60E"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205,5</w:t>
            </w:r>
          </w:p>
        </w:tc>
        <w:tc>
          <w:tcPr>
            <w:tcW w:w="1417" w:type="dxa"/>
            <w:tcBorders>
              <w:top w:val="nil"/>
              <w:left w:val="nil"/>
              <w:bottom w:val="double" w:sz="4" w:space="0" w:color="auto"/>
              <w:right w:val="single" w:sz="4" w:space="0" w:color="auto"/>
            </w:tcBorders>
            <w:noWrap/>
            <w:vAlign w:val="center"/>
            <w:hideMark/>
          </w:tcPr>
          <w:p w14:paraId="5F98F905"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194,5</w:t>
            </w:r>
          </w:p>
        </w:tc>
        <w:tc>
          <w:tcPr>
            <w:tcW w:w="1417" w:type="dxa"/>
            <w:tcBorders>
              <w:top w:val="nil"/>
              <w:left w:val="nil"/>
              <w:bottom w:val="double" w:sz="4" w:space="0" w:color="auto"/>
              <w:right w:val="single" w:sz="4" w:space="0" w:color="auto"/>
            </w:tcBorders>
            <w:noWrap/>
            <w:vAlign w:val="center"/>
            <w:hideMark/>
          </w:tcPr>
          <w:p w14:paraId="0A962F07"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177,2</w:t>
            </w:r>
          </w:p>
        </w:tc>
      </w:tr>
      <w:tr w:rsidR="00522861" w:rsidRPr="006414E6" w14:paraId="50AF3960"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CA2C78C" w14:textId="77777777" w:rsidR="00522861" w:rsidRPr="006414E6" w:rsidRDefault="00522861">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4BCE1C7A"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6508,3</w:t>
            </w:r>
          </w:p>
        </w:tc>
        <w:tc>
          <w:tcPr>
            <w:tcW w:w="1417" w:type="dxa"/>
            <w:tcBorders>
              <w:top w:val="double" w:sz="4" w:space="0" w:color="auto"/>
              <w:left w:val="nil"/>
              <w:bottom w:val="single" w:sz="4" w:space="0" w:color="auto"/>
              <w:right w:val="single" w:sz="4" w:space="0" w:color="auto"/>
            </w:tcBorders>
            <w:noWrap/>
            <w:vAlign w:val="center"/>
            <w:hideMark/>
          </w:tcPr>
          <w:p w14:paraId="3D274D43"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5692,2</w:t>
            </w:r>
          </w:p>
        </w:tc>
        <w:tc>
          <w:tcPr>
            <w:tcW w:w="1417" w:type="dxa"/>
            <w:tcBorders>
              <w:top w:val="double" w:sz="4" w:space="0" w:color="auto"/>
              <w:left w:val="nil"/>
              <w:bottom w:val="single" w:sz="4" w:space="0" w:color="auto"/>
              <w:right w:val="single" w:sz="4" w:space="0" w:color="auto"/>
            </w:tcBorders>
            <w:noWrap/>
            <w:vAlign w:val="center"/>
            <w:hideMark/>
          </w:tcPr>
          <w:p w14:paraId="27CBCE1F" w14:textId="77777777" w:rsidR="00522861" w:rsidRPr="006414E6" w:rsidRDefault="00522861">
            <w:pPr>
              <w:spacing w:line="240" w:lineRule="auto"/>
              <w:jc w:val="center"/>
              <w:rPr>
                <w:rFonts w:eastAsia="Times New Roman" w:cs="Times New Roman"/>
                <w:color w:val="000000"/>
                <w:sz w:val="20"/>
                <w:lang w:eastAsia="hr-HR"/>
              </w:rPr>
            </w:pPr>
            <w:r w:rsidRPr="006414E6">
              <w:rPr>
                <w:rFonts w:eastAsia="Times New Roman" w:cs="Times New Roman"/>
                <w:color w:val="000000"/>
                <w:sz w:val="20"/>
                <w:lang w:eastAsia="hr-HR"/>
              </w:rPr>
              <w:t>4528,3</w:t>
            </w:r>
          </w:p>
        </w:tc>
      </w:tr>
    </w:tbl>
    <w:p w14:paraId="3FF384BE" w14:textId="77777777" w:rsidR="00522861" w:rsidRPr="006414E6" w:rsidRDefault="00522861" w:rsidP="00522861">
      <w:pPr>
        <w:rPr>
          <w:rFonts w:cs="Times New Roman"/>
        </w:rPr>
      </w:pPr>
      <w:r w:rsidRPr="006414E6">
        <w:rPr>
          <w:rFonts w:cs="Times New Roman"/>
          <w:u w:val="single"/>
        </w:rPr>
        <w:t>Ukupna potrošnja energije</w:t>
      </w:r>
    </w:p>
    <w:p w14:paraId="1681D845" w14:textId="77777777" w:rsidR="00522861" w:rsidRPr="006414E6" w:rsidRDefault="00522861" w:rsidP="00522861">
      <w:pPr>
        <w:rPr>
          <w:rFonts w:cs="Times New Roman"/>
        </w:rPr>
      </w:pPr>
      <w:r w:rsidRPr="006414E6">
        <w:rPr>
          <w:rFonts w:cs="Times New Roman"/>
        </w:rPr>
        <w:t>U NU2 scenariju  ukupne potrebe za energijom opadaju tijekom cijelog razdoblja. Ukupna potrošnja u 2030. godini je za 5% manja u odnosu na današnju razinu, a u 2050. godini je manja za 26%.</w:t>
      </w:r>
    </w:p>
    <w:p w14:paraId="0FEDCE95" w14:textId="77777777" w:rsidR="00522861" w:rsidRPr="006414E6" w:rsidRDefault="00522861" w:rsidP="00522861">
      <w:pPr>
        <w:rPr>
          <w:rFonts w:cs="Times New Roman"/>
        </w:rPr>
      </w:pPr>
      <w:r w:rsidRPr="006414E6">
        <w:rPr>
          <w:rFonts w:cs="Times New Roman"/>
        </w:rPr>
        <w:t>U strukturi oblika energije udio prirodnog plina, krutih i tekućih goriva te električne energije opada. Najveća promjena se očekuje na strani OIE čiji udio raste na 32,0% u 2030. godini te na 56,2% u 2050. godini.</w:t>
      </w:r>
    </w:p>
    <w:p w14:paraId="70E1FBE3" w14:textId="77777777" w:rsidR="00522861" w:rsidRPr="006414E6" w:rsidRDefault="00522861" w:rsidP="00522861">
      <w:pPr>
        <w:rPr>
          <w:rFonts w:cs="Times New Roman"/>
        </w:rPr>
      </w:pPr>
      <w:r w:rsidRPr="006414E6">
        <w:rPr>
          <w:rFonts w:cs="Times New Roman"/>
        </w:rPr>
        <w:lastRenderedPageBreak/>
        <w:t>U tablici III.1-3 prikazane su projekcije ukupne potrošnje energije u NU2 scenariju.</w:t>
      </w:r>
    </w:p>
    <w:p w14:paraId="336A6F0A" w14:textId="77777777" w:rsidR="00522861" w:rsidRPr="006414E6" w:rsidRDefault="00522861" w:rsidP="00E57F72">
      <w:pPr>
        <w:rPr>
          <w:rFonts w:cs="Times New Roman"/>
          <w:i/>
        </w:rPr>
      </w:pPr>
      <w:r w:rsidRPr="006414E6">
        <w:rPr>
          <w:rFonts w:cs="Times New Roman"/>
          <w:i/>
        </w:rPr>
        <w:t>Tablica III.1-3: Ukupna potrošnja energije po gorivima, NU2</w:t>
      </w:r>
    </w:p>
    <w:tbl>
      <w:tblPr>
        <w:tblW w:w="7086" w:type="dxa"/>
        <w:tblLook w:val="04A0" w:firstRow="1" w:lastRow="0" w:firstColumn="1" w:lastColumn="0" w:noHBand="0" w:noVBand="1"/>
      </w:tblPr>
      <w:tblGrid>
        <w:gridCol w:w="2835"/>
        <w:gridCol w:w="1417"/>
        <w:gridCol w:w="1417"/>
        <w:gridCol w:w="1417"/>
      </w:tblGrid>
      <w:tr w:rsidR="00522861" w:rsidRPr="006414E6" w14:paraId="099A5298"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532ACB3" w14:textId="77777777" w:rsidR="00522861" w:rsidRPr="006414E6" w:rsidRDefault="00522861">
            <w:pPr>
              <w:spacing w:line="240" w:lineRule="auto"/>
              <w:jc w:val="center"/>
              <w:rPr>
                <w:rFonts w:eastAsia="Times New Roman" w:cs="Times New Roman"/>
                <w:b/>
                <w:color w:val="000000"/>
                <w:sz w:val="20"/>
                <w:lang w:eastAsia="hr-HR"/>
              </w:rPr>
            </w:pPr>
            <w:proofErr w:type="spellStart"/>
            <w:r w:rsidRPr="006414E6">
              <w:rPr>
                <w:rFonts w:eastAsia="Times New Roman" w:cs="Times New Roman"/>
                <w:b/>
                <w:color w:val="000000"/>
                <w:sz w:val="20"/>
                <w:lang w:eastAsia="hr-HR"/>
              </w:rPr>
              <w:t>kten</w:t>
            </w:r>
            <w:proofErr w:type="spellEnd"/>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4180F3D"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0D8A8D"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891293" w14:textId="77777777" w:rsidR="00522861" w:rsidRPr="006414E6" w:rsidRDefault="00522861">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40F2B05B"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05F45BF"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Ugljen i koks</w:t>
            </w:r>
          </w:p>
        </w:tc>
        <w:tc>
          <w:tcPr>
            <w:tcW w:w="1417" w:type="dxa"/>
            <w:tcBorders>
              <w:top w:val="nil"/>
              <w:left w:val="nil"/>
              <w:bottom w:val="single" w:sz="4" w:space="0" w:color="auto"/>
              <w:right w:val="single" w:sz="4" w:space="0" w:color="auto"/>
            </w:tcBorders>
            <w:noWrap/>
            <w:vAlign w:val="center"/>
            <w:hideMark/>
          </w:tcPr>
          <w:p w14:paraId="6203708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208,2</w:t>
            </w:r>
          </w:p>
        </w:tc>
        <w:tc>
          <w:tcPr>
            <w:tcW w:w="1417" w:type="dxa"/>
            <w:tcBorders>
              <w:top w:val="nil"/>
              <w:left w:val="nil"/>
              <w:bottom w:val="single" w:sz="4" w:space="0" w:color="auto"/>
              <w:right w:val="single" w:sz="4" w:space="0" w:color="auto"/>
            </w:tcBorders>
            <w:noWrap/>
            <w:vAlign w:val="center"/>
            <w:hideMark/>
          </w:tcPr>
          <w:p w14:paraId="3900B11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35,7</w:t>
            </w:r>
          </w:p>
        </w:tc>
        <w:tc>
          <w:tcPr>
            <w:tcW w:w="1417" w:type="dxa"/>
            <w:tcBorders>
              <w:top w:val="nil"/>
              <w:left w:val="nil"/>
              <w:bottom w:val="single" w:sz="4" w:space="0" w:color="auto"/>
              <w:right w:val="single" w:sz="4" w:space="0" w:color="auto"/>
            </w:tcBorders>
            <w:noWrap/>
            <w:vAlign w:val="center"/>
            <w:hideMark/>
          </w:tcPr>
          <w:p w14:paraId="6A97144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19,3</w:t>
            </w:r>
          </w:p>
        </w:tc>
      </w:tr>
      <w:tr w:rsidR="00522861" w:rsidRPr="006414E6" w14:paraId="4E27DBE7"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964597E"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Tekuća fosilna goriva</w:t>
            </w:r>
          </w:p>
        </w:tc>
        <w:tc>
          <w:tcPr>
            <w:tcW w:w="1417" w:type="dxa"/>
            <w:tcBorders>
              <w:top w:val="nil"/>
              <w:left w:val="nil"/>
              <w:bottom w:val="single" w:sz="4" w:space="0" w:color="auto"/>
              <w:right w:val="single" w:sz="4" w:space="0" w:color="auto"/>
            </w:tcBorders>
            <w:noWrap/>
            <w:vAlign w:val="center"/>
            <w:hideMark/>
          </w:tcPr>
          <w:p w14:paraId="59CA06B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3033,8</w:t>
            </w:r>
          </w:p>
        </w:tc>
        <w:tc>
          <w:tcPr>
            <w:tcW w:w="1417" w:type="dxa"/>
            <w:tcBorders>
              <w:top w:val="nil"/>
              <w:left w:val="nil"/>
              <w:bottom w:val="single" w:sz="4" w:space="0" w:color="auto"/>
              <w:right w:val="single" w:sz="4" w:space="0" w:color="auto"/>
            </w:tcBorders>
            <w:noWrap/>
            <w:vAlign w:val="center"/>
            <w:hideMark/>
          </w:tcPr>
          <w:p w14:paraId="3670B9C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2499,3</w:t>
            </w:r>
          </w:p>
        </w:tc>
        <w:tc>
          <w:tcPr>
            <w:tcW w:w="1417" w:type="dxa"/>
            <w:tcBorders>
              <w:top w:val="nil"/>
              <w:left w:val="nil"/>
              <w:bottom w:val="single" w:sz="4" w:space="0" w:color="auto"/>
              <w:right w:val="single" w:sz="4" w:space="0" w:color="auto"/>
            </w:tcBorders>
            <w:noWrap/>
            <w:vAlign w:val="center"/>
            <w:hideMark/>
          </w:tcPr>
          <w:p w14:paraId="1D93E79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1340,2</w:t>
            </w:r>
          </w:p>
        </w:tc>
      </w:tr>
      <w:tr w:rsidR="00522861" w:rsidRPr="006414E6" w14:paraId="1DD231D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A2BFD2A"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Prirodni plin</w:t>
            </w:r>
          </w:p>
        </w:tc>
        <w:tc>
          <w:tcPr>
            <w:tcW w:w="1417" w:type="dxa"/>
            <w:tcBorders>
              <w:top w:val="nil"/>
              <w:left w:val="nil"/>
              <w:bottom w:val="single" w:sz="4" w:space="0" w:color="auto"/>
              <w:right w:val="single" w:sz="4" w:space="0" w:color="auto"/>
            </w:tcBorders>
            <w:noWrap/>
            <w:vAlign w:val="center"/>
            <w:hideMark/>
          </w:tcPr>
          <w:p w14:paraId="349C22B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3168,9</w:t>
            </w:r>
          </w:p>
        </w:tc>
        <w:tc>
          <w:tcPr>
            <w:tcW w:w="1417" w:type="dxa"/>
            <w:tcBorders>
              <w:top w:val="nil"/>
              <w:left w:val="nil"/>
              <w:bottom w:val="single" w:sz="4" w:space="0" w:color="auto"/>
              <w:right w:val="single" w:sz="4" w:space="0" w:color="auto"/>
            </w:tcBorders>
            <w:noWrap/>
            <w:vAlign w:val="center"/>
            <w:hideMark/>
          </w:tcPr>
          <w:p w14:paraId="64EC233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1774,2</w:t>
            </w:r>
          </w:p>
        </w:tc>
        <w:tc>
          <w:tcPr>
            <w:tcW w:w="1417" w:type="dxa"/>
            <w:tcBorders>
              <w:top w:val="nil"/>
              <w:left w:val="nil"/>
              <w:bottom w:val="single" w:sz="4" w:space="0" w:color="auto"/>
              <w:right w:val="single" w:sz="4" w:space="0" w:color="auto"/>
            </w:tcBorders>
            <w:noWrap/>
            <w:vAlign w:val="center"/>
            <w:hideMark/>
          </w:tcPr>
          <w:p w14:paraId="520ED36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1455,4</w:t>
            </w:r>
          </w:p>
        </w:tc>
      </w:tr>
      <w:tr w:rsidR="00522861" w:rsidRPr="006414E6" w14:paraId="4990948D"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3CF3A95"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Obnovljivi izvori</w:t>
            </w:r>
          </w:p>
        </w:tc>
        <w:tc>
          <w:tcPr>
            <w:tcW w:w="1417" w:type="dxa"/>
            <w:tcBorders>
              <w:top w:val="nil"/>
              <w:left w:val="nil"/>
              <w:bottom w:val="single" w:sz="4" w:space="0" w:color="auto"/>
              <w:right w:val="single" w:sz="4" w:space="0" w:color="auto"/>
            </w:tcBorders>
            <w:noWrap/>
            <w:vAlign w:val="center"/>
            <w:hideMark/>
          </w:tcPr>
          <w:p w14:paraId="60073D6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2693,2</w:t>
            </w:r>
          </w:p>
        </w:tc>
        <w:tc>
          <w:tcPr>
            <w:tcW w:w="1417" w:type="dxa"/>
            <w:tcBorders>
              <w:top w:val="nil"/>
              <w:left w:val="nil"/>
              <w:bottom w:val="single" w:sz="4" w:space="0" w:color="auto"/>
              <w:right w:val="single" w:sz="4" w:space="0" w:color="auto"/>
            </w:tcBorders>
            <w:noWrap/>
            <w:vAlign w:val="center"/>
            <w:hideMark/>
          </w:tcPr>
          <w:p w14:paraId="10CC232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3043,0</w:t>
            </w:r>
          </w:p>
        </w:tc>
        <w:tc>
          <w:tcPr>
            <w:tcW w:w="1417" w:type="dxa"/>
            <w:tcBorders>
              <w:top w:val="nil"/>
              <w:left w:val="nil"/>
              <w:bottom w:val="single" w:sz="4" w:space="0" w:color="auto"/>
              <w:right w:val="single" w:sz="4" w:space="0" w:color="auto"/>
            </w:tcBorders>
            <w:noWrap/>
            <w:vAlign w:val="center"/>
            <w:hideMark/>
          </w:tcPr>
          <w:p w14:paraId="026DCE5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3663,9</w:t>
            </w:r>
          </w:p>
        </w:tc>
      </w:tr>
      <w:tr w:rsidR="00522861" w:rsidRPr="006414E6" w14:paraId="6DFEA854"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A9FB59F"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Neobnovljivi otpad</w:t>
            </w:r>
          </w:p>
        </w:tc>
        <w:tc>
          <w:tcPr>
            <w:tcW w:w="1417" w:type="dxa"/>
            <w:tcBorders>
              <w:top w:val="nil"/>
              <w:left w:val="nil"/>
              <w:bottom w:val="single" w:sz="4" w:space="0" w:color="auto"/>
              <w:right w:val="single" w:sz="4" w:space="0" w:color="auto"/>
            </w:tcBorders>
            <w:noWrap/>
            <w:vAlign w:val="center"/>
            <w:hideMark/>
          </w:tcPr>
          <w:p w14:paraId="6C0781C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10,6</w:t>
            </w:r>
          </w:p>
        </w:tc>
        <w:tc>
          <w:tcPr>
            <w:tcW w:w="1417" w:type="dxa"/>
            <w:tcBorders>
              <w:top w:val="nil"/>
              <w:left w:val="nil"/>
              <w:bottom w:val="single" w:sz="4" w:space="0" w:color="auto"/>
              <w:right w:val="single" w:sz="4" w:space="0" w:color="auto"/>
            </w:tcBorders>
            <w:noWrap/>
            <w:vAlign w:val="center"/>
            <w:hideMark/>
          </w:tcPr>
          <w:p w14:paraId="770ABA8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10,0</w:t>
            </w:r>
          </w:p>
        </w:tc>
        <w:tc>
          <w:tcPr>
            <w:tcW w:w="1417" w:type="dxa"/>
            <w:tcBorders>
              <w:top w:val="nil"/>
              <w:left w:val="nil"/>
              <w:bottom w:val="single" w:sz="4" w:space="0" w:color="auto"/>
              <w:right w:val="single" w:sz="4" w:space="0" w:color="auto"/>
            </w:tcBorders>
            <w:noWrap/>
            <w:vAlign w:val="center"/>
            <w:hideMark/>
          </w:tcPr>
          <w:p w14:paraId="71A1F9F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8,1</w:t>
            </w:r>
          </w:p>
        </w:tc>
      </w:tr>
      <w:tr w:rsidR="00522861" w:rsidRPr="006414E6" w14:paraId="62FBBA0C"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D8CA29D"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Električna energija</w:t>
            </w:r>
          </w:p>
        </w:tc>
        <w:tc>
          <w:tcPr>
            <w:tcW w:w="1417" w:type="dxa"/>
            <w:tcBorders>
              <w:top w:val="nil"/>
              <w:left w:val="nil"/>
              <w:bottom w:val="single" w:sz="4" w:space="0" w:color="auto"/>
              <w:right w:val="single" w:sz="4" w:space="0" w:color="auto"/>
            </w:tcBorders>
            <w:noWrap/>
            <w:vAlign w:val="center"/>
            <w:hideMark/>
          </w:tcPr>
          <w:p w14:paraId="774743D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292,7</w:t>
            </w:r>
          </w:p>
        </w:tc>
        <w:tc>
          <w:tcPr>
            <w:tcW w:w="1417" w:type="dxa"/>
            <w:tcBorders>
              <w:top w:val="nil"/>
              <w:left w:val="nil"/>
              <w:bottom w:val="single" w:sz="4" w:space="0" w:color="auto"/>
              <w:right w:val="single" w:sz="4" w:space="0" w:color="auto"/>
            </w:tcBorders>
            <w:noWrap/>
            <w:vAlign w:val="center"/>
            <w:hideMark/>
          </w:tcPr>
          <w:p w14:paraId="0403658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157,9</w:t>
            </w:r>
          </w:p>
        </w:tc>
        <w:tc>
          <w:tcPr>
            <w:tcW w:w="1417" w:type="dxa"/>
            <w:tcBorders>
              <w:top w:val="nil"/>
              <w:left w:val="nil"/>
              <w:bottom w:val="single" w:sz="4" w:space="0" w:color="auto"/>
              <w:right w:val="single" w:sz="4" w:space="0" w:color="auto"/>
            </w:tcBorders>
            <w:noWrap/>
            <w:vAlign w:val="center"/>
            <w:hideMark/>
          </w:tcPr>
          <w:p w14:paraId="115AC9C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2,2</w:t>
            </w:r>
          </w:p>
        </w:tc>
      </w:tr>
      <w:tr w:rsidR="00522861" w:rsidRPr="006414E6" w14:paraId="051BE339"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6E1D47A2"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Vodik</w:t>
            </w:r>
          </w:p>
        </w:tc>
        <w:tc>
          <w:tcPr>
            <w:tcW w:w="1417" w:type="dxa"/>
            <w:tcBorders>
              <w:top w:val="nil"/>
              <w:left w:val="nil"/>
              <w:bottom w:val="double" w:sz="4" w:space="0" w:color="auto"/>
              <w:right w:val="single" w:sz="4" w:space="0" w:color="auto"/>
            </w:tcBorders>
            <w:noWrap/>
            <w:vAlign w:val="center"/>
            <w:hideMark/>
          </w:tcPr>
          <w:p w14:paraId="7451F38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0,0</w:t>
            </w:r>
          </w:p>
        </w:tc>
        <w:tc>
          <w:tcPr>
            <w:tcW w:w="1417" w:type="dxa"/>
            <w:tcBorders>
              <w:top w:val="nil"/>
              <w:left w:val="nil"/>
              <w:bottom w:val="double" w:sz="4" w:space="0" w:color="auto"/>
              <w:right w:val="single" w:sz="4" w:space="0" w:color="auto"/>
            </w:tcBorders>
            <w:noWrap/>
            <w:vAlign w:val="center"/>
            <w:hideMark/>
          </w:tcPr>
          <w:p w14:paraId="06F9896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0,3</w:t>
            </w:r>
          </w:p>
        </w:tc>
        <w:tc>
          <w:tcPr>
            <w:tcW w:w="1417" w:type="dxa"/>
            <w:tcBorders>
              <w:top w:val="nil"/>
              <w:left w:val="nil"/>
              <w:bottom w:val="double" w:sz="4" w:space="0" w:color="auto"/>
              <w:right w:val="single" w:sz="4" w:space="0" w:color="auto"/>
            </w:tcBorders>
            <w:noWrap/>
            <w:vAlign w:val="center"/>
            <w:hideMark/>
          </w:tcPr>
          <w:p w14:paraId="2E18B67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30,2</w:t>
            </w:r>
          </w:p>
        </w:tc>
      </w:tr>
      <w:tr w:rsidR="00522861" w:rsidRPr="006414E6" w14:paraId="0D2557AC"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9E8B0D7"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0ED4E54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8407,5</w:t>
            </w:r>
          </w:p>
        </w:tc>
        <w:tc>
          <w:tcPr>
            <w:tcW w:w="1417" w:type="dxa"/>
            <w:tcBorders>
              <w:top w:val="double" w:sz="4" w:space="0" w:color="auto"/>
              <w:left w:val="nil"/>
              <w:bottom w:val="single" w:sz="4" w:space="0" w:color="auto"/>
              <w:right w:val="single" w:sz="4" w:space="0" w:color="auto"/>
            </w:tcBorders>
            <w:noWrap/>
            <w:vAlign w:val="center"/>
            <w:hideMark/>
          </w:tcPr>
          <w:p w14:paraId="186B841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7520,4</w:t>
            </w:r>
          </w:p>
        </w:tc>
        <w:tc>
          <w:tcPr>
            <w:tcW w:w="1417" w:type="dxa"/>
            <w:tcBorders>
              <w:top w:val="double" w:sz="4" w:space="0" w:color="auto"/>
              <w:left w:val="nil"/>
              <w:bottom w:val="single" w:sz="4" w:space="0" w:color="auto"/>
              <w:right w:val="single" w:sz="4" w:space="0" w:color="auto"/>
            </w:tcBorders>
            <w:noWrap/>
            <w:vAlign w:val="center"/>
            <w:hideMark/>
          </w:tcPr>
          <w:p w14:paraId="6FB851C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6519,2</w:t>
            </w:r>
          </w:p>
        </w:tc>
      </w:tr>
    </w:tbl>
    <w:p w14:paraId="797D40BF" w14:textId="77777777" w:rsidR="00522861" w:rsidRPr="006414E6" w:rsidRDefault="00522861" w:rsidP="00522861">
      <w:pPr>
        <w:rPr>
          <w:rFonts w:cs="Times New Roman"/>
          <w:u w:val="single"/>
        </w:rPr>
      </w:pPr>
      <w:r w:rsidRPr="006414E6">
        <w:rPr>
          <w:rFonts w:cs="Times New Roman"/>
          <w:u w:val="single"/>
        </w:rPr>
        <w:t>Obnovljivi izvori energije</w:t>
      </w:r>
    </w:p>
    <w:p w14:paraId="3EDB9EFD" w14:textId="77777777" w:rsidR="00522861" w:rsidRPr="006414E6" w:rsidRDefault="00522861" w:rsidP="00522861">
      <w:pPr>
        <w:rPr>
          <w:rFonts w:cs="Times New Roman"/>
        </w:rPr>
      </w:pPr>
      <w:r w:rsidRPr="006414E6">
        <w:rPr>
          <w:rFonts w:cs="Times New Roman"/>
        </w:rPr>
        <w:t>U NU2 scenariju očekuje se snažan porast korištenja energije iz obnovljivih izvora i diversifikacija korištenih izvora energije. Do 2030. korištenje OIE se povećava za 42%, a do 2050. godine za 93%.</w:t>
      </w:r>
    </w:p>
    <w:p w14:paraId="6303BA8E" w14:textId="77777777" w:rsidR="00522861" w:rsidRPr="006414E6" w:rsidRDefault="00522861" w:rsidP="00522861">
      <w:pPr>
        <w:rPr>
          <w:rFonts w:cs="Times New Roman"/>
        </w:rPr>
      </w:pPr>
      <w:r w:rsidRPr="006414E6">
        <w:rPr>
          <w:rFonts w:cs="Times New Roman"/>
        </w:rPr>
        <w:t>U tablici III.1-4 prikazane su projekcije potrošnje obnovljivih izvora energije u NU2 scenariju.</w:t>
      </w:r>
    </w:p>
    <w:p w14:paraId="4BC20D1B" w14:textId="77777777" w:rsidR="00522861" w:rsidRPr="006414E6" w:rsidRDefault="00522861" w:rsidP="00E57F72">
      <w:pPr>
        <w:rPr>
          <w:rFonts w:cs="Times New Roman"/>
          <w:i/>
        </w:rPr>
      </w:pPr>
      <w:r w:rsidRPr="006414E6">
        <w:rPr>
          <w:rFonts w:cs="Times New Roman"/>
          <w:i/>
        </w:rPr>
        <w:t xml:space="preserve">Tablica III.1-4: Projekcije potrošnje obnovljivih izvora energije u NU2 scenariju </w:t>
      </w:r>
    </w:p>
    <w:tbl>
      <w:tblPr>
        <w:tblW w:w="7086" w:type="dxa"/>
        <w:tblLook w:val="04A0" w:firstRow="1" w:lastRow="0" w:firstColumn="1" w:lastColumn="0" w:noHBand="0" w:noVBand="1"/>
      </w:tblPr>
      <w:tblGrid>
        <w:gridCol w:w="2835"/>
        <w:gridCol w:w="1417"/>
        <w:gridCol w:w="1417"/>
        <w:gridCol w:w="1417"/>
      </w:tblGrid>
      <w:tr w:rsidR="00522861" w:rsidRPr="006414E6" w14:paraId="4EA7492C"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E7D9F78" w14:textId="77777777" w:rsidR="00522861" w:rsidRPr="006414E6" w:rsidRDefault="00522861" w:rsidP="00E57F72">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5BB68D"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773815"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AF56F1"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543CEE34"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2AEECDD"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Geotermalna energija</w:t>
            </w:r>
          </w:p>
        </w:tc>
        <w:tc>
          <w:tcPr>
            <w:tcW w:w="1417" w:type="dxa"/>
            <w:tcBorders>
              <w:top w:val="nil"/>
              <w:left w:val="nil"/>
              <w:bottom w:val="single" w:sz="4" w:space="0" w:color="auto"/>
              <w:right w:val="single" w:sz="4" w:space="0" w:color="auto"/>
            </w:tcBorders>
            <w:noWrap/>
            <w:vAlign w:val="center"/>
            <w:hideMark/>
          </w:tcPr>
          <w:p w14:paraId="0BC17F8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152,3</w:t>
            </w:r>
          </w:p>
        </w:tc>
        <w:tc>
          <w:tcPr>
            <w:tcW w:w="1417" w:type="dxa"/>
            <w:tcBorders>
              <w:top w:val="nil"/>
              <w:left w:val="nil"/>
              <w:bottom w:val="single" w:sz="4" w:space="0" w:color="auto"/>
              <w:right w:val="single" w:sz="4" w:space="0" w:color="auto"/>
            </w:tcBorders>
            <w:noWrap/>
            <w:vAlign w:val="center"/>
            <w:hideMark/>
          </w:tcPr>
          <w:p w14:paraId="19461C1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373,5</w:t>
            </w:r>
          </w:p>
        </w:tc>
        <w:tc>
          <w:tcPr>
            <w:tcW w:w="1417" w:type="dxa"/>
            <w:tcBorders>
              <w:top w:val="nil"/>
              <w:left w:val="nil"/>
              <w:bottom w:val="single" w:sz="4" w:space="0" w:color="auto"/>
              <w:right w:val="single" w:sz="4" w:space="0" w:color="auto"/>
            </w:tcBorders>
            <w:noWrap/>
            <w:vAlign w:val="center"/>
            <w:hideMark/>
          </w:tcPr>
          <w:p w14:paraId="31B051C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441,2</w:t>
            </w:r>
          </w:p>
        </w:tc>
      </w:tr>
      <w:tr w:rsidR="00522861" w:rsidRPr="006414E6" w14:paraId="286CAE57"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08B32F8"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Biogoriva</w:t>
            </w:r>
          </w:p>
        </w:tc>
        <w:tc>
          <w:tcPr>
            <w:tcW w:w="1417" w:type="dxa"/>
            <w:tcBorders>
              <w:top w:val="nil"/>
              <w:left w:val="nil"/>
              <w:bottom w:val="single" w:sz="4" w:space="0" w:color="auto"/>
              <w:right w:val="single" w:sz="4" w:space="0" w:color="auto"/>
            </w:tcBorders>
            <w:noWrap/>
            <w:vAlign w:val="center"/>
            <w:hideMark/>
          </w:tcPr>
          <w:p w14:paraId="372F2FC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132,7</w:t>
            </w:r>
          </w:p>
        </w:tc>
        <w:tc>
          <w:tcPr>
            <w:tcW w:w="1417" w:type="dxa"/>
            <w:tcBorders>
              <w:top w:val="nil"/>
              <w:left w:val="nil"/>
              <w:bottom w:val="single" w:sz="4" w:space="0" w:color="auto"/>
              <w:right w:val="single" w:sz="4" w:space="0" w:color="auto"/>
            </w:tcBorders>
            <w:noWrap/>
            <w:vAlign w:val="center"/>
            <w:hideMark/>
          </w:tcPr>
          <w:p w14:paraId="2849D84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269,6</w:t>
            </w:r>
          </w:p>
        </w:tc>
        <w:tc>
          <w:tcPr>
            <w:tcW w:w="1417" w:type="dxa"/>
            <w:tcBorders>
              <w:top w:val="nil"/>
              <w:left w:val="nil"/>
              <w:bottom w:val="single" w:sz="4" w:space="0" w:color="auto"/>
              <w:right w:val="single" w:sz="4" w:space="0" w:color="auto"/>
            </w:tcBorders>
            <w:noWrap/>
            <w:vAlign w:val="center"/>
            <w:hideMark/>
          </w:tcPr>
          <w:p w14:paraId="33FA67C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109,8</w:t>
            </w:r>
          </w:p>
        </w:tc>
      </w:tr>
      <w:tr w:rsidR="00522861" w:rsidRPr="006414E6" w14:paraId="29E82A92"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C69000B"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Bioplin</w:t>
            </w:r>
          </w:p>
        </w:tc>
        <w:tc>
          <w:tcPr>
            <w:tcW w:w="1417" w:type="dxa"/>
            <w:tcBorders>
              <w:top w:val="nil"/>
              <w:left w:val="nil"/>
              <w:bottom w:val="single" w:sz="4" w:space="0" w:color="auto"/>
              <w:right w:val="single" w:sz="4" w:space="0" w:color="auto"/>
            </w:tcBorders>
            <w:noWrap/>
            <w:vAlign w:val="center"/>
            <w:hideMark/>
          </w:tcPr>
          <w:p w14:paraId="133387E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67,9</w:t>
            </w:r>
          </w:p>
        </w:tc>
        <w:tc>
          <w:tcPr>
            <w:tcW w:w="1417" w:type="dxa"/>
            <w:tcBorders>
              <w:top w:val="nil"/>
              <w:left w:val="nil"/>
              <w:bottom w:val="single" w:sz="4" w:space="0" w:color="auto"/>
              <w:right w:val="single" w:sz="4" w:space="0" w:color="auto"/>
            </w:tcBorders>
            <w:noWrap/>
            <w:vAlign w:val="center"/>
            <w:hideMark/>
          </w:tcPr>
          <w:p w14:paraId="3AF2788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76,7</w:t>
            </w:r>
          </w:p>
        </w:tc>
        <w:tc>
          <w:tcPr>
            <w:tcW w:w="1417" w:type="dxa"/>
            <w:tcBorders>
              <w:top w:val="nil"/>
              <w:left w:val="nil"/>
              <w:bottom w:val="single" w:sz="4" w:space="0" w:color="auto"/>
              <w:right w:val="single" w:sz="4" w:space="0" w:color="auto"/>
            </w:tcBorders>
            <w:noWrap/>
            <w:vAlign w:val="center"/>
            <w:hideMark/>
          </w:tcPr>
          <w:p w14:paraId="030675F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123,5</w:t>
            </w:r>
          </w:p>
        </w:tc>
      </w:tr>
      <w:tr w:rsidR="00522861" w:rsidRPr="006414E6" w14:paraId="57758759"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AB5F277"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Kruta biomasa</w:t>
            </w:r>
          </w:p>
        </w:tc>
        <w:tc>
          <w:tcPr>
            <w:tcW w:w="1417" w:type="dxa"/>
            <w:tcBorders>
              <w:top w:val="nil"/>
              <w:left w:val="nil"/>
              <w:bottom w:val="single" w:sz="4" w:space="0" w:color="auto"/>
              <w:right w:val="single" w:sz="4" w:space="0" w:color="auto"/>
            </w:tcBorders>
            <w:noWrap/>
            <w:vAlign w:val="center"/>
            <w:hideMark/>
          </w:tcPr>
          <w:p w14:paraId="41239E6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1083,1</w:t>
            </w:r>
          </w:p>
        </w:tc>
        <w:tc>
          <w:tcPr>
            <w:tcW w:w="1417" w:type="dxa"/>
            <w:tcBorders>
              <w:top w:val="nil"/>
              <w:left w:val="nil"/>
              <w:bottom w:val="single" w:sz="4" w:space="0" w:color="auto"/>
              <w:right w:val="single" w:sz="4" w:space="0" w:color="auto"/>
            </w:tcBorders>
            <w:noWrap/>
            <w:vAlign w:val="center"/>
            <w:hideMark/>
          </w:tcPr>
          <w:p w14:paraId="0E80300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677,0</w:t>
            </w:r>
          </w:p>
        </w:tc>
        <w:tc>
          <w:tcPr>
            <w:tcW w:w="1417" w:type="dxa"/>
            <w:tcBorders>
              <w:top w:val="nil"/>
              <w:left w:val="nil"/>
              <w:bottom w:val="single" w:sz="4" w:space="0" w:color="auto"/>
              <w:right w:val="single" w:sz="4" w:space="0" w:color="auto"/>
            </w:tcBorders>
            <w:noWrap/>
            <w:vAlign w:val="center"/>
            <w:hideMark/>
          </w:tcPr>
          <w:p w14:paraId="66BF643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656,0</w:t>
            </w:r>
          </w:p>
        </w:tc>
      </w:tr>
      <w:tr w:rsidR="00522861" w:rsidRPr="006414E6" w14:paraId="159B02DB"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2D63F97"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Energija Sunca</w:t>
            </w:r>
          </w:p>
        </w:tc>
        <w:tc>
          <w:tcPr>
            <w:tcW w:w="1417" w:type="dxa"/>
            <w:tcBorders>
              <w:top w:val="nil"/>
              <w:left w:val="nil"/>
              <w:bottom w:val="single" w:sz="4" w:space="0" w:color="auto"/>
              <w:right w:val="single" w:sz="4" w:space="0" w:color="auto"/>
            </w:tcBorders>
            <w:noWrap/>
            <w:vAlign w:val="center"/>
            <w:hideMark/>
          </w:tcPr>
          <w:p w14:paraId="0052710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157,4</w:t>
            </w:r>
          </w:p>
        </w:tc>
        <w:tc>
          <w:tcPr>
            <w:tcW w:w="1417" w:type="dxa"/>
            <w:tcBorders>
              <w:top w:val="nil"/>
              <w:left w:val="nil"/>
              <w:bottom w:val="single" w:sz="4" w:space="0" w:color="auto"/>
              <w:right w:val="single" w:sz="4" w:space="0" w:color="auto"/>
            </w:tcBorders>
            <w:noWrap/>
            <w:vAlign w:val="center"/>
            <w:hideMark/>
          </w:tcPr>
          <w:p w14:paraId="75C6E5F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368,0</w:t>
            </w:r>
          </w:p>
        </w:tc>
        <w:tc>
          <w:tcPr>
            <w:tcW w:w="1417" w:type="dxa"/>
            <w:tcBorders>
              <w:top w:val="nil"/>
              <w:left w:val="nil"/>
              <w:bottom w:val="single" w:sz="4" w:space="0" w:color="auto"/>
              <w:right w:val="single" w:sz="4" w:space="0" w:color="auto"/>
            </w:tcBorders>
            <w:noWrap/>
            <w:vAlign w:val="center"/>
            <w:hideMark/>
          </w:tcPr>
          <w:p w14:paraId="6A713F6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584,8</w:t>
            </w:r>
          </w:p>
        </w:tc>
      </w:tr>
      <w:tr w:rsidR="00522861" w:rsidRPr="006414E6" w14:paraId="52C6540B"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6C93F42"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Energija vjetra</w:t>
            </w:r>
          </w:p>
        </w:tc>
        <w:tc>
          <w:tcPr>
            <w:tcW w:w="1417" w:type="dxa"/>
            <w:tcBorders>
              <w:top w:val="nil"/>
              <w:left w:val="nil"/>
              <w:bottom w:val="single" w:sz="4" w:space="0" w:color="auto"/>
              <w:right w:val="single" w:sz="4" w:space="0" w:color="auto"/>
            </w:tcBorders>
            <w:noWrap/>
            <w:vAlign w:val="center"/>
            <w:hideMark/>
          </w:tcPr>
          <w:p w14:paraId="218CAD8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327,4</w:t>
            </w:r>
          </w:p>
        </w:tc>
        <w:tc>
          <w:tcPr>
            <w:tcW w:w="1417" w:type="dxa"/>
            <w:tcBorders>
              <w:top w:val="nil"/>
              <w:left w:val="nil"/>
              <w:bottom w:val="single" w:sz="4" w:space="0" w:color="auto"/>
              <w:right w:val="single" w:sz="4" w:space="0" w:color="auto"/>
            </w:tcBorders>
            <w:noWrap/>
            <w:vAlign w:val="center"/>
            <w:hideMark/>
          </w:tcPr>
          <w:p w14:paraId="2CEAEDB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617,7</w:t>
            </w:r>
          </w:p>
        </w:tc>
        <w:tc>
          <w:tcPr>
            <w:tcW w:w="1417" w:type="dxa"/>
            <w:tcBorders>
              <w:top w:val="nil"/>
              <w:left w:val="nil"/>
              <w:bottom w:val="single" w:sz="4" w:space="0" w:color="auto"/>
              <w:right w:val="single" w:sz="4" w:space="0" w:color="auto"/>
            </w:tcBorders>
            <w:noWrap/>
            <w:vAlign w:val="center"/>
            <w:hideMark/>
          </w:tcPr>
          <w:p w14:paraId="4BAD4F41"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908,3</w:t>
            </w:r>
          </w:p>
        </w:tc>
      </w:tr>
      <w:tr w:rsidR="00522861" w:rsidRPr="006414E6" w14:paraId="5F95866B"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1D930543"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Hidroenergija</w:t>
            </w:r>
          </w:p>
        </w:tc>
        <w:tc>
          <w:tcPr>
            <w:tcW w:w="1417" w:type="dxa"/>
            <w:tcBorders>
              <w:top w:val="nil"/>
              <w:left w:val="nil"/>
              <w:bottom w:val="double" w:sz="4" w:space="0" w:color="auto"/>
              <w:right w:val="single" w:sz="4" w:space="0" w:color="auto"/>
            </w:tcBorders>
            <w:noWrap/>
            <w:vAlign w:val="center"/>
            <w:hideMark/>
          </w:tcPr>
          <w:p w14:paraId="2C3D97F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628,3</w:t>
            </w:r>
          </w:p>
        </w:tc>
        <w:tc>
          <w:tcPr>
            <w:tcW w:w="1417" w:type="dxa"/>
            <w:tcBorders>
              <w:top w:val="nil"/>
              <w:left w:val="nil"/>
              <w:bottom w:val="double" w:sz="4" w:space="0" w:color="auto"/>
              <w:right w:val="single" w:sz="4" w:space="0" w:color="auto"/>
            </w:tcBorders>
            <w:noWrap/>
            <w:vAlign w:val="center"/>
            <w:hideMark/>
          </w:tcPr>
          <w:p w14:paraId="51FB69D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565,7</w:t>
            </w:r>
          </w:p>
        </w:tc>
        <w:tc>
          <w:tcPr>
            <w:tcW w:w="1417" w:type="dxa"/>
            <w:tcBorders>
              <w:top w:val="nil"/>
              <w:left w:val="nil"/>
              <w:bottom w:val="double" w:sz="4" w:space="0" w:color="auto"/>
              <w:right w:val="single" w:sz="4" w:space="0" w:color="auto"/>
            </w:tcBorders>
            <w:noWrap/>
            <w:vAlign w:val="center"/>
            <w:hideMark/>
          </w:tcPr>
          <w:p w14:paraId="351772A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840,3</w:t>
            </w:r>
          </w:p>
        </w:tc>
      </w:tr>
      <w:tr w:rsidR="00522861" w:rsidRPr="006414E6" w14:paraId="43307133"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652A159"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2B048B1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2693,2</w:t>
            </w:r>
          </w:p>
        </w:tc>
        <w:tc>
          <w:tcPr>
            <w:tcW w:w="1417" w:type="dxa"/>
            <w:tcBorders>
              <w:top w:val="double" w:sz="4" w:space="0" w:color="auto"/>
              <w:left w:val="nil"/>
              <w:bottom w:val="single" w:sz="4" w:space="0" w:color="auto"/>
              <w:right w:val="single" w:sz="4" w:space="0" w:color="auto"/>
            </w:tcBorders>
            <w:noWrap/>
            <w:vAlign w:val="center"/>
            <w:hideMark/>
          </w:tcPr>
          <w:p w14:paraId="68585D7F"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3039,1</w:t>
            </w:r>
          </w:p>
        </w:tc>
        <w:tc>
          <w:tcPr>
            <w:tcW w:w="1417" w:type="dxa"/>
            <w:tcBorders>
              <w:top w:val="double" w:sz="4" w:space="0" w:color="auto"/>
              <w:left w:val="nil"/>
              <w:bottom w:val="single" w:sz="4" w:space="0" w:color="auto"/>
              <w:right w:val="single" w:sz="4" w:space="0" w:color="auto"/>
            </w:tcBorders>
            <w:noWrap/>
            <w:vAlign w:val="center"/>
            <w:hideMark/>
          </w:tcPr>
          <w:p w14:paraId="2107CC2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3663,9</w:t>
            </w:r>
          </w:p>
        </w:tc>
      </w:tr>
    </w:tbl>
    <w:p w14:paraId="71F62B43" w14:textId="77777777" w:rsidR="00522861" w:rsidRPr="006414E6" w:rsidRDefault="00522861" w:rsidP="00E57F72">
      <w:pPr>
        <w:rPr>
          <w:rFonts w:cs="Times New Roman"/>
          <w:u w:val="single"/>
        </w:rPr>
      </w:pPr>
      <w:r w:rsidRPr="006414E6">
        <w:rPr>
          <w:rFonts w:cs="Times New Roman"/>
          <w:u w:val="single"/>
        </w:rPr>
        <w:t>Proizvodnja električne energije i topline</w:t>
      </w:r>
    </w:p>
    <w:p w14:paraId="29485F29" w14:textId="77777777" w:rsidR="00522861" w:rsidRPr="006414E6" w:rsidRDefault="00522861" w:rsidP="00E57F72">
      <w:pPr>
        <w:rPr>
          <w:rFonts w:cs="Times New Roman"/>
        </w:rPr>
      </w:pPr>
      <w:r w:rsidRPr="006414E6">
        <w:rPr>
          <w:rFonts w:cs="Times New Roman"/>
        </w:rPr>
        <w:t>U NU2 scenariju očekuje se povećanje domaće proizvodnje i značajna promjena u strukturi proizvodnje električne energije. Povećava se udio obnovljivih izvora energije, a smanjuje udio proizvodnje termoelektrana (općenito – termoelektrane, javne toplane i industrijske kogeneracije). Do kraja promatranog razdoblja sve potrebne količine električne energije mogle bi se proizvesti iz domaćih elektrana, ali je moguća razmjena sa susjednim sustavima (tj. neto uvoz je jednak nuli).</w:t>
      </w:r>
    </w:p>
    <w:p w14:paraId="7A124DFA" w14:textId="77777777" w:rsidR="00522861" w:rsidRPr="006414E6" w:rsidRDefault="00522861" w:rsidP="00522861">
      <w:pPr>
        <w:rPr>
          <w:rFonts w:cs="Times New Roman"/>
        </w:rPr>
      </w:pPr>
      <w:r w:rsidRPr="006414E6">
        <w:rPr>
          <w:rFonts w:cs="Times New Roman"/>
        </w:rPr>
        <w:t xml:space="preserve">U NU2 scenariju ukupna snaga elektrana raste na 7,1 GW u 2030. godini, odnosno na 12,9 GW u 2050. godini. Prosječno je godišnje potrebno izgraditi oko 350 MW novih elektrana. Osnovni razlog </w:t>
      </w:r>
      <w:r w:rsidRPr="006414E6">
        <w:rPr>
          <w:rFonts w:cs="Times New Roman"/>
        </w:rPr>
        <w:lastRenderedPageBreak/>
        <w:t>značajnom povećanju snage je izgradnja velikog broja OIE, u prosjeku se tijekom tridesetogodišnjeg razdoblja gradi 110 MW novih vjetroelektrana godišnje te 100 MW sunčanih elektrana godišnje.</w:t>
      </w:r>
    </w:p>
    <w:p w14:paraId="46FF969D" w14:textId="77777777" w:rsidR="00522861" w:rsidRPr="006414E6" w:rsidRDefault="00522861" w:rsidP="00522861">
      <w:pPr>
        <w:rPr>
          <w:rFonts w:cs="Times New Roman"/>
        </w:rPr>
      </w:pPr>
      <w:r w:rsidRPr="006414E6">
        <w:rPr>
          <w:rFonts w:cs="Times New Roman"/>
        </w:rPr>
        <w:t>U NU1 do kraja razdoblja pretpostavljen je izlazak iz pogona NE Krško te postojećih jedinica na lokaciji Plomin. Nema izgradnje novih TE na ugljen.</w:t>
      </w:r>
    </w:p>
    <w:p w14:paraId="3AE18896" w14:textId="77777777" w:rsidR="00522861" w:rsidRPr="006414E6" w:rsidRDefault="00522861" w:rsidP="00522861">
      <w:pPr>
        <w:rPr>
          <w:rFonts w:cs="Times New Roman"/>
        </w:rPr>
      </w:pPr>
      <w:r w:rsidRPr="006414E6">
        <w:rPr>
          <w:rFonts w:cs="Times New Roman"/>
        </w:rPr>
        <w:t>U tablici III.1-5 prikazane su projekcije proizvodnje električne energije u NU2 scenariju.</w:t>
      </w:r>
    </w:p>
    <w:p w14:paraId="6A0838DE" w14:textId="77777777" w:rsidR="00522861" w:rsidRPr="006414E6" w:rsidRDefault="00522861" w:rsidP="00E57F72">
      <w:pPr>
        <w:rPr>
          <w:rFonts w:cs="Times New Roman"/>
          <w:i/>
        </w:rPr>
      </w:pPr>
      <w:r w:rsidRPr="006414E6">
        <w:rPr>
          <w:rFonts w:cs="Times New Roman"/>
          <w:i/>
        </w:rPr>
        <w:t xml:space="preserve">Tablica III.1-5: Projekcije proizvodnje električne energije u NU2 scenariju </w:t>
      </w:r>
    </w:p>
    <w:tbl>
      <w:tblPr>
        <w:tblW w:w="7086" w:type="dxa"/>
        <w:tblLook w:val="04A0" w:firstRow="1" w:lastRow="0" w:firstColumn="1" w:lastColumn="0" w:noHBand="0" w:noVBand="1"/>
      </w:tblPr>
      <w:tblGrid>
        <w:gridCol w:w="2835"/>
        <w:gridCol w:w="1417"/>
        <w:gridCol w:w="1417"/>
        <w:gridCol w:w="1417"/>
      </w:tblGrid>
      <w:tr w:rsidR="00522861" w:rsidRPr="006414E6" w14:paraId="471DF5CB"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87A8D44" w14:textId="77777777" w:rsidR="00522861" w:rsidRPr="006414E6" w:rsidRDefault="00522861" w:rsidP="00E57F72">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8A43C4"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569CC9"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C971C2"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727AF863"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6B502D"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Industrijske kogeneracije</w:t>
            </w:r>
          </w:p>
        </w:tc>
        <w:tc>
          <w:tcPr>
            <w:tcW w:w="1417" w:type="dxa"/>
            <w:tcBorders>
              <w:top w:val="nil"/>
              <w:left w:val="nil"/>
              <w:bottom w:val="single" w:sz="4" w:space="0" w:color="auto"/>
              <w:right w:val="single" w:sz="4" w:space="0" w:color="auto"/>
            </w:tcBorders>
            <w:noWrap/>
            <w:vAlign w:val="center"/>
            <w:hideMark/>
          </w:tcPr>
          <w:p w14:paraId="26EFA99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320,3</w:t>
            </w:r>
          </w:p>
        </w:tc>
        <w:tc>
          <w:tcPr>
            <w:tcW w:w="1417" w:type="dxa"/>
            <w:tcBorders>
              <w:top w:val="nil"/>
              <w:left w:val="nil"/>
              <w:bottom w:val="single" w:sz="4" w:space="0" w:color="auto"/>
              <w:right w:val="single" w:sz="4" w:space="0" w:color="auto"/>
            </w:tcBorders>
            <w:noWrap/>
            <w:vAlign w:val="center"/>
            <w:hideMark/>
          </w:tcPr>
          <w:p w14:paraId="534AA8A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280,4</w:t>
            </w:r>
          </w:p>
        </w:tc>
        <w:tc>
          <w:tcPr>
            <w:tcW w:w="1417" w:type="dxa"/>
            <w:tcBorders>
              <w:top w:val="nil"/>
              <w:left w:val="nil"/>
              <w:bottom w:val="single" w:sz="4" w:space="0" w:color="auto"/>
              <w:right w:val="single" w:sz="4" w:space="0" w:color="auto"/>
            </w:tcBorders>
            <w:noWrap/>
            <w:vAlign w:val="center"/>
            <w:hideMark/>
          </w:tcPr>
          <w:p w14:paraId="7234E67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239,8</w:t>
            </w:r>
          </w:p>
        </w:tc>
      </w:tr>
      <w:tr w:rsidR="00522861" w:rsidRPr="006414E6" w14:paraId="3074AA3C"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297E9F8"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Javne kogeneracije</w:t>
            </w:r>
          </w:p>
        </w:tc>
        <w:tc>
          <w:tcPr>
            <w:tcW w:w="1417" w:type="dxa"/>
            <w:tcBorders>
              <w:top w:val="nil"/>
              <w:left w:val="nil"/>
              <w:bottom w:val="single" w:sz="4" w:space="0" w:color="auto"/>
              <w:right w:val="single" w:sz="4" w:space="0" w:color="auto"/>
            </w:tcBorders>
            <w:noWrap/>
            <w:vAlign w:val="center"/>
            <w:hideMark/>
          </w:tcPr>
          <w:p w14:paraId="48F7C09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3316,4</w:t>
            </w:r>
          </w:p>
        </w:tc>
        <w:tc>
          <w:tcPr>
            <w:tcW w:w="1417" w:type="dxa"/>
            <w:tcBorders>
              <w:top w:val="nil"/>
              <w:left w:val="nil"/>
              <w:bottom w:val="single" w:sz="4" w:space="0" w:color="auto"/>
              <w:right w:val="single" w:sz="4" w:space="0" w:color="auto"/>
            </w:tcBorders>
            <w:noWrap/>
            <w:vAlign w:val="center"/>
            <w:hideMark/>
          </w:tcPr>
          <w:p w14:paraId="63A501B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2394,0</w:t>
            </w:r>
          </w:p>
        </w:tc>
        <w:tc>
          <w:tcPr>
            <w:tcW w:w="1417" w:type="dxa"/>
            <w:tcBorders>
              <w:top w:val="nil"/>
              <w:left w:val="nil"/>
              <w:bottom w:val="single" w:sz="4" w:space="0" w:color="auto"/>
              <w:right w:val="single" w:sz="4" w:space="0" w:color="auto"/>
            </w:tcBorders>
            <w:noWrap/>
            <w:vAlign w:val="center"/>
            <w:hideMark/>
          </w:tcPr>
          <w:p w14:paraId="4C3F38D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1636,8</w:t>
            </w:r>
          </w:p>
        </w:tc>
      </w:tr>
      <w:tr w:rsidR="00522861" w:rsidRPr="006414E6" w14:paraId="5227FFD8"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6B38BA1"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Termoelektrane</w:t>
            </w:r>
          </w:p>
        </w:tc>
        <w:tc>
          <w:tcPr>
            <w:tcW w:w="1417" w:type="dxa"/>
            <w:tcBorders>
              <w:top w:val="nil"/>
              <w:left w:val="nil"/>
              <w:bottom w:val="single" w:sz="4" w:space="0" w:color="auto"/>
              <w:right w:val="single" w:sz="4" w:space="0" w:color="auto"/>
            </w:tcBorders>
            <w:noWrap/>
            <w:vAlign w:val="center"/>
            <w:hideMark/>
          </w:tcPr>
          <w:p w14:paraId="31004C12"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719,8</w:t>
            </w:r>
          </w:p>
        </w:tc>
        <w:tc>
          <w:tcPr>
            <w:tcW w:w="1417" w:type="dxa"/>
            <w:tcBorders>
              <w:top w:val="nil"/>
              <w:left w:val="nil"/>
              <w:bottom w:val="single" w:sz="4" w:space="0" w:color="auto"/>
              <w:right w:val="single" w:sz="4" w:space="0" w:color="auto"/>
            </w:tcBorders>
            <w:noWrap/>
            <w:vAlign w:val="center"/>
            <w:hideMark/>
          </w:tcPr>
          <w:p w14:paraId="73732B4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0,0</w:t>
            </w:r>
          </w:p>
        </w:tc>
        <w:tc>
          <w:tcPr>
            <w:tcW w:w="1417" w:type="dxa"/>
            <w:tcBorders>
              <w:top w:val="nil"/>
              <w:left w:val="nil"/>
              <w:bottom w:val="single" w:sz="4" w:space="0" w:color="auto"/>
              <w:right w:val="single" w:sz="4" w:space="0" w:color="auto"/>
            </w:tcBorders>
            <w:noWrap/>
            <w:vAlign w:val="center"/>
            <w:hideMark/>
          </w:tcPr>
          <w:p w14:paraId="2450FDD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1764,3</w:t>
            </w:r>
          </w:p>
        </w:tc>
      </w:tr>
      <w:tr w:rsidR="00522861" w:rsidRPr="006414E6" w14:paraId="4D27C716"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8EE545"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Geotermalne elektrane</w:t>
            </w:r>
          </w:p>
        </w:tc>
        <w:tc>
          <w:tcPr>
            <w:tcW w:w="1417" w:type="dxa"/>
            <w:tcBorders>
              <w:top w:val="nil"/>
              <w:left w:val="nil"/>
              <w:bottom w:val="single" w:sz="4" w:space="0" w:color="auto"/>
              <w:right w:val="single" w:sz="4" w:space="0" w:color="auto"/>
            </w:tcBorders>
            <w:noWrap/>
            <w:vAlign w:val="center"/>
            <w:hideMark/>
          </w:tcPr>
          <w:p w14:paraId="7BFE862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128,8</w:t>
            </w:r>
          </w:p>
        </w:tc>
        <w:tc>
          <w:tcPr>
            <w:tcW w:w="1417" w:type="dxa"/>
            <w:tcBorders>
              <w:top w:val="nil"/>
              <w:left w:val="nil"/>
              <w:bottom w:val="single" w:sz="4" w:space="0" w:color="auto"/>
              <w:right w:val="single" w:sz="4" w:space="0" w:color="auto"/>
            </w:tcBorders>
            <w:noWrap/>
            <w:vAlign w:val="center"/>
            <w:hideMark/>
          </w:tcPr>
          <w:p w14:paraId="6E6E145B"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365,8</w:t>
            </w:r>
          </w:p>
        </w:tc>
        <w:tc>
          <w:tcPr>
            <w:tcW w:w="1417" w:type="dxa"/>
            <w:tcBorders>
              <w:top w:val="nil"/>
              <w:left w:val="nil"/>
              <w:bottom w:val="single" w:sz="4" w:space="0" w:color="auto"/>
              <w:right w:val="single" w:sz="4" w:space="0" w:color="auto"/>
            </w:tcBorders>
            <w:noWrap/>
            <w:vAlign w:val="center"/>
            <w:hideMark/>
          </w:tcPr>
          <w:p w14:paraId="100FE74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427,8</w:t>
            </w:r>
          </w:p>
        </w:tc>
      </w:tr>
      <w:tr w:rsidR="00522861" w:rsidRPr="006414E6" w14:paraId="7B7C50C4"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A0D775B"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Sunčane elektrane</w:t>
            </w:r>
          </w:p>
        </w:tc>
        <w:tc>
          <w:tcPr>
            <w:tcW w:w="1417" w:type="dxa"/>
            <w:tcBorders>
              <w:top w:val="nil"/>
              <w:left w:val="nil"/>
              <w:bottom w:val="single" w:sz="4" w:space="0" w:color="auto"/>
              <w:right w:val="single" w:sz="4" w:space="0" w:color="auto"/>
            </w:tcBorders>
            <w:noWrap/>
            <w:vAlign w:val="center"/>
            <w:hideMark/>
          </w:tcPr>
          <w:p w14:paraId="41A881C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1371,0</w:t>
            </w:r>
          </w:p>
        </w:tc>
        <w:tc>
          <w:tcPr>
            <w:tcW w:w="1417" w:type="dxa"/>
            <w:tcBorders>
              <w:top w:val="nil"/>
              <w:left w:val="nil"/>
              <w:bottom w:val="single" w:sz="4" w:space="0" w:color="auto"/>
              <w:right w:val="single" w:sz="4" w:space="0" w:color="auto"/>
            </w:tcBorders>
            <w:noWrap/>
            <w:vAlign w:val="center"/>
            <w:hideMark/>
          </w:tcPr>
          <w:p w14:paraId="7888619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3316,0</w:t>
            </w:r>
          </w:p>
        </w:tc>
        <w:tc>
          <w:tcPr>
            <w:tcW w:w="1417" w:type="dxa"/>
            <w:tcBorders>
              <w:top w:val="nil"/>
              <w:left w:val="nil"/>
              <w:bottom w:val="single" w:sz="4" w:space="0" w:color="auto"/>
              <w:right w:val="single" w:sz="4" w:space="0" w:color="auto"/>
            </w:tcBorders>
            <w:noWrap/>
            <w:vAlign w:val="center"/>
            <w:hideMark/>
          </w:tcPr>
          <w:p w14:paraId="2315196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5133,1</w:t>
            </w:r>
          </w:p>
        </w:tc>
      </w:tr>
      <w:tr w:rsidR="00522861" w:rsidRPr="006414E6" w14:paraId="648BAF3E"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B3372ED"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Vjetroelektrane</w:t>
            </w:r>
          </w:p>
        </w:tc>
        <w:tc>
          <w:tcPr>
            <w:tcW w:w="1417" w:type="dxa"/>
            <w:tcBorders>
              <w:top w:val="nil"/>
              <w:left w:val="nil"/>
              <w:bottom w:val="single" w:sz="4" w:space="0" w:color="auto"/>
              <w:right w:val="single" w:sz="4" w:space="0" w:color="auto"/>
            </w:tcBorders>
            <w:noWrap/>
            <w:vAlign w:val="center"/>
            <w:hideMark/>
          </w:tcPr>
          <w:p w14:paraId="2FCCD48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4331,6</w:t>
            </w:r>
          </w:p>
        </w:tc>
        <w:tc>
          <w:tcPr>
            <w:tcW w:w="1417" w:type="dxa"/>
            <w:tcBorders>
              <w:top w:val="nil"/>
              <w:left w:val="nil"/>
              <w:bottom w:val="single" w:sz="4" w:space="0" w:color="auto"/>
              <w:right w:val="single" w:sz="4" w:space="0" w:color="auto"/>
            </w:tcBorders>
            <w:noWrap/>
            <w:vAlign w:val="center"/>
            <w:hideMark/>
          </w:tcPr>
          <w:p w14:paraId="6001FE3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7183,7</w:t>
            </w:r>
          </w:p>
        </w:tc>
        <w:tc>
          <w:tcPr>
            <w:tcW w:w="1417" w:type="dxa"/>
            <w:tcBorders>
              <w:top w:val="nil"/>
              <w:left w:val="nil"/>
              <w:bottom w:val="single" w:sz="4" w:space="0" w:color="auto"/>
              <w:right w:val="single" w:sz="4" w:space="0" w:color="auto"/>
            </w:tcBorders>
            <w:noWrap/>
            <w:vAlign w:val="center"/>
            <w:hideMark/>
          </w:tcPr>
          <w:p w14:paraId="478215D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10563,2</w:t>
            </w:r>
          </w:p>
        </w:tc>
      </w:tr>
      <w:tr w:rsidR="00522861" w:rsidRPr="006414E6" w14:paraId="20FD7D53" w14:textId="77777777" w:rsidTr="00522861">
        <w:trPr>
          <w:trHeight w:val="340"/>
        </w:trPr>
        <w:tc>
          <w:tcPr>
            <w:tcW w:w="2835" w:type="dxa"/>
            <w:tcBorders>
              <w:top w:val="nil"/>
              <w:left w:val="single" w:sz="4" w:space="0" w:color="auto"/>
              <w:bottom w:val="double" w:sz="4" w:space="0" w:color="auto"/>
              <w:right w:val="single" w:sz="4" w:space="0" w:color="auto"/>
            </w:tcBorders>
            <w:shd w:val="clear" w:color="auto" w:fill="F2F2F2" w:themeFill="background1" w:themeFillShade="F2"/>
            <w:noWrap/>
            <w:vAlign w:val="center"/>
            <w:hideMark/>
          </w:tcPr>
          <w:p w14:paraId="5DCEBFD4"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Hidroelektrane</w:t>
            </w:r>
          </w:p>
        </w:tc>
        <w:tc>
          <w:tcPr>
            <w:tcW w:w="1417" w:type="dxa"/>
            <w:tcBorders>
              <w:top w:val="nil"/>
              <w:left w:val="nil"/>
              <w:bottom w:val="double" w:sz="4" w:space="0" w:color="auto"/>
              <w:right w:val="single" w:sz="4" w:space="0" w:color="auto"/>
            </w:tcBorders>
            <w:noWrap/>
            <w:vAlign w:val="center"/>
            <w:hideMark/>
          </w:tcPr>
          <w:p w14:paraId="5FA20DD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7307,2</w:t>
            </w:r>
          </w:p>
        </w:tc>
        <w:tc>
          <w:tcPr>
            <w:tcW w:w="1417" w:type="dxa"/>
            <w:tcBorders>
              <w:top w:val="nil"/>
              <w:left w:val="nil"/>
              <w:bottom w:val="double" w:sz="4" w:space="0" w:color="auto"/>
              <w:right w:val="single" w:sz="4" w:space="0" w:color="auto"/>
            </w:tcBorders>
            <w:noWrap/>
            <w:vAlign w:val="center"/>
            <w:hideMark/>
          </w:tcPr>
          <w:p w14:paraId="66F9EB8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7637,7</w:t>
            </w:r>
          </w:p>
        </w:tc>
        <w:tc>
          <w:tcPr>
            <w:tcW w:w="1417" w:type="dxa"/>
            <w:tcBorders>
              <w:top w:val="nil"/>
              <w:left w:val="nil"/>
              <w:bottom w:val="double" w:sz="4" w:space="0" w:color="auto"/>
              <w:right w:val="single" w:sz="4" w:space="0" w:color="auto"/>
            </w:tcBorders>
            <w:noWrap/>
            <w:vAlign w:val="center"/>
            <w:hideMark/>
          </w:tcPr>
          <w:p w14:paraId="1CCDDF5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9772,7</w:t>
            </w:r>
          </w:p>
        </w:tc>
      </w:tr>
      <w:tr w:rsidR="00522861" w:rsidRPr="006414E6" w14:paraId="28B436AE"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BD8A88"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7D7851C7"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17495,2</w:t>
            </w:r>
          </w:p>
        </w:tc>
        <w:tc>
          <w:tcPr>
            <w:tcW w:w="1417" w:type="dxa"/>
            <w:tcBorders>
              <w:top w:val="double" w:sz="4" w:space="0" w:color="auto"/>
              <w:left w:val="nil"/>
              <w:bottom w:val="single" w:sz="4" w:space="0" w:color="auto"/>
              <w:right w:val="single" w:sz="4" w:space="0" w:color="auto"/>
            </w:tcBorders>
            <w:noWrap/>
            <w:vAlign w:val="center"/>
            <w:hideMark/>
          </w:tcPr>
          <w:p w14:paraId="0BE63F59"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21177,6</w:t>
            </w:r>
          </w:p>
        </w:tc>
        <w:tc>
          <w:tcPr>
            <w:tcW w:w="1417" w:type="dxa"/>
            <w:tcBorders>
              <w:top w:val="double" w:sz="4" w:space="0" w:color="auto"/>
              <w:left w:val="nil"/>
              <w:bottom w:val="single" w:sz="4" w:space="0" w:color="auto"/>
              <w:right w:val="single" w:sz="4" w:space="0" w:color="auto"/>
            </w:tcBorders>
            <w:noWrap/>
            <w:vAlign w:val="center"/>
            <w:hideMark/>
          </w:tcPr>
          <w:p w14:paraId="1B18FD2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29537,8</w:t>
            </w:r>
          </w:p>
        </w:tc>
      </w:tr>
    </w:tbl>
    <w:p w14:paraId="0844DFDA" w14:textId="77777777" w:rsidR="00522861" w:rsidRPr="006414E6" w:rsidRDefault="00522861" w:rsidP="00522861">
      <w:pPr>
        <w:rPr>
          <w:rFonts w:cs="Times New Roman"/>
          <w:u w:val="single"/>
        </w:rPr>
      </w:pPr>
      <w:r w:rsidRPr="006414E6">
        <w:rPr>
          <w:rFonts w:cs="Times New Roman"/>
          <w:u w:val="single"/>
        </w:rPr>
        <w:t>Proizvodnja i uvoz energije</w:t>
      </w:r>
    </w:p>
    <w:p w14:paraId="6C1E2E3E" w14:textId="77777777" w:rsidR="00522861" w:rsidRPr="006414E6" w:rsidRDefault="00522861" w:rsidP="00522861">
      <w:pPr>
        <w:rPr>
          <w:rFonts w:cs="Times New Roman"/>
        </w:rPr>
      </w:pPr>
      <w:r w:rsidRPr="006414E6">
        <w:rPr>
          <w:rFonts w:cs="Times New Roman"/>
        </w:rPr>
        <w:t>U NU2 scenariju udio domaće proizvodnje energije u ukupnoj potrošnji energije kontinuirano raste prema kraju razdoblja što se objašnjava smanjenjem ukupnih potreba za energijom: zbog snažnih mjera energetske učinkovitosti – obnova fonda zgrada i prelaska na druge oblike energije (npr. električna energija u prometu). Istovremeno se povećava proizvodnja iz OIE, i unatoč opadanju proizvodnje fosilnih goriva, vlastita opskrbljenost raste na 56,8% u 2030. i na 62,0% u 2050. godini.</w:t>
      </w:r>
    </w:p>
    <w:p w14:paraId="3DE8BCB3" w14:textId="77777777" w:rsidR="00522861" w:rsidRPr="006414E6" w:rsidRDefault="00522861" w:rsidP="00522861">
      <w:pPr>
        <w:rPr>
          <w:rFonts w:cs="Times New Roman"/>
        </w:rPr>
      </w:pPr>
      <w:r w:rsidRPr="006414E6">
        <w:rPr>
          <w:rFonts w:cs="Times New Roman"/>
        </w:rPr>
        <w:t>U tablici III.1-6 prikazane su projekcije proizvodnje i uvoza energije u NU2 scenariju.</w:t>
      </w:r>
    </w:p>
    <w:p w14:paraId="0C7C6749" w14:textId="77777777" w:rsidR="00522861" w:rsidRPr="006414E6" w:rsidRDefault="00522861" w:rsidP="00E57F72">
      <w:pPr>
        <w:rPr>
          <w:rFonts w:cs="Times New Roman"/>
          <w:i/>
        </w:rPr>
      </w:pPr>
      <w:r w:rsidRPr="006414E6">
        <w:rPr>
          <w:rFonts w:cs="Times New Roman"/>
          <w:i/>
        </w:rPr>
        <w:t xml:space="preserve">Tablica III.1-6: Projekcije proizvodnje i uvoza energije u NU2 scenariju </w:t>
      </w:r>
    </w:p>
    <w:tbl>
      <w:tblPr>
        <w:tblW w:w="7086" w:type="dxa"/>
        <w:tblLook w:val="04A0" w:firstRow="1" w:lastRow="0" w:firstColumn="1" w:lastColumn="0" w:noHBand="0" w:noVBand="1"/>
      </w:tblPr>
      <w:tblGrid>
        <w:gridCol w:w="2835"/>
        <w:gridCol w:w="1417"/>
        <w:gridCol w:w="1417"/>
        <w:gridCol w:w="1417"/>
      </w:tblGrid>
      <w:tr w:rsidR="00522861" w:rsidRPr="006414E6" w14:paraId="61F997DB" w14:textId="77777777" w:rsidTr="00522861">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930448" w14:textId="77777777" w:rsidR="00522861" w:rsidRPr="006414E6" w:rsidRDefault="00522861" w:rsidP="00E57F72">
            <w:pPr>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GWh</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1810CD"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2030.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496FBA"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2040.</w:t>
            </w:r>
          </w:p>
        </w:tc>
        <w:tc>
          <w:tcPr>
            <w:tcW w:w="141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4FF1BC" w14:textId="77777777" w:rsidR="00522861" w:rsidRPr="006414E6" w:rsidRDefault="00522861">
            <w:pPr>
              <w:keepNext/>
              <w:spacing w:line="240" w:lineRule="auto"/>
              <w:jc w:val="center"/>
              <w:rPr>
                <w:rFonts w:eastAsia="Times New Roman" w:cs="Times New Roman"/>
                <w:b/>
                <w:color w:val="000000"/>
                <w:sz w:val="20"/>
                <w:lang w:eastAsia="hr-HR"/>
              </w:rPr>
            </w:pPr>
            <w:r w:rsidRPr="006414E6">
              <w:rPr>
                <w:rFonts w:eastAsia="Times New Roman" w:cs="Times New Roman"/>
                <w:b/>
                <w:color w:val="000000"/>
                <w:sz w:val="20"/>
                <w:lang w:eastAsia="hr-HR"/>
              </w:rPr>
              <w:t>2050.</w:t>
            </w:r>
          </w:p>
        </w:tc>
      </w:tr>
      <w:tr w:rsidR="00522861" w:rsidRPr="006414E6" w14:paraId="0F6B57AA"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F438F3D"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Domaća energija</w:t>
            </w:r>
          </w:p>
        </w:tc>
        <w:tc>
          <w:tcPr>
            <w:tcW w:w="1417" w:type="dxa"/>
            <w:tcBorders>
              <w:top w:val="nil"/>
              <w:left w:val="nil"/>
              <w:bottom w:val="single" w:sz="4" w:space="0" w:color="auto"/>
              <w:right w:val="single" w:sz="4" w:space="0" w:color="auto"/>
            </w:tcBorders>
            <w:noWrap/>
            <w:vAlign w:val="center"/>
            <w:hideMark/>
          </w:tcPr>
          <w:p w14:paraId="1DDAF978"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4797,6</w:t>
            </w:r>
          </w:p>
        </w:tc>
        <w:tc>
          <w:tcPr>
            <w:tcW w:w="1417" w:type="dxa"/>
            <w:tcBorders>
              <w:top w:val="nil"/>
              <w:left w:val="nil"/>
              <w:bottom w:val="single" w:sz="4" w:space="0" w:color="auto"/>
              <w:right w:val="single" w:sz="4" w:space="0" w:color="auto"/>
            </w:tcBorders>
            <w:noWrap/>
            <w:vAlign w:val="center"/>
            <w:hideMark/>
          </w:tcPr>
          <w:p w14:paraId="74A1300E"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4471,4</w:t>
            </w:r>
          </w:p>
        </w:tc>
        <w:tc>
          <w:tcPr>
            <w:tcW w:w="1417" w:type="dxa"/>
            <w:tcBorders>
              <w:top w:val="nil"/>
              <w:left w:val="nil"/>
              <w:bottom w:val="single" w:sz="4" w:space="0" w:color="auto"/>
              <w:right w:val="single" w:sz="4" w:space="0" w:color="auto"/>
            </w:tcBorders>
            <w:noWrap/>
            <w:vAlign w:val="center"/>
            <w:hideMark/>
          </w:tcPr>
          <w:p w14:paraId="66BD8384"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4039,0</w:t>
            </w:r>
          </w:p>
        </w:tc>
      </w:tr>
      <w:tr w:rsidR="00522861" w:rsidRPr="006414E6" w14:paraId="0AE24A65" w14:textId="77777777" w:rsidTr="00522861">
        <w:trPr>
          <w:trHeight w:val="340"/>
        </w:trPr>
        <w:tc>
          <w:tcPr>
            <w:tcW w:w="283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40EE023"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Uvozna energija</w:t>
            </w:r>
          </w:p>
        </w:tc>
        <w:tc>
          <w:tcPr>
            <w:tcW w:w="1417" w:type="dxa"/>
            <w:tcBorders>
              <w:top w:val="nil"/>
              <w:left w:val="nil"/>
              <w:bottom w:val="single" w:sz="4" w:space="0" w:color="auto"/>
              <w:right w:val="single" w:sz="4" w:space="0" w:color="auto"/>
            </w:tcBorders>
            <w:noWrap/>
            <w:vAlign w:val="center"/>
            <w:hideMark/>
          </w:tcPr>
          <w:p w14:paraId="69B96E36"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3609,9</w:t>
            </w:r>
          </w:p>
        </w:tc>
        <w:tc>
          <w:tcPr>
            <w:tcW w:w="1417" w:type="dxa"/>
            <w:tcBorders>
              <w:top w:val="nil"/>
              <w:left w:val="nil"/>
              <w:bottom w:val="single" w:sz="4" w:space="0" w:color="auto"/>
              <w:right w:val="single" w:sz="4" w:space="0" w:color="auto"/>
            </w:tcBorders>
            <w:noWrap/>
            <w:vAlign w:val="center"/>
            <w:hideMark/>
          </w:tcPr>
          <w:p w14:paraId="09C6031C"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3049,1</w:t>
            </w:r>
          </w:p>
        </w:tc>
        <w:tc>
          <w:tcPr>
            <w:tcW w:w="1417" w:type="dxa"/>
            <w:tcBorders>
              <w:top w:val="nil"/>
              <w:left w:val="nil"/>
              <w:bottom w:val="single" w:sz="4" w:space="0" w:color="auto"/>
              <w:right w:val="single" w:sz="4" w:space="0" w:color="auto"/>
            </w:tcBorders>
            <w:noWrap/>
            <w:vAlign w:val="center"/>
            <w:hideMark/>
          </w:tcPr>
          <w:p w14:paraId="0C71F575"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2480,2</w:t>
            </w:r>
          </w:p>
        </w:tc>
      </w:tr>
      <w:tr w:rsidR="00522861" w:rsidRPr="006414E6" w14:paraId="62B185A0" w14:textId="77777777" w:rsidTr="00522861">
        <w:trPr>
          <w:trHeight w:val="340"/>
        </w:trPr>
        <w:tc>
          <w:tcPr>
            <w:tcW w:w="2835" w:type="dxa"/>
            <w:tcBorders>
              <w:top w:val="doub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64CC3B5" w14:textId="77777777" w:rsidR="00522861" w:rsidRPr="006414E6" w:rsidRDefault="00522861" w:rsidP="00E57F72">
            <w:pPr>
              <w:spacing w:line="240" w:lineRule="auto"/>
              <w:jc w:val="left"/>
              <w:rPr>
                <w:rFonts w:eastAsia="Times New Roman" w:cs="Times New Roman"/>
                <w:color w:val="000000"/>
                <w:sz w:val="20"/>
                <w:lang w:eastAsia="hr-HR"/>
              </w:rPr>
            </w:pPr>
            <w:r w:rsidRPr="006414E6">
              <w:rPr>
                <w:rFonts w:eastAsia="Times New Roman" w:cs="Times New Roman"/>
                <w:color w:val="000000"/>
                <w:sz w:val="20"/>
                <w:lang w:eastAsia="hr-HR"/>
              </w:rPr>
              <w:t>Ukupno</w:t>
            </w:r>
          </w:p>
        </w:tc>
        <w:tc>
          <w:tcPr>
            <w:tcW w:w="1417" w:type="dxa"/>
            <w:tcBorders>
              <w:top w:val="double" w:sz="4" w:space="0" w:color="auto"/>
              <w:left w:val="nil"/>
              <w:bottom w:val="single" w:sz="4" w:space="0" w:color="auto"/>
              <w:right w:val="single" w:sz="4" w:space="0" w:color="auto"/>
            </w:tcBorders>
            <w:noWrap/>
            <w:vAlign w:val="center"/>
            <w:hideMark/>
          </w:tcPr>
          <w:p w14:paraId="69FCC760"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8407,5</w:t>
            </w:r>
          </w:p>
        </w:tc>
        <w:tc>
          <w:tcPr>
            <w:tcW w:w="1417" w:type="dxa"/>
            <w:tcBorders>
              <w:top w:val="double" w:sz="4" w:space="0" w:color="auto"/>
              <w:left w:val="nil"/>
              <w:bottom w:val="single" w:sz="4" w:space="0" w:color="auto"/>
              <w:right w:val="single" w:sz="4" w:space="0" w:color="auto"/>
            </w:tcBorders>
            <w:noWrap/>
            <w:vAlign w:val="center"/>
            <w:hideMark/>
          </w:tcPr>
          <w:p w14:paraId="217998CD"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7520,4</w:t>
            </w:r>
          </w:p>
        </w:tc>
        <w:tc>
          <w:tcPr>
            <w:tcW w:w="1417" w:type="dxa"/>
            <w:tcBorders>
              <w:top w:val="double" w:sz="4" w:space="0" w:color="auto"/>
              <w:left w:val="nil"/>
              <w:bottom w:val="single" w:sz="4" w:space="0" w:color="auto"/>
              <w:right w:val="single" w:sz="4" w:space="0" w:color="auto"/>
            </w:tcBorders>
            <w:noWrap/>
            <w:vAlign w:val="center"/>
            <w:hideMark/>
          </w:tcPr>
          <w:p w14:paraId="50E7ABAA" w14:textId="77777777" w:rsidR="00522861" w:rsidRPr="006414E6" w:rsidRDefault="00522861">
            <w:pPr>
              <w:keepNext/>
              <w:jc w:val="center"/>
              <w:rPr>
                <w:rFonts w:eastAsia="Times New Roman" w:cs="Times New Roman"/>
                <w:color w:val="000000"/>
                <w:sz w:val="20"/>
                <w:lang w:eastAsia="hr-HR"/>
              </w:rPr>
            </w:pPr>
            <w:r w:rsidRPr="006414E6">
              <w:rPr>
                <w:rFonts w:eastAsia="Times New Roman" w:cs="Times New Roman"/>
                <w:color w:val="000000"/>
                <w:sz w:val="20"/>
                <w:lang w:eastAsia="hr-HR"/>
              </w:rPr>
              <w:t>6519,2</w:t>
            </w:r>
          </w:p>
        </w:tc>
      </w:tr>
    </w:tbl>
    <w:p w14:paraId="3BC68C3B" w14:textId="77777777" w:rsidR="00522861" w:rsidRPr="006414E6" w:rsidRDefault="00522861" w:rsidP="00F415A7">
      <w:pPr>
        <w:pStyle w:val="Heading2"/>
      </w:pPr>
      <w:bookmarkStart w:id="377" w:name="_Toc39133344"/>
      <w:r w:rsidRPr="006414E6">
        <w:t xml:space="preserve">III.2. </w:t>
      </w:r>
      <w:r w:rsidRPr="006414E6">
        <w:tab/>
        <w:t>INDUSTRIJA</w:t>
      </w:r>
      <w:bookmarkEnd w:id="377"/>
    </w:p>
    <w:p w14:paraId="23841C56" w14:textId="77777777" w:rsidR="00522861" w:rsidRPr="006414E6" w:rsidRDefault="00522861" w:rsidP="00522861">
      <w:pPr>
        <w:pStyle w:val="NormalWeb"/>
        <w:rPr>
          <w:rFonts w:eastAsia="MS Mincho" w:cs="Times New Roman"/>
          <w:lang w:eastAsia="hr-HR"/>
        </w:rPr>
      </w:pPr>
      <w:r w:rsidRPr="006414E6">
        <w:rPr>
          <w:rFonts w:eastAsia="MS Mincho" w:cs="Times New Roman"/>
          <w:lang w:eastAsia="hr-HR"/>
        </w:rPr>
        <w:t>Prerađivačka industrija</w:t>
      </w:r>
    </w:p>
    <w:p w14:paraId="1057306C" w14:textId="77777777" w:rsidR="00522861" w:rsidRPr="006414E6" w:rsidRDefault="00522861" w:rsidP="00522861">
      <w:pPr>
        <w:pStyle w:val="NormalWeb"/>
        <w:rPr>
          <w:rFonts w:eastAsia="MS Mincho" w:cs="Times New Roman"/>
          <w:lang w:eastAsia="hr-HR"/>
        </w:rPr>
      </w:pPr>
      <w:r w:rsidRPr="006414E6">
        <w:rPr>
          <w:rFonts w:eastAsia="MS Mincho" w:cs="Times New Roman"/>
          <w:lang w:eastAsia="hr-HR"/>
        </w:rPr>
        <w:t xml:space="preserve">Scenarij uključuje intenzivniju primjenu procesnih mjera koje se odnose na postupno smanjenje udjela </w:t>
      </w:r>
      <w:proofErr w:type="spellStart"/>
      <w:r w:rsidRPr="006414E6">
        <w:rPr>
          <w:rFonts w:eastAsia="MS Mincho" w:cs="Times New Roman"/>
          <w:lang w:eastAsia="hr-HR"/>
        </w:rPr>
        <w:t>klinkera</w:t>
      </w:r>
      <w:proofErr w:type="spellEnd"/>
      <w:r w:rsidRPr="006414E6">
        <w:rPr>
          <w:rFonts w:eastAsia="MS Mincho" w:cs="Times New Roman"/>
          <w:lang w:eastAsia="hr-HR"/>
        </w:rPr>
        <w:t xml:space="preserve"> u proizvodnji cementa (30% u 2050. godini) te mjere hvatanja i skladištenja CO</w:t>
      </w:r>
      <w:r w:rsidRPr="006414E6">
        <w:rPr>
          <w:rFonts w:eastAsia="MS Mincho" w:cs="Times New Roman"/>
          <w:vertAlign w:val="subscript"/>
          <w:lang w:eastAsia="hr-HR"/>
        </w:rPr>
        <w:t>2</w:t>
      </w:r>
      <w:r w:rsidRPr="006414E6">
        <w:rPr>
          <w:rFonts w:eastAsia="MS Mincho" w:cs="Times New Roman"/>
          <w:lang w:eastAsia="hr-HR"/>
        </w:rPr>
        <w:t xml:space="preserve"> u postrojenjima za proizvodnju cementa od 2040. godine kao i smanjenje emisije kontroliranih tvari i </w:t>
      </w:r>
      <w:proofErr w:type="spellStart"/>
      <w:r w:rsidRPr="006414E6">
        <w:rPr>
          <w:rFonts w:eastAsia="MS Mincho" w:cs="Times New Roman"/>
          <w:lang w:eastAsia="hr-HR"/>
        </w:rPr>
        <w:t>fluoriranih</w:t>
      </w:r>
      <w:proofErr w:type="spellEnd"/>
      <w:r w:rsidRPr="006414E6">
        <w:rPr>
          <w:rFonts w:eastAsia="MS Mincho" w:cs="Times New Roman"/>
          <w:lang w:eastAsia="hr-HR"/>
        </w:rPr>
        <w:t xml:space="preserve"> stakleničkih plinova tijekom cijelog promatranog razdoblja do 2050. godine. Dodatno, predviđa se povećano korištenje biomase u industrijskim toplanama i kogeneracijama.</w:t>
      </w:r>
    </w:p>
    <w:p w14:paraId="42B1EF4C" w14:textId="77777777" w:rsidR="00522861" w:rsidRPr="006414E6" w:rsidRDefault="00522861" w:rsidP="00522861">
      <w:pPr>
        <w:rPr>
          <w:rFonts w:cs="Times New Roman"/>
          <w:u w:val="single"/>
        </w:rPr>
      </w:pPr>
      <w:r w:rsidRPr="006414E6">
        <w:rPr>
          <w:rFonts w:cs="Times New Roman"/>
          <w:u w:val="single"/>
        </w:rPr>
        <w:t>Uporaba zamjenskih tvari za tvari koje oštećuju ozonski sloj</w:t>
      </w:r>
    </w:p>
    <w:p w14:paraId="15FFB606" w14:textId="77777777" w:rsidR="00522861" w:rsidRPr="006414E6" w:rsidRDefault="00522861" w:rsidP="00522861">
      <w:pPr>
        <w:rPr>
          <w:rFonts w:cs="Times New Roman"/>
        </w:rPr>
      </w:pPr>
      <w:r w:rsidRPr="006414E6">
        <w:rPr>
          <w:rFonts w:cs="Times New Roman"/>
        </w:rPr>
        <w:lastRenderedPageBreak/>
        <w:t xml:space="preserve">Scenarij NU2 uključuje intenzivnije smanjenje </w:t>
      </w:r>
      <w:proofErr w:type="spellStart"/>
      <w:r w:rsidRPr="006414E6">
        <w:rPr>
          <w:rFonts w:cs="Times New Roman"/>
        </w:rPr>
        <w:t>fluoriranih</w:t>
      </w:r>
      <w:proofErr w:type="spellEnd"/>
      <w:r w:rsidRPr="006414E6">
        <w:rPr>
          <w:rFonts w:cs="Times New Roman"/>
        </w:rPr>
        <w:t xml:space="preserve"> stakleničkih plinova dostupnih na tržištu nakon 2030. godine, u odnosu na scenarij NU1. U scenarij NU2 uključene su pretpostavke o broju vozila, što je povezano s intenzivnijim smanjenjem emisija </w:t>
      </w:r>
      <w:proofErr w:type="spellStart"/>
      <w:r w:rsidRPr="006414E6">
        <w:rPr>
          <w:rFonts w:cs="Times New Roman"/>
        </w:rPr>
        <w:t>fluoriranih</w:t>
      </w:r>
      <w:proofErr w:type="spellEnd"/>
      <w:r w:rsidRPr="006414E6">
        <w:rPr>
          <w:rFonts w:cs="Times New Roman"/>
        </w:rPr>
        <w:t xml:space="preserve"> stakleničkih plinova iz mobilnih sustava za klimatiziranje.</w:t>
      </w:r>
      <w:r w:rsidRPr="006414E6">
        <w:rPr>
          <w:rFonts w:eastAsia="MS Mincho" w:cs="Times New Roman"/>
          <w:szCs w:val="24"/>
          <w:lang w:eastAsia="ja-JP"/>
        </w:rPr>
        <w:t xml:space="preserve"> </w:t>
      </w:r>
    </w:p>
    <w:p w14:paraId="4F3ADF52" w14:textId="77777777" w:rsidR="00522861" w:rsidRPr="00E57F72" w:rsidRDefault="00522861" w:rsidP="00F415A7">
      <w:pPr>
        <w:pStyle w:val="Heading2"/>
      </w:pPr>
      <w:bookmarkStart w:id="378" w:name="_Toc39133345"/>
      <w:r w:rsidRPr="00E57F72">
        <w:t xml:space="preserve">III.3. </w:t>
      </w:r>
      <w:r w:rsidRPr="00E57F72">
        <w:tab/>
        <w:t>PROMET</w:t>
      </w:r>
      <w:bookmarkEnd w:id="378"/>
    </w:p>
    <w:p w14:paraId="3BC1FB3F" w14:textId="77777777" w:rsidR="00522861" w:rsidRPr="006414E6" w:rsidRDefault="00522861" w:rsidP="00E57F72">
      <w:pPr>
        <w:rPr>
          <w:rFonts w:cs="Times New Roman"/>
        </w:rPr>
      </w:pPr>
      <w:r w:rsidRPr="006414E6">
        <w:rPr>
          <w:rFonts w:cs="Times New Roman"/>
        </w:rPr>
        <w:t>Sektor prometa u NU2 scenariju modeliran je s osnovnom pretpostavkom snažne penetracije električnih vozila.</w:t>
      </w:r>
    </w:p>
    <w:p w14:paraId="2750AC74" w14:textId="77777777" w:rsidR="00522861" w:rsidRPr="006414E6" w:rsidRDefault="00522861" w:rsidP="00E57F72">
      <w:pPr>
        <w:rPr>
          <w:rFonts w:cs="Times New Roman"/>
        </w:rPr>
      </w:pPr>
      <w:r w:rsidRPr="006414E6">
        <w:rPr>
          <w:rFonts w:cs="Times New Roman"/>
        </w:rPr>
        <w:t>Uključene su sljedeće pretpostavke i mjere u scenariju NU2:</w:t>
      </w:r>
    </w:p>
    <w:p w14:paraId="2E57E280" w14:textId="77777777" w:rsidR="00522861" w:rsidRPr="006414E6" w:rsidRDefault="00522861" w:rsidP="00E57F72">
      <w:pPr>
        <w:pStyle w:val="ListParagraph"/>
        <w:numPr>
          <w:ilvl w:val="0"/>
          <w:numId w:val="75"/>
        </w:numPr>
        <w:spacing w:line="240" w:lineRule="auto"/>
        <w:rPr>
          <w:rFonts w:cs="Times New Roman"/>
        </w:rPr>
      </w:pPr>
      <w:r w:rsidRPr="006414E6">
        <w:rPr>
          <w:rFonts w:cs="Times New Roman"/>
        </w:rPr>
        <w:t>porast udjela električnih automobila na 61% od ukupnog broja automobila u 2050. godini, 1,23 milijuna električnih automobila u 2050. godini,</w:t>
      </w:r>
    </w:p>
    <w:p w14:paraId="7C9923D6" w14:textId="77777777" w:rsidR="00522861" w:rsidRPr="006414E6" w:rsidRDefault="00522861" w:rsidP="00E57F72">
      <w:pPr>
        <w:pStyle w:val="ListParagraph"/>
        <w:numPr>
          <w:ilvl w:val="0"/>
          <w:numId w:val="75"/>
        </w:numPr>
        <w:spacing w:line="240" w:lineRule="auto"/>
        <w:rPr>
          <w:rFonts w:cs="Times New Roman"/>
        </w:rPr>
      </w:pPr>
      <w:r w:rsidRPr="006414E6">
        <w:rPr>
          <w:rFonts w:cs="Times New Roman"/>
        </w:rPr>
        <w:t>porast broja hibridnih i plug-</w:t>
      </w:r>
      <w:proofErr w:type="spellStart"/>
      <w:r w:rsidRPr="006414E6">
        <w:rPr>
          <w:rFonts w:cs="Times New Roman"/>
        </w:rPr>
        <w:t>in</w:t>
      </w:r>
      <w:proofErr w:type="spellEnd"/>
      <w:r w:rsidRPr="006414E6">
        <w:rPr>
          <w:rFonts w:cs="Times New Roman"/>
        </w:rPr>
        <w:t xml:space="preserve"> hibridnih vozila na 14,7% (2,8% hibridnih i 11,9% plug-</w:t>
      </w:r>
      <w:proofErr w:type="spellStart"/>
      <w:r w:rsidRPr="006414E6">
        <w:rPr>
          <w:rFonts w:cs="Times New Roman"/>
        </w:rPr>
        <w:t>in</w:t>
      </w:r>
      <w:proofErr w:type="spellEnd"/>
      <w:r w:rsidRPr="006414E6">
        <w:rPr>
          <w:rFonts w:cs="Times New Roman"/>
        </w:rPr>
        <w:t xml:space="preserve"> hibridnih) od ukupnog broja osobnih vozila do 2050. godine, čime bi broj hibridnih i plug-</w:t>
      </w:r>
      <w:proofErr w:type="spellStart"/>
      <w:r w:rsidRPr="006414E6">
        <w:rPr>
          <w:rFonts w:cs="Times New Roman"/>
        </w:rPr>
        <w:t>in</w:t>
      </w:r>
      <w:proofErr w:type="spellEnd"/>
      <w:r w:rsidRPr="006414E6">
        <w:rPr>
          <w:rFonts w:cs="Times New Roman"/>
        </w:rPr>
        <w:t xml:space="preserve"> hibridnih vozila u 2030. godini iznosio oko 69.800, a u 2050. godini ukupno 297.000 vozila.</w:t>
      </w:r>
    </w:p>
    <w:p w14:paraId="1A00B2B2" w14:textId="77777777" w:rsidR="00522861" w:rsidRPr="006414E6" w:rsidRDefault="00522861" w:rsidP="003A2F37">
      <w:pPr>
        <w:pStyle w:val="ListParagraph"/>
        <w:numPr>
          <w:ilvl w:val="0"/>
          <w:numId w:val="75"/>
        </w:numPr>
        <w:spacing w:line="240" w:lineRule="auto"/>
        <w:rPr>
          <w:rFonts w:cs="Times New Roman"/>
        </w:rPr>
      </w:pPr>
      <w:r w:rsidRPr="006414E6">
        <w:rPr>
          <w:rFonts w:cs="Times New Roman"/>
        </w:rPr>
        <w:t>porast broja vozila koja koriste vodik nakon 2030. godine na 2,9% od ukupnog broja osobnih vozila, odnosno na oko 59.600 vozila u 2050. godini</w:t>
      </w:r>
    </w:p>
    <w:p w14:paraId="27D40426" w14:textId="77777777" w:rsidR="00522861" w:rsidRPr="006414E6" w:rsidRDefault="00522861" w:rsidP="003A2F37">
      <w:pPr>
        <w:pStyle w:val="ListParagraph"/>
        <w:numPr>
          <w:ilvl w:val="0"/>
          <w:numId w:val="75"/>
        </w:numPr>
        <w:spacing w:line="240" w:lineRule="auto"/>
        <w:rPr>
          <w:rFonts w:cs="Times New Roman"/>
        </w:rPr>
      </w:pPr>
      <w:r w:rsidRPr="006414E6">
        <w:rPr>
          <w:rFonts w:cs="Times New Roman"/>
        </w:rPr>
        <w:t>porast udjela biogoriva u benzinskim i dizelskim gorivima na prosječnih 27% do 2050. godine</w:t>
      </w:r>
    </w:p>
    <w:p w14:paraId="0BAFE319" w14:textId="77777777" w:rsidR="00522861" w:rsidRPr="006414E6" w:rsidRDefault="00522861" w:rsidP="003A2F37">
      <w:pPr>
        <w:pStyle w:val="ListParagraph"/>
        <w:numPr>
          <w:ilvl w:val="0"/>
          <w:numId w:val="75"/>
        </w:numPr>
        <w:spacing w:line="240" w:lineRule="auto"/>
        <w:rPr>
          <w:rFonts w:cs="Times New Roman"/>
        </w:rPr>
      </w:pPr>
      <w:r w:rsidRPr="006414E6">
        <w:rPr>
          <w:rFonts w:cs="Times New Roman"/>
        </w:rPr>
        <w:t xml:space="preserve">viša primjenjivost </w:t>
      </w:r>
      <w:proofErr w:type="spellStart"/>
      <w:r w:rsidRPr="006414E6">
        <w:rPr>
          <w:rFonts w:cs="Times New Roman"/>
        </w:rPr>
        <w:t>intermodalnosti</w:t>
      </w:r>
      <w:proofErr w:type="spellEnd"/>
      <w:r w:rsidRPr="006414E6">
        <w:rPr>
          <w:rFonts w:cs="Times New Roman"/>
        </w:rPr>
        <w:t xml:space="preserve"> – porast udjela teretnog prometa ostvaren željezničkim prijevozom (električne lokomotive) na oko 30% u 2050. godini </w:t>
      </w:r>
    </w:p>
    <w:p w14:paraId="75A7FFE2" w14:textId="77777777" w:rsidR="00522861" w:rsidRPr="006414E6" w:rsidRDefault="00522861" w:rsidP="003A2F37">
      <w:pPr>
        <w:pStyle w:val="ListParagraph"/>
        <w:numPr>
          <w:ilvl w:val="0"/>
          <w:numId w:val="75"/>
        </w:numPr>
        <w:spacing w:line="240" w:lineRule="auto"/>
        <w:rPr>
          <w:rFonts w:cs="Times New Roman"/>
        </w:rPr>
      </w:pPr>
      <w:r w:rsidRPr="006414E6">
        <w:rPr>
          <w:rFonts w:cs="Times New Roman"/>
        </w:rPr>
        <w:t xml:space="preserve">u pomorskom prometu pretpostavlja se da će u 2050. godini udio biogoriva iznositi 20%, </w:t>
      </w:r>
      <w:proofErr w:type="spellStart"/>
      <w:r w:rsidRPr="006414E6">
        <w:rPr>
          <w:rFonts w:cs="Times New Roman"/>
        </w:rPr>
        <w:t>UPP</w:t>
      </w:r>
      <w:proofErr w:type="spellEnd"/>
      <w:r w:rsidRPr="006414E6">
        <w:rPr>
          <w:rFonts w:cs="Times New Roman"/>
        </w:rPr>
        <w:t>-a 10%.</w:t>
      </w:r>
    </w:p>
    <w:p w14:paraId="55FD3967" w14:textId="77777777" w:rsidR="00522861" w:rsidRPr="00E57F72" w:rsidRDefault="00522861" w:rsidP="00F415A7">
      <w:pPr>
        <w:pStyle w:val="Heading2"/>
      </w:pPr>
      <w:bookmarkStart w:id="379" w:name="_Toc39133346"/>
      <w:r w:rsidRPr="00E57F72">
        <w:t xml:space="preserve">III.4. </w:t>
      </w:r>
      <w:r w:rsidRPr="00E57F72">
        <w:tab/>
        <w:t>SEKTOR OPĆE POTROŠNJE</w:t>
      </w:r>
      <w:bookmarkEnd w:id="379"/>
    </w:p>
    <w:p w14:paraId="286FB53E" w14:textId="77777777" w:rsidR="00522861" w:rsidRPr="006414E6" w:rsidRDefault="00522861" w:rsidP="00522861">
      <w:pPr>
        <w:rPr>
          <w:rFonts w:cs="Times New Roman"/>
        </w:rPr>
      </w:pPr>
      <w:r w:rsidRPr="006414E6">
        <w:rPr>
          <w:rFonts w:cs="Times New Roman"/>
        </w:rPr>
        <w:t>U NU2 scenariju za dostizanje ciljeva potrebne su sljedeće mjere:</w:t>
      </w:r>
    </w:p>
    <w:p w14:paraId="7992AEFA" w14:textId="77777777" w:rsidR="00522861" w:rsidRPr="006414E6" w:rsidRDefault="00522861" w:rsidP="003A2F37">
      <w:pPr>
        <w:pStyle w:val="ListParagraph"/>
        <w:numPr>
          <w:ilvl w:val="0"/>
          <w:numId w:val="76"/>
        </w:numPr>
        <w:spacing w:line="240" w:lineRule="auto"/>
        <w:rPr>
          <w:rFonts w:cs="Times New Roman"/>
        </w:rPr>
      </w:pPr>
      <w:r w:rsidRPr="006414E6">
        <w:rPr>
          <w:rFonts w:cs="Times New Roman"/>
        </w:rPr>
        <w:t xml:space="preserve">najznačajniji doprinos smanjenju potrošnji energije daje energetska obnova zgrada – obnova postojećeg fonda zgrada, prikladnog za obnovu, po godišnjoj stopi od 3%, čime do 2050. godine cjelokupni fond zgrada postaje niskoenergetski </w:t>
      </w:r>
    </w:p>
    <w:p w14:paraId="0B4FB711" w14:textId="77777777" w:rsidR="00522861" w:rsidRPr="006414E6" w:rsidRDefault="00522861" w:rsidP="003A2F37">
      <w:pPr>
        <w:pStyle w:val="ListParagraph"/>
        <w:numPr>
          <w:ilvl w:val="1"/>
          <w:numId w:val="77"/>
        </w:numPr>
        <w:spacing w:line="240" w:lineRule="auto"/>
        <w:ind w:left="1071" w:hanging="357"/>
        <w:rPr>
          <w:rFonts w:cs="Times New Roman"/>
        </w:rPr>
      </w:pPr>
      <w:r w:rsidRPr="006414E6">
        <w:rPr>
          <w:rFonts w:cs="Times New Roman"/>
        </w:rPr>
        <w:t>u sektoru kućanstava predviđena je obnova oko 20.000 stambenih jedinica godišnje.</w:t>
      </w:r>
    </w:p>
    <w:p w14:paraId="0C2EBF9A" w14:textId="77777777" w:rsidR="00522861" w:rsidRPr="006414E6" w:rsidRDefault="00522861" w:rsidP="003A2F37">
      <w:pPr>
        <w:pStyle w:val="ListParagraph"/>
        <w:numPr>
          <w:ilvl w:val="0"/>
          <w:numId w:val="77"/>
        </w:numPr>
        <w:spacing w:line="240" w:lineRule="auto"/>
        <w:rPr>
          <w:rFonts w:cs="Times New Roman"/>
        </w:rPr>
      </w:pPr>
      <w:r w:rsidRPr="006414E6">
        <w:rPr>
          <w:rFonts w:cs="Times New Roman"/>
        </w:rPr>
        <w:t>penetracija električne energije za toplinske namjene je snažno prisutna</w:t>
      </w:r>
    </w:p>
    <w:p w14:paraId="787921CD" w14:textId="77777777" w:rsidR="00522861" w:rsidRPr="006414E6" w:rsidRDefault="00522861" w:rsidP="003A2F37">
      <w:pPr>
        <w:pStyle w:val="ListParagraph"/>
        <w:numPr>
          <w:ilvl w:val="0"/>
          <w:numId w:val="77"/>
        </w:numPr>
        <w:spacing w:line="240" w:lineRule="auto"/>
        <w:rPr>
          <w:rFonts w:cs="Times New Roman"/>
        </w:rPr>
      </w:pPr>
      <w:r w:rsidRPr="006414E6">
        <w:rPr>
          <w:rFonts w:cs="Times New Roman"/>
        </w:rPr>
        <w:t>do 2050. godine bi pola stambenog fonda bile novoizgrađene stambene jedinice u odnosu na danas, a u drugoj polovici bi sve stambene jedinice imale poboljšanu toplinsku izolaciju, što rezultira toplinskim potrebama ukupnog stambenog fonda od 34 kWh/m</w:t>
      </w:r>
      <w:r w:rsidRPr="006414E6">
        <w:rPr>
          <w:rFonts w:cs="Times New Roman"/>
          <w:vertAlign w:val="superscript"/>
        </w:rPr>
        <w:t>2</w:t>
      </w:r>
      <w:r w:rsidRPr="006414E6">
        <w:rPr>
          <w:rFonts w:cs="Times New Roman"/>
        </w:rPr>
        <w:t xml:space="preserve"> grijane površine</w:t>
      </w:r>
    </w:p>
    <w:p w14:paraId="5A12B1C7" w14:textId="77777777" w:rsidR="00522861" w:rsidRPr="006414E6" w:rsidRDefault="00522861" w:rsidP="003A2F37">
      <w:pPr>
        <w:pStyle w:val="ListParagraph"/>
        <w:numPr>
          <w:ilvl w:val="0"/>
          <w:numId w:val="77"/>
        </w:numPr>
        <w:spacing w:line="240" w:lineRule="auto"/>
        <w:rPr>
          <w:rFonts w:cs="Times New Roman"/>
        </w:rPr>
      </w:pPr>
      <w:r w:rsidRPr="006414E6">
        <w:rPr>
          <w:rFonts w:cs="Times New Roman"/>
        </w:rPr>
        <w:t>u 2050. godini kućanstava će se grijati 25% modernom biomasom, 45% dizalicama topline, 10% daljinskim grijanjem i 20% prirodnim plinom, 30% pripreme tople vode je sunčevim kolektorima</w:t>
      </w:r>
    </w:p>
    <w:p w14:paraId="1A3B0652" w14:textId="77777777" w:rsidR="00522861" w:rsidRPr="006414E6" w:rsidRDefault="00522861" w:rsidP="003A2F37">
      <w:pPr>
        <w:pStyle w:val="ListParagraph"/>
        <w:numPr>
          <w:ilvl w:val="0"/>
          <w:numId w:val="77"/>
        </w:numPr>
        <w:rPr>
          <w:rFonts w:cs="Times New Roman"/>
        </w:rPr>
      </w:pPr>
      <w:r w:rsidRPr="006414E6">
        <w:rPr>
          <w:rFonts w:cs="Times New Roman"/>
        </w:rPr>
        <w:t>površina uslužnog sektora raste, toplinske potrebe se mjerama do 2050. godine svode na 30 kWh/m</w:t>
      </w:r>
      <w:r w:rsidRPr="006414E6">
        <w:rPr>
          <w:rFonts w:cs="Times New Roman"/>
          <w:vertAlign w:val="superscript"/>
        </w:rPr>
        <w:t>2</w:t>
      </w:r>
      <w:r w:rsidRPr="006414E6">
        <w:rPr>
          <w:rFonts w:cs="Times New Roman"/>
        </w:rPr>
        <w:t xml:space="preserve">, struktura grijanja i priprema potrošne tople vode slična kao i za kućanstva. </w:t>
      </w:r>
    </w:p>
    <w:p w14:paraId="52D70F53" w14:textId="77777777" w:rsidR="00522861" w:rsidRPr="006414E6" w:rsidRDefault="00522861" w:rsidP="00F415A7">
      <w:pPr>
        <w:pStyle w:val="Heading2"/>
      </w:pPr>
      <w:bookmarkStart w:id="380" w:name="_Toc39133347"/>
      <w:r w:rsidRPr="006414E6">
        <w:t xml:space="preserve">III.5. </w:t>
      </w:r>
      <w:r w:rsidRPr="006414E6">
        <w:tab/>
        <w:t>POLJOPRIVREDA</w:t>
      </w:r>
      <w:bookmarkEnd w:id="380"/>
    </w:p>
    <w:p w14:paraId="388A7266" w14:textId="77777777" w:rsidR="00522861" w:rsidRPr="006414E6" w:rsidRDefault="00522861" w:rsidP="00E57F72">
      <w:pPr>
        <w:rPr>
          <w:rFonts w:cs="Times New Roman"/>
        </w:rPr>
      </w:pPr>
      <w:r w:rsidRPr="006414E6">
        <w:rPr>
          <w:rFonts w:cs="Times New Roman"/>
        </w:rPr>
        <w:t>Dodatno značajno smanjenje emisije stakleničkih plinova može se ostvariti uz promjene prehrambenih navika društva odnosno primjenom dodatnih mjera u odnosu na NUR i NU1 scenarije:</w:t>
      </w:r>
    </w:p>
    <w:p w14:paraId="4AEF17C0" w14:textId="77777777" w:rsidR="00522861" w:rsidRPr="006414E6" w:rsidRDefault="00522861" w:rsidP="003A2F37">
      <w:pPr>
        <w:pStyle w:val="ListParagraph"/>
        <w:numPr>
          <w:ilvl w:val="0"/>
          <w:numId w:val="79"/>
        </w:numPr>
        <w:rPr>
          <w:rFonts w:cs="Times New Roman"/>
        </w:rPr>
      </w:pPr>
      <w:r w:rsidRPr="006414E6">
        <w:rPr>
          <w:rFonts w:cs="Times New Roman"/>
        </w:rPr>
        <w:t>Promjena načina prehrane ljudi – povećanje udjela vegetarijanaca na 35% stanovništva do 2050. godine. Ovakva mjera podrazumijeva značajne promjene u strukturi poljoprivredne proizvodnje, posebice stočarstva.</w:t>
      </w:r>
    </w:p>
    <w:p w14:paraId="2A061F3A" w14:textId="77777777" w:rsidR="00522861" w:rsidRPr="006414E6" w:rsidRDefault="00522861" w:rsidP="00F415A7">
      <w:pPr>
        <w:pStyle w:val="Heading2"/>
      </w:pPr>
      <w:bookmarkStart w:id="381" w:name="_Toc39133348"/>
      <w:r w:rsidRPr="006414E6">
        <w:lastRenderedPageBreak/>
        <w:t xml:space="preserve">III.6. </w:t>
      </w:r>
      <w:r w:rsidRPr="006414E6">
        <w:tab/>
        <w:t>GOSPODARENJE OTPADOM</w:t>
      </w:r>
      <w:bookmarkEnd w:id="381"/>
    </w:p>
    <w:p w14:paraId="46CBF0DD" w14:textId="0D3C65C5" w:rsidR="00522861" w:rsidRPr="006414E6" w:rsidRDefault="00522861" w:rsidP="00522861">
      <w:pPr>
        <w:rPr>
          <w:rFonts w:cs="Times New Roman"/>
          <w:b/>
          <w:sz w:val="28"/>
        </w:rPr>
      </w:pPr>
      <w:r w:rsidRPr="006414E6">
        <w:rPr>
          <w:rFonts w:cs="Times New Roman"/>
        </w:rPr>
        <w:t>Scenarij NU2 jednak je scenariju NUR budući nisu raspoznate dodatne mjere za smanjenje emisija. Usporedbenom analizom grupe zemalja sličnih nacionalnih karakteristika utvrđeno je da nacionalno zakonodavstvo, koje je usklađeno s EU zakonodavstvom, propisuje mjere koje sve države članice moraju implementirati do određenog roka te ih razmatraju u okviru scenarija s mjerama</w:t>
      </w:r>
      <w:r w:rsidR="00457520">
        <w:rPr>
          <w:rFonts w:cs="Times New Roman"/>
        </w:rPr>
        <w:t xml:space="preserve"> (što odgovara NUR scenariju). </w:t>
      </w:r>
    </w:p>
    <w:p w14:paraId="03238DF7" w14:textId="410290FF" w:rsidR="00522861" w:rsidRPr="006414E6" w:rsidRDefault="00311FED" w:rsidP="00F415A7">
      <w:pPr>
        <w:pStyle w:val="Heading1"/>
      </w:pPr>
      <w:bookmarkStart w:id="382" w:name="_Toc33417213"/>
      <w:bookmarkStart w:id="383" w:name="_Toc39133349"/>
      <w:r w:rsidRPr="006414E6">
        <w:t>PRILOG IV</w:t>
      </w:r>
      <w:r w:rsidR="00E530A4" w:rsidRPr="006414E6">
        <w:t>.</w:t>
      </w:r>
      <w:r w:rsidR="007937D9" w:rsidRPr="006414E6">
        <w:t xml:space="preserve">  -  </w:t>
      </w:r>
      <w:r w:rsidR="00522861" w:rsidRPr="006414E6">
        <w:t>REZULTATI ANALIZE OSJETLJIVOSTI</w:t>
      </w:r>
      <w:bookmarkEnd w:id="375"/>
      <w:bookmarkEnd w:id="376"/>
      <w:bookmarkEnd w:id="382"/>
      <w:bookmarkEnd w:id="383"/>
    </w:p>
    <w:p w14:paraId="476206A4" w14:textId="1A6549DA" w:rsidR="00522861" w:rsidRPr="006414E6" w:rsidRDefault="00522861" w:rsidP="00522861">
      <w:pPr>
        <w:rPr>
          <w:rFonts w:cs="Times New Roman"/>
        </w:rPr>
      </w:pPr>
      <w:r w:rsidRPr="006414E6">
        <w:rPr>
          <w:rFonts w:cs="Times New Roman"/>
        </w:rPr>
        <w:t>Uredba 2018/1999/</w:t>
      </w:r>
      <w:r w:rsidRPr="006414E6">
        <w:rPr>
          <w:rFonts w:cs="Times New Roman"/>
          <w:szCs w:val="24"/>
        </w:rPr>
        <w:t>EU o upravljanju energetskom unijom i djelovanjem u području klime</w:t>
      </w:r>
      <w:r w:rsidR="00480F3C" w:rsidRPr="00480F3C">
        <w:rPr>
          <w:rFonts w:cs="Times New Roman"/>
          <w:szCs w:val="24"/>
          <w:vertAlign w:val="superscript"/>
        </w:rPr>
        <w:t>3</w:t>
      </w:r>
      <w:r w:rsidRPr="006414E6">
        <w:rPr>
          <w:rFonts w:cs="Times New Roman"/>
          <w:szCs w:val="24"/>
        </w:rPr>
        <w:t xml:space="preserve"> </w:t>
      </w:r>
      <w:r w:rsidRPr="006414E6">
        <w:rPr>
          <w:rFonts w:cs="Times New Roman"/>
        </w:rPr>
        <w:t xml:space="preserve">preporuča da bi za nacionalne scenarije trebalo koristiti, koliko je to moguće i opravdano,  pretpostavke i polazne podatke koji su korišteni za zajedničke projekcije EU. </w:t>
      </w:r>
    </w:p>
    <w:p w14:paraId="6C7B342E" w14:textId="57E91208" w:rsidR="00522861" w:rsidRPr="006414E6" w:rsidRDefault="00522861" w:rsidP="00522861">
      <w:pPr>
        <w:rPr>
          <w:rFonts w:cs="Times New Roman"/>
        </w:rPr>
      </w:pPr>
      <w:r w:rsidRPr="006414E6">
        <w:rPr>
          <w:rFonts w:cs="Times New Roman"/>
        </w:rPr>
        <w:t>U lipnju 2018. godine EK izradila je dokument Preporučeni usklađeni parametri za potrebe izrade nacionalnih projekcija, integriranih planova i dugoročnih strategija</w:t>
      </w:r>
      <w:r w:rsidR="00480F3C">
        <w:rPr>
          <w:rFonts w:eastAsia="Times New Roman" w:cs="Times New Roman"/>
          <w:vertAlign w:val="superscript"/>
          <w:lang w:eastAsia="hr-HR"/>
        </w:rPr>
        <w:t>4</w:t>
      </w:r>
      <w:r w:rsidRPr="006414E6">
        <w:rPr>
          <w:rFonts w:cs="Times New Roman"/>
        </w:rPr>
        <w:t>. Preporučeni parametri uključuju projekcije demografskog razvoja, stopa BDP-a, bruto dodane vrijednosti pojedinih industrijskih grana, projekcije cijene goriva te emisijskih jedinica. U slučaju odstupanja, odnosno ne korištenja preporučenih parametra, potrebno je izraditi analizu osjetljivosti i odrediti promjene u emisijama stakleničkih plinova.</w:t>
      </w:r>
    </w:p>
    <w:p w14:paraId="52AF52C6" w14:textId="77777777" w:rsidR="00522861" w:rsidRPr="006414E6" w:rsidRDefault="00522861" w:rsidP="00522861">
      <w:pPr>
        <w:rPr>
          <w:rFonts w:cs="Times New Roman"/>
        </w:rPr>
      </w:pPr>
      <w:r w:rsidRPr="006414E6">
        <w:rPr>
          <w:rFonts w:cs="Times New Roman"/>
        </w:rPr>
        <w:t xml:space="preserve">Ključne razlike u polaznim podacima nacionalnih NUR, NU1 i NU2 scenarija i polaznih podataka koje koristi EU u zajedničkim scenarijima su projekcije broja stanovnika i projekcije BDP-a te su u nastavku prikazani rezultati analize osjetljivosti, odnosno razlike u emisijama stakleničkih plinova ovisno o razlikama tih parametara demografskog i gospodarskog razvoja. </w:t>
      </w:r>
    </w:p>
    <w:p w14:paraId="5191F57D" w14:textId="77777777" w:rsidR="00522861" w:rsidRPr="006414E6" w:rsidRDefault="00522861" w:rsidP="00522861">
      <w:pPr>
        <w:rPr>
          <w:rFonts w:cs="Times New Roman"/>
        </w:rPr>
      </w:pPr>
      <w:r w:rsidRPr="006414E6">
        <w:rPr>
          <w:rFonts w:cs="Times New Roman"/>
        </w:rPr>
        <w:t>U sva tri promatrana scenarija (NUR, NU1, NU2) demografski i gospodarski parametri su isti (opisani u Poglavlju 3.3.1.).</w:t>
      </w:r>
    </w:p>
    <w:p w14:paraId="401370CF" w14:textId="77777777" w:rsidR="00522861" w:rsidRPr="006414E6" w:rsidRDefault="00522861" w:rsidP="00522861">
      <w:pPr>
        <w:rPr>
          <w:rFonts w:cs="Times New Roman"/>
          <w:u w:val="single"/>
        </w:rPr>
      </w:pPr>
      <w:r w:rsidRPr="006414E6">
        <w:rPr>
          <w:rFonts w:cs="Times New Roman"/>
          <w:u w:val="single"/>
        </w:rPr>
        <w:t>Stopa BDP-a</w:t>
      </w:r>
    </w:p>
    <w:p w14:paraId="33DABD86" w14:textId="77777777" w:rsidR="00522861" w:rsidRPr="006414E6" w:rsidRDefault="00522861" w:rsidP="00522861">
      <w:pPr>
        <w:rPr>
          <w:rFonts w:cs="Times New Roman"/>
        </w:rPr>
      </w:pPr>
      <w:r w:rsidRPr="006414E6">
        <w:rPr>
          <w:rFonts w:cs="Times New Roman"/>
        </w:rPr>
        <w:t xml:space="preserve">U analiziranim scenarijima pretpostavljen je porast BDP-a u prosjeku 2,0% do 2050. godine, što čini nominalno povećanje u odnosu na 2016. godinu za 93,4%. </w:t>
      </w:r>
    </w:p>
    <w:p w14:paraId="1053BF42" w14:textId="6118EC83" w:rsidR="00522861" w:rsidRPr="006414E6" w:rsidRDefault="00522861" w:rsidP="00522861">
      <w:pPr>
        <w:rPr>
          <w:rFonts w:cs="Times New Roman"/>
          <w:lang w:val="hr-BA"/>
        </w:rPr>
      </w:pPr>
      <w:r w:rsidRPr="006414E6">
        <w:rPr>
          <w:rFonts w:cs="Times New Roman"/>
          <w:lang w:val="hr-BA"/>
        </w:rPr>
        <w:t xml:space="preserve">Preporučene stope rasta BDP-a u dokumentu </w:t>
      </w:r>
      <w:r w:rsidRPr="006414E6">
        <w:rPr>
          <w:rFonts w:cs="Times New Roman"/>
        </w:rPr>
        <w:t>Preporučeni usklađeni parametri za potrebe izrade nacionalnih projekcija, integriranih planova i dugoročnih strategija</w:t>
      </w:r>
      <w:r w:rsidRPr="006414E6">
        <w:rPr>
          <w:rFonts w:cs="Times New Roman"/>
          <w:lang w:val="hr-BA"/>
        </w:rPr>
        <w:t xml:space="preserve"> pretpostavljaju porast BDP-a do 2050. godine, u prosjeku 1,7% do 2050. godine, što čini nominalno povećanje u odnosu na 2016. godinu </w:t>
      </w:r>
    </w:p>
    <w:p w14:paraId="7691C281" w14:textId="6A982055" w:rsidR="00522861" w:rsidRDefault="00522861" w:rsidP="00522861">
      <w:pPr>
        <w:rPr>
          <w:rFonts w:cs="Times New Roman"/>
        </w:rPr>
      </w:pPr>
      <w:r w:rsidRPr="006414E6">
        <w:rPr>
          <w:rFonts w:cs="Times New Roman"/>
        </w:rPr>
        <w:t xml:space="preserve">Uz korištenje preporučenih stopa rasta BDP-a, emisija stakleničkih plinova u 2030. godini manja je za oko 1,2% u odnosu na NUR, NU1 i NU2 scenarije. Emisija stakleničkih plinova u 2050. godini manja je za 1,2%, 1,3% i 0,7% u odnosu na NUR, NU1 i NU2 scenarije, a uz pretpostavku jednake ugljične intenzivnosti gospodarstva. Međutim, provedbom mjera za smanjenje emisija smanjuje se, a u dugom roku i prekida veza između BDP-a i emisija. Dakle, rast BDP-a doprinosi smanjenju emisija kada do njega dolazi kroz ulaganja u </w:t>
      </w:r>
      <w:proofErr w:type="spellStart"/>
      <w:r w:rsidRPr="006414E6">
        <w:rPr>
          <w:rFonts w:cs="Times New Roman"/>
        </w:rPr>
        <w:t>niskougljične</w:t>
      </w:r>
      <w:proofErr w:type="spellEnd"/>
      <w:r w:rsidRPr="006414E6">
        <w:rPr>
          <w:rFonts w:cs="Times New Roman"/>
        </w:rPr>
        <w:t xml:space="preserve"> tehnologije, industriju i usluge.</w:t>
      </w:r>
    </w:p>
    <w:p w14:paraId="07976018" w14:textId="4916D4F9" w:rsidR="00480F3C" w:rsidRPr="00480F3C" w:rsidRDefault="00480F3C" w:rsidP="00480F3C">
      <w:pPr>
        <w:spacing w:line="240" w:lineRule="auto"/>
        <w:ind w:left="113" w:hanging="113"/>
        <w:rPr>
          <w:rFonts w:cs="Times New Roman"/>
          <w:sz w:val="16"/>
          <w:szCs w:val="16"/>
        </w:rPr>
      </w:pPr>
      <w:r w:rsidRPr="00480F3C">
        <w:rPr>
          <w:rFonts w:cs="Times New Roman"/>
          <w:sz w:val="16"/>
          <w:szCs w:val="16"/>
          <w:vertAlign w:val="superscript"/>
        </w:rPr>
        <w:t>3</w:t>
      </w:r>
      <w:r w:rsidRPr="00480F3C">
        <w:rPr>
          <w:rFonts w:cs="Times New Roman"/>
          <w:sz w:val="16"/>
          <w:szCs w:val="16"/>
        </w:rPr>
        <w:t>Uredba (EU) 2018/1999 Europskog parlamenta i Vijeća od 11. prosinca 2018. o upravljanju energetskom unijom i djelovanjem u području klime, izmjeni uredaba (EZ) br. 663/2009 i (EZ) br. 715/2009 Europskog parlamenta i Vijeća, direktiva 94/22/EZ, 98/70/EZ, 2009/31/EZ, 2009/73/EZ, 2010/31/EU, 2012/27/EU i 2013/30/EU Europskog parlamenta i Vijeća, direktiva Vijeća 2009/119/EZ i (EU) 2015/652 te stavljanju izvan snage Uredbe (EU) br. 525/2013 Europskog parlamenta i Vijeća (Tekst značajan za EGP.)</w:t>
      </w:r>
    </w:p>
    <w:p w14:paraId="691D585C" w14:textId="3FB2B920" w:rsidR="00480F3C" w:rsidRPr="006414E6" w:rsidRDefault="00480F3C" w:rsidP="00480F3C">
      <w:pPr>
        <w:rPr>
          <w:rFonts w:cs="Times New Roman"/>
        </w:rPr>
      </w:pPr>
      <w:r>
        <w:rPr>
          <w:rFonts w:ascii="Segoe UI" w:hAnsi="Segoe UI" w:cs="Times New Roman"/>
          <w:sz w:val="16"/>
          <w:szCs w:val="16"/>
          <w:vertAlign w:val="superscript"/>
        </w:rPr>
        <w:t>4</w:t>
      </w:r>
      <w:r w:rsidRPr="00480F3C">
        <w:rPr>
          <w:rFonts w:cs="Times New Roman"/>
          <w:sz w:val="16"/>
          <w:szCs w:val="16"/>
        </w:rPr>
        <w:t xml:space="preserve">Recommended </w:t>
      </w:r>
      <w:proofErr w:type="spellStart"/>
      <w:r w:rsidRPr="00480F3C">
        <w:rPr>
          <w:rFonts w:cs="Times New Roman"/>
          <w:sz w:val="16"/>
          <w:szCs w:val="16"/>
        </w:rPr>
        <w:t>parameters</w:t>
      </w:r>
      <w:proofErr w:type="spellEnd"/>
      <w:r w:rsidRPr="00480F3C">
        <w:rPr>
          <w:rFonts w:cs="Times New Roman"/>
          <w:sz w:val="16"/>
          <w:szCs w:val="16"/>
        </w:rPr>
        <w:t xml:space="preserve"> for </w:t>
      </w:r>
      <w:proofErr w:type="spellStart"/>
      <w:r w:rsidRPr="00480F3C">
        <w:rPr>
          <w:rFonts w:cs="Times New Roman"/>
          <w:sz w:val="16"/>
          <w:szCs w:val="16"/>
        </w:rPr>
        <w:t>reporting</w:t>
      </w:r>
      <w:proofErr w:type="spellEnd"/>
      <w:r w:rsidRPr="00480F3C">
        <w:rPr>
          <w:rFonts w:cs="Times New Roman"/>
          <w:sz w:val="16"/>
          <w:szCs w:val="16"/>
        </w:rPr>
        <w:t xml:space="preserve"> on </w:t>
      </w:r>
      <w:proofErr w:type="spellStart"/>
      <w:r w:rsidRPr="00480F3C">
        <w:rPr>
          <w:rFonts w:cs="Times New Roman"/>
          <w:sz w:val="16"/>
          <w:szCs w:val="16"/>
        </w:rPr>
        <w:t>GHG</w:t>
      </w:r>
      <w:proofErr w:type="spellEnd"/>
      <w:r w:rsidRPr="00480F3C">
        <w:rPr>
          <w:rFonts w:cs="Times New Roman"/>
          <w:sz w:val="16"/>
          <w:szCs w:val="16"/>
        </w:rPr>
        <w:t xml:space="preserve"> </w:t>
      </w:r>
      <w:proofErr w:type="spellStart"/>
      <w:r w:rsidRPr="00480F3C">
        <w:rPr>
          <w:rFonts w:cs="Times New Roman"/>
          <w:sz w:val="16"/>
          <w:szCs w:val="16"/>
        </w:rPr>
        <w:t>projections</w:t>
      </w:r>
      <w:proofErr w:type="spellEnd"/>
      <w:r w:rsidRPr="00480F3C">
        <w:rPr>
          <w:rFonts w:cs="Times New Roman"/>
          <w:sz w:val="16"/>
          <w:szCs w:val="16"/>
        </w:rPr>
        <w:t xml:space="preserve"> </w:t>
      </w:r>
      <w:proofErr w:type="spellStart"/>
      <w:r w:rsidRPr="00480F3C">
        <w:rPr>
          <w:rFonts w:cs="Times New Roman"/>
          <w:sz w:val="16"/>
          <w:szCs w:val="16"/>
        </w:rPr>
        <w:t>in</w:t>
      </w:r>
      <w:proofErr w:type="spellEnd"/>
      <w:r w:rsidRPr="00480F3C">
        <w:rPr>
          <w:rFonts w:cs="Times New Roman"/>
          <w:sz w:val="16"/>
          <w:szCs w:val="16"/>
        </w:rPr>
        <w:t xml:space="preserve"> 2019, EK</w:t>
      </w:r>
    </w:p>
    <w:p w14:paraId="3329272B" w14:textId="77777777" w:rsidR="00522861" w:rsidRPr="006414E6" w:rsidRDefault="00522861" w:rsidP="00E57F72">
      <w:pPr>
        <w:rPr>
          <w:rFonts w:cs="Times New Roman"/>
          <w:u w:val="single"/>
        </w:rPr>
      </w:pPr>
      <w:r w:rsidRPr="006414E6">
        <w:rPr>
          <w:rFonts w:cs="Times New Roman"/>
          <w:u w:val="single"/>
        </w:rPr>
        <w:t>Kretanje broja stanovnika</w:t>
      </w:r>
    </w:p>
    <w:p w14:paraId="725515F2" w14:textId="77777777" w:rsidR="00522861" w:rsidRPr="006414E6" w:rsidRDefault="00522861" w:rsidP="00522861">
      <w:pPr>
        <w:rPr>
          <w:rFonts w:cs="Times New Roman"/>
        </w:rPr>
      </w:pPr>
      <w:r w:rsidRPr="006414E6">
        <w:rPr>
          <w:rFonts w:cs="Times New Roman"/>
        </w:rPr>
        <w:t xml:space="preserve">NUR, NU1 i NU2 scenariji napravljeni su uz pretpostavku da u Republici Hrvatskoj broj stanovnika u 2030. iznosi </w:t>
      </w:r>
      <w:r w:rsidRPr="006414E6">
        <w:rPr>
          <w:rFonts w:cs="Times New Roman"/>
          <w:lang w:val="hr-BA"/>
        </w:rPr>
        <w:t>3.755.419</w:t>
      </w:r>
      <w:r w:rsidRPr="006414E6">
        <w:rPr>
          <w:rFonts w:cs="Times New Roman"/>
        </w:rPr>
        <w:t xml:space="preserve">, a u 2050. </w:t>
      </w:r>
      <w:r w:rsidRPr="006414E6">
        <w:rPr>
          <w:rFonts w:cs="Times New Roman"/>
          <w:lang w:val="hr-BA"/>
        </w:rPr>
        <w:t>3.295.443</w:t>
      </w:r>
      <w:r w:rsidRPr="006414E6">
        <w:rPr>
          <w:rFonts w:cs="Times New Roman"/>
        </w:rPr>
        <w:t xml:space="preserve">. Preporučeni parametri projekcija demografskog razvoja iz </w:t>
      </w:r>
      <w:r w:rsidRPr="006414E6">
        <w:rPr>
          <w:rFonts w:cs="Times New Roman"/>
        </w:rPr>
        <w:lastRenderedPageBreak/>
        <w:t>dokumenta Preporučeni usklađeni parametri za potrebe izrade nacionalnih projekcija, integriranih planova i dugoročnih strategija daju 8,7% više stanovnika u 2030. godini, odnosno 16% stanovnika više u 2050. godini, u odnosu na pretpostavljeni broj stanovnika u NUR, NU1 i NU2 scenarijima.</w:t>
      </w:r>
    </w:p>
    <w:p w14:paraId="09190735" w14:textId="77777777" w:rsidR="00522861" w:rsidRPr="006414E6" w:rsidRDefault="00522861" w:rsidP="00522861">
      <w:pPr>
        <w:rPr>
          <w:rFonts w:cs="Times New Roman"/>
        </w:rPr>
      </w:pPr>
      <w:proofErr w:type="spellStart"/>
      <w:r w:rsidRPr="006414E6">
        <w:rPr>
          <w:rFonts w:cs="Times New Roman"/>
        </w:rPr>
        <w:t>Niskougljičnim</w:t>
      </w:r>
      <w:proofErr w:type="spellEnd"/>
      <w:r w:rsidRPr="006414E6">
        <w:rPr>
          <w:rFonts w:cs="Times New Roman"/>
        </w:rPr>
        <w:t xml:space="preserve"> scenarijima odvaja se BDP od emisija stakleničkih plinova, a  isto tako i emisija po stanovniku pada. U NU1 scenariju u 2030. godini iznosi 5,6 tCO</w:t>
      </w:r>
      <w:r w:rsidRPr="006414E6">
        <w:rPr>
          <w:rFonts w:cs="Times New Roman"/>
          <w:vertAlign w:val="subscript"/>
        </w:rPr>
        <w:t>2</w:t>
      </w:r>
      <w:r w:rsidRPr="006414E6">
        <w:rPr>
          <w:rFonts w:cs="Times New Roman"/>
        </w:rPr>
        <w:t>e/stan, a u 2050. godini 4,2 tCO</w:t>
      </w:r>
      <w:r w:rsidRPr="006414E6">
        <w:rPr>
          <w:rFonts w:cs="Times New Roman"/>
          <w:vertAlign w:val="subscript"/>
        </w:rPr>
        <w:t>2</w:t>
      </w:r>
      <w:r w:rsidRPr="006414E6">
        <w:rPr>
          <w:rFonts w:cs="Times New Roman"/>
        </w:rPr>
        <w:t>e/stan te 5,4 tCO</w:t>
      </w:r>
      <w:r w:rsidRPr="006414E6">
        <w:rPr>
          <w:rFonts w:cs="Times New Roman"/>
          <w:vertAlign w:val="subscript"/>
        </w:rPr>
        <w:t>2</w:t>
      </w:r>
      <w:r w:rsidRPr="006414E6">
        <w:rPr>
          <w:rFonts w:cs="Times New Roman"/>
        </w:rPr>
        <w:t>e/stan 2030. godine u NU2 scenariju, odnosno 2,6 tCO</w:t>
      </w:r>
      <w:r w:rsidRPr="006414E6">
        <w:rPr>
          <w:rFonts w:cs="Times New Roman"/>
          <w:vertAlign w:val="subscript"/>
        </w:rPr>
        <w:t>2</w:t>
      </w:r>
      <w:r w:rsidRPr="006414E6">
        <w:rPr>
          <w:rFonts w:cs="Times New Roman"/>
        </w:rPr>
        <w:t xml:space="preserve">e/stan 2050. godine. Varijacije u demografskim kretanjima imaju sve manji utjecaj na emisije i ne mogu bitno promijeniti postavljene trendove. </w:t>
      </w:r>
    </w:p>
    <w:p w14:paraId="5B3EFA2E" w14:textId="77777777" w:rsidR="00522861" w:rsidRPr="006414E6" w:rsidRDefault="00522861" w:rsidP="00522861">
      <w:pPr>
        <w:rPr>
          <w:rFonts w:cs="Times New Roman"/>
        </w:rPr>
      </w:pPr>
      <w:r w:rsidRPr="006414E6">
        <w:rPr>
          <w:rFonts w:cs="Times New Roman"/>
        </w:rPr>
        <w:t xml:space="preserve">Uz korištenje preporučenih parametara demografskog razvoja </w:t>
      </w:r>
      <w:r w:rsidRPr="006414E6">
        <w:rPr>
          <w:rFonts w:cs="Times New Roman"/>
          <w:lang w:val="hr-BA"/>
        </w:rPr>
        <w:t xml:space="preserve">iz dokumenta </w:t>
      </w:r>
      <w:r w:rsidRPr="006414E6">
        <w:rPr>
          <w:rFonts w:cs="Times New Roman"/>
        </w:rPr>
        <w:t>Preporučeni usklađeni parametri za potrebe izrade nacionalnih projekcija, integriranih planova i dugoročnih strategija, emisija stakleničkih plinova u 2030. godini veća je za oko 4% u odnosu na NU1 i NU2 scenarije, a u 2050. godini veća je za 4,2% odnosno 2,6% veća u odnosu NU1 i NU2 scenarije.</w:t>
      </w:r>
    </w:p>
    <w:p w14:paraId="0FEBC6B7" w14:textId="77777777" w:rsidR="00177077" w:rsidRDefault="00177077" w:rsidP="00F415A7">
      <w:pPr>
        <w:pStyle w:val="Heading1"/>
        <w:sectPr w:rsidR="00177077" w:rsidSect="0021090A">
          <w:headerReference w:type="default" r:id="rId24"/>
          <w:pgSz w:w="11906" w:h="16838"/>
          <w:pgMar w:top="1701" w:right="1418" w:bottom="1418" w:left="1418" w:header="624" w:footer="624" w:gutter="0"/>
          <w:cols w:space="720"/>
        </w:sectPr>
      </w:pPr>
      <w:bookmarkStart w:id="384" w:name="_Toc33417210"/>
      <w:bookmarkStart w:id="385" w:name="_Toc39133350"/>
    </w:p>
    <w:p w14:paraId="3B7D915B" w14:textId="48BCD95E" w:rsidR="00A30149" w:rsidRDefault="00311FED" w:rsidP="00F415A7">
      <w:pPr>
        <w:pStyle w:val="Heading1"/>
      </w:pPr>
      <w:r w:rsidRPr="006414E6">
        <w:lastRenderedPageBreak/>
        <w:t>PRILOG V</w:t>
      </w:r>
      <w:r w:rsidR="00E530A4" w:rsidRPr="006414E6">
        <w:t>.</w:t>
      </w:r>
      <w:r w:rsidR="00F415A7">
        <w:t xml:space="preserve"> - </w:t>
      </w:r>
      <w:r w:rsidR="00817C16" w:rsidRPr="006414E6">
        <w:t>MJER</w:t>
      </w:r>
      <w:r w:rsidR="00BE6504" w:rsidRPr="006414E6">
        <w:t>E</w:t>
      </w:r>
      <w:r w:rsidR="00A30149" w:rsidRPr="006414E6">
        <w:t xml:space="preserve"> ZA SMANJENJE EMISIJA </w:t>
      </w:r>
      <w:r w:rsidR="00BE6504" w:rsidRPr="006414E6">
        <w:t>STAKLENIČKIH PLINOVA</w:t>
      </w:r>
      <w:r w:rsidR="00DF517D" w:rsidRPr="006414E6">
        <w:t xml:space="preserve"> </w:t>
      </w:r>
      <w:r w:rsidR="00A30149" w:rsidRPr="006414E6">
        <w:t xml:space="preserve">I </w:t>
      </w:r>
      <w:r w:rsidR="00817C16" w:rsidRPr="006414E6">
        <w:t xml:space="preserve">POVEĆANJE </w:t>
      </w:r>
      <w:r w:rsidR="00A30149" w:rsidRPr="006414E6">
        <w:t>ODLIVA</w:t>
      </w:r>
      <w:bookmarkEnd w:id="384"/>
      <w:bookmarkEnd w:id="385"/>
    </w:p>
    <w:p w14:paraId="41E8D5B4" w14:textId="77777777" w:rsidR="00177077" w:rsidRPr="00177077" w:rsidRDefault="00177077" w:rsidP="00177077"/>
    <w:tbl>
      <w:tblPr>
        <w:tblW w:w="13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2832"/>
        <w:gridCol w:w="9217"/>
      </w:tblGrid>
      <w:tr w:rsidR="00C81938" w:rsidRPr="006414E6" w14:paraId="7FDCF5D4" w14:textId="77777777" w:rsidTr="00177077">
        <w:trPr>
          <w:trHeight w:val="340"/>
        </w:trPr>
        <w:tc>
          <w:tcPr>
            <w:tcW w:w="1129" w:type="dxa"/>
            <w:vAlign w:val="center"/>
          </w:tcPr>
          <w:p w14:paraId="78AC8750" w14:textId="77777777" w:rsidR="00C81938" w:rsidRPr="006414E6" w:rsidRDefault="00C81938" w:rsidP="006B211F">
            <w:pPr>
              <w:spacing w:line="240" w:lineRule="auto"/>
              <w:jc w:val="center"/>
              <w:rPr>
                <w:rFonts w:cs="Times New Roman"/>
                <w:b/>
                <w:sz w:val="20"/>
              </w:rPr>
            </w:pPr>
            <w:r w:rsidRPr="006414E6">
              <w:rPr>
                <w:rFonts w:cs="Times New Roman"/>
                <w:b/>
                <w:sz w:val="20"/>
              </w:rPr>
              <w:t>OZNAKA</w:t>
            </w:r>
          </w:p>
        </w:tc>
        <w:tc>
          <w:tcPr>
            <w:tcW w:w="12049" w:type="dxa"/>
            <w:gridSpan w:val="2"/>
            <w:vAlign w:val="center"/>
          </w:tcPr>
          <w:p w14:paraId="0DD001AD" w14:textId="77777777" w:rsidR="00C81938" w:rsidRPr="006414E6" w:rsidRDefault="00C81938" w:rsidP="006B211F">
            <w:pPr>
              <w:spacing w:line="240" w:lineRule="auto"/>
              <w:jc w:val="center"/>
              <w:rPr>
                <w:rFonts w:eastAsia="Times New Roman" w:cs="Times New Roman"/>
                <w:b/>
                <w:sz w:val="20"/>
                <w:lang w:eastAsia="hr-HR"/>
              </w:rPr>
            </w:pPr>
            <w:r w:rsidRPr="006414E6">
              <w:rPr>
                <w:rFonts w:cs="Times New Roman"/>
                <w:b/>
                <w:sz w:val="20"/>
              </w:rPr>
              <w:t>NAZIV</w:t>
            </w:r>
            <w:r w:rsidR="00281268" w:rsidRPr="006414E6">
              <w:rPr>
                <w:rFonts w:cs="Times New Roman"/>
                <w:b/>
                <w:sz w:val="20"/>
              </w:rPr>
              <w:t xml:space="preserve"> I OPIS</w:t>
            </w:r>
            <w:r w:rsidRPr="006414E6">
              <w:rPr>
                <w:rFonts w:cs="Times New Roman"/>
                <w:b/>
                <w:sz w:val="20"/>
              </w:rPr>
              <w:t xml:space="preserve"> MJERE</w:t>
            </w:r>
          </w:p>
        </w:tc>
      </w:tr>
      <w:tr w:rsidR="00C81938" w:rsidRPr="006414E6" w14:paraId="6DC95D1F" w14:textId="77777777" w:rsidTr="00177077">
        <w:trPr>
          <w:trHeight w:val="340"/>
        </w:trPr>
        <w:tc>
          <w:tcPr>
            <w:tcW w:w="13178" w:type="dxa"/>
            <w:gridSpan w:val="3"/>
            <w:vAlign w:val="center"/>
          </w:tcPr>
          <w:p w14:paraId="5ACFB7C1" w14:textId="77777777" w:rsidR="00C81938" w:rsidRPr="006414E6" w:rsidRDefault="00C81938" w:rsidP="00817C16">
            <w:pPr>
              <w:spacing w:line="240" w:lineRule="auto"/>
              <w:rPr>
                <w:rFonts w:eastAsia="Times New Roman" w:cs="Times New Roman"/>
                <w:b/>
                <w:sz w:val="20"/>
                <w:lang w:eastAsia="hr-HR"/>
              </w:rPr>
            </w:pPr>
            <w:r w:rsidRPr="006414E6">
              <w:rPr>
                <w:rFonts w:eastAsia="Times New Roman" w:cs="Times New Roman"/>
                <w:b/>
                <w:sz w:val="20"/>
                <w:lang w:eastAsia="hr-HR"/>
              </w:rPr>
              <w:t>MEĐUSEKTORSKE MJERE</w:t>
            </w:r>
          </w:p>
        </w:tc>
      </w:tr>
      <w:tr w:rsidR="00B37DF8" w:rsidRPr="006414E6" w14:paraId="4C0DA86D" w14:textId="77777777" w:rsidTr="00177077">
        <w:trPr>
          <w:trHeight w:val="340"/>
        </w:trPr>
        <w:tc>
          <w:tcPr>
            <w:tcW w:w="1129" w:type="dxa"/>
            <w:vAlign w:val="center"/>
          </w:tcPr>
          <w:p w14:paraId="610671AF"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MCC-1</w:t>
            </w:r>
          </w:p>
        </w:tc>
        <w:tc>
          <w:tcPr>
            <w:tcW w:w="2832" w:type="dxa"/>
            <w:vAlign w:val="center"/>
            <w:hideMark/>
          </w:tcPr>
          <w:p w14:paraId="4F44377E"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Povjerenstvo za međusektorsku koordinaciju za politiku i mjere za ublažavanje i prilagodbu klimatskim promjenama</w:t>
            </w:r>
          </w:p>
        </w:tc>
        <w:tc>
          <w:tcPr>
            <w:tcW w:w="9217" w:type="dxa"/>
            <w:vAlign w:val="center"/>
            <w:hideMark/>
          </w:tcPr>
          <w:p w14:paraId="0711AC5A"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Povjerenstvo, koje imenuje Vlada Republike Hrvatske, osnovano je 2014. godine i nadležno je za praćenje i ocjenu provedbe i planiranja politike i mjera za ublažavanje i prilagodbu klimatskim promjenama u Republici Hrvatskoj. U Povjerenstvo su imenovani dužnosnici nadležnih tijela državne uprave, ali se na sjednice, po potrebi, mogu pozivati </w:t>
            </w:r>
            <w:r w:rsidRPr="006414E6">
              <w:rPr>
                <w:rFonts w:eastAsia="Calibri" w:cs="Times New Roman"/>
                <w:sz w:val="20"/>
              </w:rPr>
              <w:t>i drugi predstavnici tijela javne vlasti, strukovnih organizacija i predstavnici trgovačkih društava u vlasništvu države.</w:t>
            </w:r>
          </w:p>
        </w:tc>
      </w:tr>
      <w:tr w:rsidR="00B37DF8" w:rsidRPr="006414E6" w14:paraId="27D98252" w14:textId="77777777" w:rsidTr="00177077">
        <w:trPr>
          <w:trHeight w:val="340"/>
        </w:trPr>
        <w:tc>
          <w:tcPr>
            <w:tcW w:w="1129" w:type="dxa"/>
            <w:vAlign w:val="center"/>
          </w:tcPr>
          <w:p w14:paraId="43032C1F"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MCC-2</w:t>
            </w:r>
          </w:p>
        </w:tc>
        <w:tc>
          <w:tcPr>
            <w:tcW w:w="2832" w:type="dxa"/>
            <w:vAlign w:val="center"/>
          </w:tcPr>
          <w:p w14:paraId="6BC088E3"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Poticanje osnivanja regionalnih energetskih i klimatskih agencija i izgradnja kapaciteta</w:t>
            </w:r>
          </w:p>
        </w:tc>
        <w:tc>
          <w:tcPr>
            <w:tcW w:w="9217" w:type="dxa"/>
            <w:vAlign w:val="center"/>
          </w:tcPr>
          <w:p w14:paraId="54504E52" w14:textId="295B02FD"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Regionalne energetske agencije trenutno ne djeluju na području čitave R</w:t>
            </w:r>
            <w:r w:rsidR="00C05A82" w:rsidRPr="006414E6">
              <w:rPr>
                <w:rFonts w:eastAsia="Times New Roman" w:cs="Times New Roman"/>
                <w:sz w:val="20"/>
                <w:lang w:eastAsia="hr-HR"/>
              </w:rPr>
              <w:t xml:space="preserve">epublike </w:t>
            </w:r>
            <w:r w:rsidRPr="006414E6">
              <w:rPr>
                <w:rFonts w:eastAsia="Times New Roman" w:cs="Times New Roman"/>
                <w:sz w:val="20"/>
                <w:lang w:eastAsia="hr-HR"/>
              </w:rPr>
              <w:t>H</w:t>
            </w:r>
            <w:r w:rsidR="00C05A82" w:rsidRPr="006414E6">
              <w:rPr>
                <w:rFonts w:eastAsia="Times New Roman" w:cs="Times New Roman"/>
                <w:sz w:val="20"/>
                <w:lang w:eastAsia="hr-HR"/>
              </w:rPr>
              <w:t>rvatske</w:t>
            </w:r>
            <w:r w:rsidRPr="006414E6">
              <w:rPr>
                <w:rFonts w:eastAsia="Times New Roman" w:cs="Times New Roman"/>
                <w:sz w:val="20"/>
                <w:lang w:eastAsia="hr-HR"/>
              </w:rPr>
              <w:t>, a potrebna je izgradnja kapaciteta postojećih regionalnih energetskih agencija na polju klimatskih promjena i njihova transformacija u energetske i klimatske agencije. Cilj ove mjere je poticanje uspostave i osnivanja regionalnih energetskih agencija za područja Republike Hrvatske na kojima one ne djeluju te preoblikovanje postojećih energetskih agencija u energetske i klimatske agencije.</w:t>
            </w:r>
          </w:p>
        </w:tc>
      </w:tr>
      <w:tr w:rsidR="00B37DF8" w:rsidRPr="006414E6" w14:paraId="4651F8F1" w14:textId="77777777" w:rsidTr="00177077">
        <w:trPr>
          <w:trHeight w:val="340"/>
        </w:trPr>
        <w:tc>
          <w:tcPr>
            <w:tcW w:w="1129" w:type="dxa"/>
            <w:vAlign w:val="center"/>
          </w:tcPr>
          <w:p w14:paraId="5E695828"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MCC-3</w:t>
            </w:r>
          </w:p>
        </w:tc>
        <w:tc>
          <w:tcPr>
            <w:tcW w:w="2832" w:type="dxa"/>
            <w:vAlign w:val="center"/>
          </w:tcPr>
          <w:p w14:paraId="0A67E49B"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Promicanje korištenja inovativnih informacijskih i komunikacijskih tehnologija (ICT) radi smanjenja emisija stakleničkih plinova</w:t>
            </w:r>
          </w:p>
        </w:tc>
        <w:tc>
          <w:tcPr>
            <w:tcW w:w="9217" w:type="dxa"/>
            <w:vAlign w:val="center"/>
          </w:tcPr>
          <w:p w14:paraId="4EB9BB44"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Inovativne informacijske i komunikacijske tehnologije imaju sve važniju ulogu u smanjenju emisija stakleničkih plinova i povećanju energetske učinkovitosti. Intenziviranjem njihovog korištenja u javnoj upravi, uslugama i proizvodnim procesima povećat će se produktivnost i učinkovitost rada te istovremeno smanjiti potrošnja energije i posljedične emisije stakleničkih plinova. Očekuje se kako će mjera povećati korištenje inovativnih ICT i praćenje stvarnih ušteda energije te smanjenja emisija stakleničkih plinova.</w:t>
            </w:r>
          </w:p>
        </w:tc>
      </w:tr>
      <w:tr w:rsidR="00B37DF8" w:rsidRPr="006414E6" w14:paraId="4E813B3A" w14:textId="77777777" w:rsidTr="00177077">
        <w:trPr>
          <w:trHeight w:val="340"/>
        </w:trPr>
        <w:tc>
          <w:tcPr>
            <w:tcW w:w="1129" w:type="dxa"/>
            <w:vAlign w:val="center"/>
          </w:tcPr>
          <w:p w14:paraId="51C81C34"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MCC-4</w:t>
            </w:r>
          </w:p>
        </w:tc>
        <w:tc>
          <w:tcPr>
            <w:tcW w:w="2832" w:type="dxa"/>
            <w:vAlign w:val="center"/>
          </w:tcPr>
          <w:p w14:paraId="04EECAE4"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Europski sustav trgovanja emisijskim jedinicama</w:t>
            </w:r>
          </w:p>
        </w:tc>
        <w:tc>
          <w:tcPr>
            <w:tcW w:w="9217" w:type="dxa"/>
            <w:vAlign w:val="center"/>
          </w:tcPr>
          <w:p w14:paraId="57EA31B1"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Kroz ravnomjernu raspodjelu emisijskih jedinica obveze za smanjenjem podijeljene su sudionicima sustava iz svih država članica s ciljem doprinosa smanjenju emisija na razini EU za najmanje 43% do 2030. godine u odnosu na razinu iz 2005. godine.</w:t>
            </w:r>
          </w:p>
        </w:tc>
      </w:tr>
      <w:tr w:rsidR="00B37DF8" w:rsidRPr="006414E6" w14:paraId="2591CE76" w14:textId="77777777" w:rsidTr="00177077">
        <w:trPr>
          <w:trHeight w:val="340"/>
        </w:trPr>
        <w:tc>
          <w:tcPr>
            <w:tcW w:w="1129" w:type="dxa"/>
            <w:vAlign w:val="center"/>
          </w:tcPr>
          <w:p w14:paraId="4EC9F770"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MCC-5</w:t>
            </w:r>
          </w:p>
        </w:tc>
        <w:tc>
          <w:tcPr>
            <w:tcW w:w="2832" w:type="dxa"/>
            <w:vAlign w:val="center"/>
          </w:tcPr>
          <w:p w14:paraId="35265596"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Porez na emisiju CO</w:t>
            </w:r>
            <w:r w:rsidRPr="006414E6">
              <w:rPr>
                <w:rFonts w:cs="Times New Roman"/>
                <w:sz w:val="20"/>
                <w:vertAlign w:val="subscript"/>
              </w:rPr>
              <w:t>2</w:t>
            </w:r>
            <w:r w:rsidRPr="006414E6">
              <w:rPr>
                <w:rFonts w:cs="Times New Roman"/>
                <w:sz w:val="20"/>
              </w:rPr>
              <w:t xml:space="preserve"> za stacionarne izvore koji nisu u EU ETS-u</w:t>
            </w:r>
          </w:p>
        </w:tc>
        <w:tc>
          <w:tcPr>
            <w:tcW w:w="9217" w:type="dxa"/>
            <w:vAlign w:val="center"/>
          </w:tcPr>
          <w:p w14:paraId="1AAE236D"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Uredba o jediničnim naknadama, korektivnim koeficijentima i pobližim kriterijima i mjerilima za utvrđivanje naknade na emisiju u okoliš ugljikovog dioksida (</w:t>
            </w:r>
            <w:r w:rsidRPr="006414E6">
              <w:rPr>
                <w:rFonts w:cs="Times New Roman"/>
                <w:sz w:val="20"/>
              </w:rPr>
              <w:t xml:space="preserve">Narodne novine, br. </w:t>
            </w:r>
            <w:r w:rsidRPr="006414E6">
              <w:rPr>
                <w:rFonts w:eastAsia="Times New Roman" w:cs="Times New Roman"/>
                <w:sz w:val="20"/>
                <w:lang w:eastAsia="hr-HR"/>
              </w:rPr>
              <w:t xml:space="preserve"> 73/07, 48/09, 2/18) propisuje obvezu plaćanja naknade na emisiju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za sve stacionarne izvore koji emitiraju više od 450 tona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godišnje. Obveznicima plaćanja naknada koji ulažu u energetsku učinkovitost, OIE i druge mjere za smanjenje emisije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i ostalih emisija stakleničkih plinova naplaćuje se niža naknada. Fond za zaštitu okoliša i energetsku učinkovitost ovlašten je za obračun i naplatu troškova. Od 2013. nadalje, obveza plaćanja naknade na emisiju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odnosi se samo na izvore koji nisu obuhvaćeni ETS-om.</w:t>
            </w:r>
          </w:p>
        </w:tc>
      </w:tr>
      <w:tr w:rsidR="00B37DF8" w:rsidRPr="006414E6" w14:paraId="3D1B4A0F" w14:textId="77777777" w:rsidTr="00177077">
        <w:trPr>
          <w:trHeight w:val="340"/>
        </w:trPr>
        <w:tc>
          <w:tcPr>
            <w:tcW w:w="1129" w:type="dxa"/>
            <w:vAlign w:val="center"/>
          </w:tcPr>
          <w:p w14:paraId="65AA51BE"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lastRenderedPageBreak/>
              <w:t>MCC-6</w:t>
            </w:r>
          </w:p>
        </w:tc>
        <w:tc>
          <w:tcPr>
            <w:tcW w:w="2832" w:type="dxa"/>
            <w:vAlign w:val="center"/>
          </w:tcPr>
          <w:p w14:paraId="520ECDCC"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Sporazum gradonačelnika za klimu i energiju u Republici Hrvatskoj</w:t>
            </w:r>
          </w:p>
        </w:tc>
        <w:tc>
          <w:tcPr>
            <w:tcW w:w="9217" w:type="dxa"/>
            <w:vAlign w:val="center"/>
          </w:tcPr>
          <w:p w14:paraId="1CF9FAE8"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Potpisnici Sporazuma podržavaju zajedničku viziju za 2050. godinu: ubrzavanje </w:t>
            </w:r>
            <w:proofErr w:type="spellStart"/>
            <w:r w:rsidRPr="006414E6">
              <w:rPr>
                <w:rFonts w:eastAsia="Times New Roman" w:cs="Times New Roman"/>
                <w:sz w:val="20"/>
                <w:lang w:eastAsia="hr-HR"/>
              </w:rPr>
              <w:t>dekarbonizacije</w:t>
            </w:r>
            <w:proofErr w:type="spellEnd"/>
            <w:r w:rsidRPr="006414E6">
              <w:rPr>
                <w:rFonts w:eastAsia="Times New Roman" w:cs="Times New Roman"/>
                <w:sz w:val="20"/>
                <w:lang w:eastAsia="hr-HR"/>
              </w:rPr>
              <w:t xml:space="preserve"> njihovih teritorija, osnaživanje kapaciteta za prilagodbu na neizbježan utjecaj klimatskih promjena te omogućavanje građanima pristup sigurnoj, održivoj i povoljnoj energiji. Sporazumom je obuhvaćeno 82 gradova i općina, odnosno preko 2 milijuna stanovnika u Republici Hrvatskoj.</w:t>
            </w:r>
          </w:p>
        </w:tc>
      </w:tr>
      <w:tr w:rsidR="00B37DF8" w:rsidRPr="006414E6" w14:paraId="620BF18E" w14:textId="77777777" w:rsidTr="00177077">
        <w:trPr>
          <w:trHeight w:val="340"/>
        </w:trPr>
        <w:tc>
          <w:tcPr>
            <w:tcW w:w="1129" w:type="dxa"/>
            <w:vAlign w:val="center"/>
          </w:tcPr>
          <w:p w14:paraId="5AF4E8A1" w14:textId="77777777" w:rsidR="00B37DF8" w:rsidRPr="006414E6" w:rsidRDefault="00B37DF8" w:rsidP="00B37DF8">
            <w:pPr>
              <w:spacing w:line="240" w:lineRule="auto"/>
              <w:jc w:val="left"/>
              <w:rPr>
                <w:rFonts w:cs="Times New Roman"/>
                <w:sz w:val="20"/>
              </w:rPr>
            </w:pPr>
            <w:r w:rsidRPr="006414E6">
              <w:rPr>
                <w:rFonts w:cs="Times New Roman"/>
                <w:sz w:val="20"/>
              </w:rPr>
              <w:t>MCC-7</w:t>
            </w:r>
          </w:p>
        </w:tc>
        <w:tc>
          <w:tcPr>
            <w:tcW w:w="2832" w:type="dxa"/>
            <w:vAlign w:val="center"/>
          </w:tcPr>
          <w:p w14:paraId="008D57C3"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Povelja o suradnji u cilju </w:t>
            </w:r>
            <w:proofErr w:type="spellStart"/>
            <w:r w:rsidRPr="006414E6">
              <w:rPr>
                <w:rFonts w:eastAsia="Times New Roman" w:cs="Times New Roman"/>
                <w:sz w:val="20"/>
                <w:lang w:eastAsia="hr-HR"/>
              </w:rPr>
              <w:t>dekarbonizacije</w:t>
            </w:r>
            <w:proofErr w:type="spellEnd"/>
            <w:r w:rsidRPr="006414E6">
              <w:rPr>
                <w:rFonts w:eastAsia="Times New Roman" w:cs="Times New Roman"/>
                <w:sz w:val="20"/>
                <w:lang w:eastAsia="hr-HR"/>
              </w:rPr>
              <w:t xml:space="preserve"> zgrada do 2050.</w:t>
            </w:r>
          </w:p>
        </w:tc>
        <w:tc>
          <w:tcPr>
            <w:tcW w:w="9217" w:type="dxa"/>
            <w:vAlign w:val="center"/>
          </w:tcPr>
          <w:p w14:paraId="496C7D33"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Povelja o suradnji u cilju </w:t>
            </w:r>
            <w:proofErr w:type="spellStart"/>
            <w:r w:rsidRPr="006414E6">
              <w:rPr>
                <w:rFonts w:eastAsia="Times New Roman" w:cs="Times New Roman"/>
                <w:sz w:val="20"/>
                <w:lang w:eastAsia="hr-HR"/>
              </w:rPr>
              <w:t>dekarbonizacije</w:t>
            </w:r>
            <w:proofErr w:type="spellEnd"/>
            <w:r w:rsidRPr="006414E6">
              <w:rPr>
                <w:rFonts w:eastAsia="Times New Roman" w:cs="Times New Roman"/>
                <w:sz w:val="20"/>
                <w:lang w:eastAsia="hr-HR"/>
              </w:rPr>
              <w:t xml:space="preserve"> zgrada do 2050., koju je pokrenulo Ministarstvo graditeljstva i prostornoga uređenja, a kojom se podržava EU viziju </w:t>
            </w:r>
            <w:proofErr w:type="spellStart"/>
            <w:r w:rsidRPr="006414E6">
              <w:rPr>
                <w:rFonts w:eastAsia="Times New Roman" w:cs="Times New Roman"/>
                <w:sz w:val="20"/>
                <w:lang w:eastAsia="hr-HR"/>
              </w:rPr>
              <w:t>dekarbonizacije</w:t>
            </w:r>
            <w:proofErr w:type="spellEnd"/>
            <w:r w:rsidRPr="006414E6">
              <w:rPr>
                <w:rFonts w:eastAsia="Times New Roman" w:cs="Times New Roman"/>
                <w:sz w:val="20"/>
                <w:lang w:eastAsia="hr-HR"/>
              </w:rPr>
              <w:t xml:space="preserve"> zgrada do 2050. godine – Povelja je  pokrenuta zbog bolje međuresorne komunikacije i suradnje između tijela državne uprave i realnog sektora. Cilj je putem radionica i otvorenog dijaloga partnera stvoriti široku mrežu povezanih stručnjaka koji su spremni na zajednički dijalog i doprinos </w:t>
            </w:r>
            <w:proofErr w:type="spellStart"/>
            <w:r w:rsidRPr="006414E6">
              <w:rPr>
                <w:rFonts w:eastAsia="Times New Roman" w:cs="Times New Roman"/>
                <w:sz w:val="20"/>
                <w:lang w:eastAsia="hr-HR"/>
              </w:rPr>
              <w:t>dekarbonizaciji</w:t>
            </w:r>
            <w:proofErr w:type="spellEnd"/>
            <w:r w:rsidRPr="006414E6">
              <w:rPr>
                <w:rFonts w:eastAsia="Times New Roman" w:cs="Times New Roman"/>
                <w:sz w:val="20"/>
                <w:lang w:eastAsia="hr-HR"/>
              </w:rPr>
              <w:t xml:space="preserve"> fonda zgrada do 2050. godine. Otvoreni  dijalozi partnera okupljaju predstavnike državne i lokalne uprave, akademske zajednice i stručne javnosti, građevinskog i energetskog sektora te pratećih industrija na tematskim radionicama koje organizira Ministarstva graditeljstva i prostornoga uređenja. Sadržaj povelje odnosi se na postizanje energetskih i klimatskih ciljeva na nacionalnoj i EU razini kroz </w:t>
            </w:r>
            <w:proofErr w:type="spellStart"/>
            <w:r w:rsidRPr="006414E6">
              <w:rPr>
                <w:rFonts w:eastAsia="Times New Roman" w:cs="Times New Roman"/>
                <w:sz w:val="20"/>
                <w:lang w:eastAsia="hr-HR"/>
              </w:rPr>
              <w:t>dekarbonizaciju</w:t>
            </w:r>
            <w:proofErr w:type="spellEnd"/>
            <w:r w:rsidRPr="006414E6">
              <w:rPr>
                <w:rFonts w:eastAsia="Times New Roman" w:cs="Times New Roman"/>
                <w:sz w:val="20"/>
                <w:lang w:eastAsia="hr-HR"/>
              </w:rPr>
              <w:t xml:space="preserve"> fonda zgrada, obnovom zgrada i građenjem zgrada gotovo nulte energije, svjesni važnosti dodatnog smanjenja emisija stakleničkih plinova, povećanja udjela obnovljivih izvora energije, poboljšanja energetske sigurnosti, te uvođenja inovacija i pametnih tehnologija koje omogućuju zgradama da potpomognu sveukupnu </w:t>
            </w:r>
            <w:proofErr w:type="spellStart"/>
            <w:r w:rsidRPr="006414E6">
              <w:rPr>
                <w:rFonts w:eastAsia="Times New Roman" w:cs="Times New Roman"/>
                <w:sz w:val="20"/>
                <w:lang w:eastAsia="hr-HR"/>
              </w:rPr>
              <w:t>dekarbonizaciju</w:t>
            </w:r>
            <w:proofErr w:type="spellEnd"/>
            <w:r w:rsidRPr="006414E6">
              <w:rPr>
                <w:rFonts w:eastAsia="Times New Roman" w:cs="Times New Roman"/>
                <w:sz w:val="20"/>
                <w:lang w:eastAsia="hr-HR"/>
              </w:rPr>
              <w:t xml:space="preserve"> gospodarstva, Potpisivanjem povelje potiče se kontinuirana suradnja na izradi Dugoročne strategije obnove nacionalnog fonda zgrada i prelazak na standard gradnje zgrada gotovo nulte energije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Potpisnici Povelje pružaju potporu te promiču </w:t>
            </w:r>
            <w:proofErr w:type="spellStart"/>
            <w:r w:rsidRPr="006414E6">
              <w:rPr>
                <w:rFonts w:eastAsia="Times New Roman" w:cs="Times New Roman"/>
                <w:sz w:val="20"/>
                <w:lang w:eastAsia="hr-HR"/>
              </w:rPr>
              <w:t>dekarbonizaciju</w:t>
            </w:r>
            <w:proofErr w:type="spellEnd"/>
            <w:r w:rsidRPr="006414E6">
              <w:rPr>
                <w:rFonts w:eastAsia="Times New Roman" w:cs="Times New Roman"/>
                <w:sz w:val="20"/>
                <w:lang w:eastAsia="hr-HR"/>
              </w:rPr>
              <w:t xml:space="preserve"> zgrada u svojim daljnjim aktivnostima, gdje god je to moguće.</w:t>
            </w:r>
          </w:p>
        </w:tc>
      </w:tr>
      <w:tr w:rsidR="00B37DF8" w:rsidRPr="006414E6" w14:paraId="4B4C8E07" w14:textId="77777777" w:rsidTr="00177077">
        <w:trPr>
          <w:trHeight w:val="340"/>
        </w:trPr>
        <w:tc>
          <w:tcPr>
            <w:tcW w:w="1129" w:type="dxa"/>
            <w:vAlign w:val="center"/>
          </w:tcPr>
          <w:p w14:paraId="7F3ECCB1"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MCC-8</w:t>
            </w:r>
          </w:p>
        </w:tc>
        <w:tc>
          <w:tcPr>
            <w:tcW w:w="2832" w:type="dxa"/>
            <w:vAlign w:val="center"/>
          </w:tcPr>
          <w:p w14:paraId="273FA906"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Uspostava platforme za prikupljanje, uporabu i skladištenje CO</w:t>
            </w:r>
            <w:r w:rsidRPr="006414E6">
              <w:rPr>
                <w:rFonts w:cs="Times New Roman"/>
                <w:sz w:val="20"/>
                <w:vertAlign w:val="subscript"/>
              </w:rPr>
              <w:t>2</w:t>
            </w:r>
            <w:r w:rsidRPr="006414E6">
              <w:rPr>
                <w:rFonts w:cs="Times New Roman"/>
                <w:sz w:val="20"/>
              </w:rPr>
              <w:t xml:space="preserve"> </w:t>
            </w:r>
          </w:p>
        </w:tc>
        <w:tc>
          <w:tcPr>
            <w:tcW w:w="9217" w:type="dxa"/>
            <w:vAlign w:val="center"/>
          </w:tcPr>
          <w:p w14:paraId="5044156F"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Tehnologija sakupljanja i pohrane ugljika za velike izvore emisije još nije komercijalno dostupna. Prema Direktivi 2009/31/EC o geološkoj pohrani ugljikovog dioksida, odnosno članku 36. Direktive 2010/75/EU o industrijskim emisijama, za elektrane kapaciteta većih od 300 MW koje su dobile građevinsku dozvolu nakon stupanja na snagu Direktive 2009/31/EK o geološkoj pohrani ugljikovog dioksida, potrebno je ocijeniti jesu li zadovoljeni sljedeći uvjeti: a) dostupnost prikladne lokacije za pohranu, b) tehnička i ekonomska izvedivost transportnih postrojenja i c) tehnička i ekonomska izvedivost nadogradnje postrojenja za izdvajanje i sakupljanje CO</w:t>
            </w:r>
            <w:r w:rsidRPr="006414E6">
              <w:rPr>
                <w:rFonts w:eastAsia="Times New Roman" w:cs="Times New Roman"/>
                <w:sz w:val="20"/>
                <w:vertAlign w:val="subscript"/>
                <w:lang w:eastAsia="hr-HR"/>
              </w:rPr>
              <w:t>2</w:t>
            </w:r>
            <w:r w:rsidRPr="006414E6">
              <w:rPr>
                <w:rFonts w:eastAsia="Times New Roman" w:cs="Times New Roman"/>
                <w:sz w:val="20"/>
                <w:lang w:eastAsia="hr-HR"/>
              </w:rPr>
              <w:t>. Ako su ovi uvjeti zadovoljeni, nadležno tijelo mora osigurati na mjestu postrojenja odgovarajući prostor za opremu za hvatanje i komprimiranje izvučenog CO</w:t>
            </w:r>
            <w:r w:rsidRPr="006414E6">
              <w:rPr>
                <w:rFonts w:eastAsia="Times New Roman" w:cs="Times New Roman"/>
                <w:sz w:val="20"/>
                <w:vertAlign w:val="subscript"/>
                <w:lang w:eastAsia="hr-HR"/>
              </w:rPr>
              <w:t>2</w:t>
            </w:r>
            <w:r w:rsidRPr="006414E6">
              <w:rPr>
                <w:rFonts w:eastAsia="Times New Roman" w:cs="Times New Roman"/>
                <w:sz w:val="20"/>
                <w:lang w:eastAsia="hr-HR"/>
              </w:rPr>
              <w:t>. Zakonodavno je to obuhvaćeno Zakonom o istraživanju i eksploataciji ugljikovodika (Narodne novine, br.  52/18, 52/19) koji omogućuje skladištenje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na prostoru Republike Hrvatske. Ova metoda se treba još dodatno razviti te se trebaju razmotriti potencijali i mogućnosti za ovu tehnologiju na razini države. U skladu s navedenim planira se izrada studije procjene skladišnih kapaciteta, ali i izrada Nacionalne studije izvodljivosti s akcijskim planom za pripremne aktivnosti za CCS projekte. Ova će studija obuhvatiti faze hvatanja na izvorima emisija, transport, utiskivanje i skladištenje CO</w:t>
            </w:r>
            <w:r w:rsidRPr="006414E6">
              <w:rPr>
                <w:rFonts w:eastAsia="Times New Roman" w:cs="Times New Roman"/>
                <w:sz w:val="20"/>
                <w:vertAlign w:val="subscript"/>
                <w:lang w:eastAsia="hr-HR"/>
              </w:rPr>
              <w:t>2</w:t>
            </w:r>
            <w:r w:rsidRPr="006414E6">
              <w:rPr>
                <w:rFonts w:eastAsia="Times New Roman" w:cs="Times New Roman"/>
                <w:sz w:val="20"/>
                <w:lang w:eastAsia="hr-HR"/>
              </w:rPr>
              <w:t>, te povezanost sustava transporta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sa drugim EU zemljama. Aktivnosti obuhvaćaju:</w:t>
            </w:r>
          </w:p>
          <w:p w14:paraId="5EF71D63" w14:textId="77777777" w:rsidR="00B37DF8" w:rsidRPr="006414E6" w:rsidRDefault="00B37DF8" w:rsidP="003A2F37">
            <w:pPr>
              <w:numPr>
                <w:ilvl w:val="0"/>
                <w:numId w:val="47"/>
              </w:numPr>
              <w:spacing w:line="240" w:lineRule="auto"/>
              <w:ind w:left="714" w:hanging="357"/>
              <w:rPr>
                <w:rFonts w:eastAsia="Times New Roman" w:cs="Times New Roman"/>
                <w:sz w:val="20"/>
                <w:lang w:eastAsia="hr-HR"/>
              </w:rPr>
            </w:pPr>
            <w:r w:rsidRPr="006414E6">
              <w:rPr>
                <w:rFonts w:eastAsia="Times New Roman" w:cs="Times New Roman"/>
                <w:sz w:val="20"/>
                <w:lang w:eastAsia="hr-HR"/>
              </w:rPr>
              <w:lastRenderedPageBreak/>
              <w:t>provedbu istraživanja potencijala za geološko skladištenje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u Republici Hrvatskoj,</w:t>
            </w:r>
          </w:p>
          <w:p w14:paraId="492F458B" w14:textId="77777777" w:rsidR="00B37DF8" w:rsidRPr="006414E6" w:rsidRDefault="00B37DF8" w:rsidP="003A2F37">
            <w:pPr>
              <w:numPr>
                <w:ilvl w:val="0"/>
                <w:numId w:val="47"/>
              </w:numPr>
              <w:spacing w:line="240" w:lineRule="auto"/>
              <w:ind w:left="714" w:hanging="357"/>
              <w:rPr>
                <w:rFonts w:eastAsia="Times New Roman" w:cs="Times New Roman"/>
                <w:sz w:val="20"/>
                <w:lang w:eastAsia="hr-HR"/>
              </w:rPr>
            </w:pPr>
            <w:r w:rsidRPr="006414E6">
              <w:rPr>
                <w:rFonts w:eastAsia="Times New Roman" w:cs="Times New Roman"/>
                <w:sz w:val="20"/>
                <w:lang w:eastAsia="hr-HR"/>
              </w:rPr>
              <w:t>izradu/dopune studije procjene skladišnih kapaciteta koji su dostupni na području Republike Hrvatske,</w:t>
            </w:r>
          </w:p>
          <w:p w14:paraId="358BB286" w14:textId="77777777" w:rsidR="00B37DF8" w:rsidRPr="006414E6" w:rsidRDefault="00B37DF8" w:rsidP="003A2F37">
            <w:pPr>
              <w:numPr>
                <w:ilvl w:val="0"/>
                <w:numId w:val="47"/>
              </w:numPr>
              <w:spacing w:line="240" w:lineRule="auto"/>
              <w:ind w:left="714" w:hanging="357"/>
              <w:rPr>
                <w:rFonts w:eastAsia="Times New Roman" w:cs="Times New Roman"/>
                <w:sz w:val="20"/>
                <w:lang w:eastAsia="hr-HR"/>
              </w:rPr>
            </w:pPr>
            <w:r w:rsidRPr="006414E6">
              <w:rPr>
                <w:rFonts w:eastAsia="Times New Roman" w:cs="Times New Roman"/>
                <w:sz w:val="20"/>
                <w:lang w:eastAsia="hr-HR"/>
              </w:rPr>
              <w:t>provedbu projekata geološkog skladištenja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u Republici Hrvatskoj u skladu sa izraženim potencijalima.</w:t>
            </w:r>
          </w:p>
        </w:tc>
      </w:tr>
      <w:tr w:rsidR="00B37DF8" w:rsidRPr="006414E6" w14:paraId="16648EA0" w14:textId="77777777" w:rsidTr="00177077">
        <w:trPr>
          <w:trHeight w:val="340"/>
        </w:trPr>
        <w:tc>
          <w:tcPr>
            <w:tcW w:w="1129" w:type="dxa"/>
            <w:vAlign w:val="center"/>
          </w:tcPr>
          <w:p w14:paraId="52F18A18"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lastRenderedPageBreak/>
              <w:t>MCC-9</w:t>
            </w:r>
          </w:p>
        </w:tc>
        <w:tc>
          <w:tcPr>
            <w:tcW w:w="2832" w:type="dxa"/>
            <w:vAlign w:val="center"/>
          </w:tcPr>
          <w:p w14:paraId="174B959C"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Unaprjeđenje održivosti urbanih sredina</w:t>
            </w:r>
          </w:p>
        </w:tc>
        <w:tc>
          <w:tcPr>
            <w:tcW w:w="9217" w:type="dxa"/>
            <w:vAlign w:val="center"/>
          </w:tcPr>
          <w:p w14:paraId="49B741CF"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MGIPU je u procesu izrade novih nacionalnih Programa razvoja zelene infrastrukture u urbanim područjima i Programa razvoja kružnog gospodarenja prostorom i zgradama, kojima se postižu ekološke, gospodarske i društvene koristi održivog razvoja. Programom razvoja zelene infrastrukture u urbanim područjima razrađuju se ciljevi i mjere za razvoj zelene infrastrukture kojima se između ostaloga utječe na povećanje energetske učinkovitosti zgrada, smanjenje emisije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te smanjenje temperature u područjima toplinskih otoka u urbanim područjima. Programom razvoja kružnog gospodarenja prostorom i zgradama razrađuju se ciljevi i mjere za kružno gospodarenje prostorom i zgradama kojima se između ostaloga potiču mjere kružnosti kod planiranja novih zgrada, ponovno korištenje napuštenih i/ili zapuštenih i produljenje trajnosti postojećih prostora i zgrada, smanjenje količine građevinskog otpada te povećanje energetske učinkovitosti zgrada. Cilj ove mjere je potaknuti gradove i općine da projekte revitalizacije i razvoja novih urbanih sredina temelje na principima održivosti.</w:t>
            </w:r>
          </w:p>
        </w:tc>
      </w:tr>
      <w:tr w:rsidR="00B37DF8" w:rsidRPr="006414E6" w14:paraId="08A4F529" w14:textId="77777777" w:rsidTr="00177077">
        <w:trPr>
          <w:trHeight w:val="340"/>
        </w:trPr>
        <w:tc>
          <w:tcPr>
            <w:tcW w:w="1129" w:type="dxa"/>
            <w:vAlign w:val="center"/>
          </w:tcPr>
          <w:p w14:paraId="2AC03D3C"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MCC-10</w:t>
            </w:r>
          </w:p>
        </w:tc>
        <w:tc>
          <w:tcPr>
            <w:tcW w:w="2832" w:type="dxa"/>
            <w:vAlign w:val="center"/>
          </w:tcPr>
          <w:p w14:paraId="2BF9E79D"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Uspostava Programa za izračun i smanjenje ugljikova otiska poslovnih subjekata</w:t>
            </w:r>
          </w:p>
        </w:tc>
        <w:tc>
          <w:tcPr>
            <w:tcW w:w="9217" w:type="dxa"/>
            <w:vAlign w:val="center"/>
          </w:tcPr>
          <w:p w14:paraId="2D372A15"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U okviru mjere provest će se sljedeće aktivnosti: </w:t>
            </w:r>
          </w:p>
          <w:p w14:paraId="38563C60" w14:textId="77777777" w:rsidR="00B37DF8" w:rsidRPr="006414E6" w:rsidRDefault="00B37DF8" w:rsidP="003A2F37">
            <w:pPr>
              <w:numPr>
                <w:ilvl w:val="0"/>
                <w:numId w:val="46"/>
              </w:numPr>
              <w:spacing w:line="240" w:lineRule="auto"/>
              <w:rPr>
                <w:rFonts w:eastAsia="Times New Roman" w:cs="Times New Roman"/>
                <w:sz w:val="20"/>
                <w:lang w:eastAsia="hr-HR"/>
              </w:rPr>
            </w:pPr>
            <w:r w:rsidRPr="006414E6">
              <w:rPr>
                <w:rFonts w:eastAsia="Times New Roman" w:cs="Times New Roman"/>
                <w:sz w:val="20"/>
                <w:lang w:eastAsia="hr-HR"/>
              </w:rPr>
              <w:t>unaprjeđenje nacionalnog modela za izračun ugljikova otiska poslovnih subjekata s integriranom bazom nacionalnih faktora emisije stakleničkih plinova,</w:t>
            </w:r>
          </w:p>
          <w:p w14:paraId="5F56F30F" w14:textId="77777777" w:rsidR="00B37DF8" w:rsidRPr="006414E6" w:rsidRDefault="00B37DF8" w:rsidP="003A2F37">
            <w:pPr>
              <w:numPr>
                <w:ilvl w:val="0"/>
                <w:numId w:val="46"/>
              </w:numPr>
              <w:spacing w:line="240" w:lineRule="auto"/>
              <w:rPr>
                <w:rFonts w:eastAsia="Times New Roman" w:cs="Times New Roman"/>
                <w:sz w:val="20"/>
                <w:lang w:eastAsia="hr-HR"/>
              </w:rPr>
            </w:pPr>
            <w:r w:rsidRPr="006414E6">
              <w:rPr>
                <w:rFonts w:eastAsia="Times New Roman" w:cs="Times New Roman"/>
                <w:sz w:val="20"/>
                <w:lang w:eastAsia="hr-HR"/>
              </w:rPr>
              <w:t>uspostava i provedba dobrovoljnog programa za izračun i smanjenje ugljikova otiska poslovnih subjekata od 2021. godine,</w:t>
            </w:r>
          </w:p>
          <w:p w14:paraId="25B76B88" w14:textId="77777777" w:rsidR="00B37DF8" w:rsidRPr="006414E6" w:rsidRDefault="00B37DF8" w:rsidP="003A2F37">
            <w:pPr>
              <w:numPr>
                <w:ilvl w:val="0"/>
                <w:numId w:val="46"/>
              </w:numPr>
              <w:spacing w:line="240" w:lineRule="auto"/>
              <w:rPr>
                <w:rFonts w:eastAsia="Times New Roman" w:cs="Times New Roman"/>
                <w:sz w:val="20"/>
                <w:lang w:eastAsia="hr-HR"/>
              </w:rPr>
            </w:pPr>
            <w:r w:rsidRPr="006414E6">
              <w:rPr>
                <w:rFonts w:eastAsia="Times New Roman" w:cs="Times New Roman"/>
                <w:sz w:val="20"/>
                <w:lang w:eastAsia="hr-HR"/>
              </w:rPr>
              <w:t>praćenje i analiza postignutog smanjenja ugljikova otiska poslovnih subjekata, razmotrit će se donošenje podzakonskog akta koji će uspostaviti obvezu izračuna ugljikova otiska i izradu akcijskog plana za smanjenje ugljikova otiska poslovnih subjekata.</w:t>
            </w:r>
          </w:p>
        </w:tc>
      </w:tr>
      <w:tr w:rsidR="00B37DF8" w:rsidRPr="006414E6" w14:paraId="1B0DA57B" w14:textId="77777777" w:rsidTr="00177077">
        <w:trPr>
          <w:trHeight w:val="340"/>
        </w:trPr>
        <w:tc>
          <w:tcPr>
            <w:tcW w:w="1129" w:type="dxa"/>
            <w:vAlign w:val="center"/>
          </w:tcPr>
          <w:p w14:paraId="3B5DD493"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MCC-11</w:t>
            </w:r>
          </w:p>
        </w:tc>
        <w:tc>
          <w:tcPr>
            <w:tcW w:w="2832" w:type="dxa"/>
            <w:vAlign w:val="center"/>
          </w:tcPr>
          <w:p w14:paraId="19B0EB77"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Uspostava platforme za kružno gospodarstvo</w:t>
            </w:r>
          </w:p>
        </w:tc>
        <w:tc>
          <w:tcPr>
            <w:tcW w:w="9217" w:type="dxa"/>
            <w:vAlign w:val="center"/>
          </w:tcPr>
          <w:p w14:paraId="3345E276" w14:textId="1B46736D"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Potrebno je razraditi sustavni pristup u svim vrijednosnim lancima koje se odnose na hrvatsko gospodarstvo, a odnose se na mjere navedene u Akcijskom planu za kružno gospodarstvo na čijem temelju EK integrira načela kružnog gospodarstva u proizvodnji i potrošnji plastike, gospodarenje vodama, prehrambene sustave i gospodarenje posebnim tokovima otpada. Potrebno je osnovati međusektorsku tematsku radnu skupinu koja će odrediti dionike kružnog gospodarstva (fokus na industriju i dobavljače sirovina, energenata i ambalaže) i prema njima napraviti nacionalni akcijski plan za tranziciju na kružno gospodarstvo kroz prilagodbu </w:t>
            </w:r>
            <w:r w:rsidRPr="006414E6">
              <w:rPr>
                <w:rFonts w:eastAsia="Times New Roman" w:cs="Times New Roman"/>
                <w:sz w:val="20"/>
                <w:lang w:eastAsia="hr-HR"/>
              </w:rPr>
              <w:lastRenderedPageBreak/>
              <w:t xml:space="preserve">zakonodavnog okvira. Uključivanje predstavnika </w:t>
            </w:r>
            <w:r w:rsidR="00C05A82" w:rsidRPr="006414E6">
              <w:rPr>
                <w:rFonts w:eastAsia="Times New Roman" w:cs="Times New Roman"/>
                <w:sz w:val="20"/>
                <w:lang w:eastAsia="hr-HR"/>
              </w:rPr>
              <w:t>Republike Hrvatske</w:t>
            </w:r>
            <w:r w:rsidR="00C05A82" w:rsidRPr="006414E6" w:rsidDel="00C05A82">
              <w:rPr>
                <w:rFonts w:eastAsia="Times New Roman" w:cs="Times New Roman"/>
                <w:sz w:val="20"/>
                <w:lang w:eastAsia="hr-HR"/>
              </w:rPr>
              <w:t xml:space="preserve"> </w:t>
            </w:r>
            <w:r w:rsidRPr="006414E6">
              <w:rPr>
                <w:rFonts w:eastAsia="Times New Roman" w:cs="Times New Roman"/>
                <w:sz w:val="20"/>
                <w:lang w:eastAsia="hr-HR"/>
              </w:rPr>
              <w:t xml:space="preserve">u Platformu dionika za Europsko kružno gospodarstvo omogućuje izravan pristup inovacijama i najboljim praksama kao i suradnju u istima. </w:t>
            </w:r>
          </w:p>
        </w:tc>
      </w:tr>
      <w:tr w:rsidR="00B37DF8" w:rsidRPr="006414E6" w14:paraId="5151D7DD" w14:textId="77777777" w:rsidTr="00177077">
        <w:trPr>
          <w:trHeight w:val="340"/>
        </w:trPr>
        <w:tc>
          <w:tcPr>
            <w:tcW w:w="1129" w:type="dxa"/>
            <w:vAlign w:val="center"/>
          </w:tcPr>
          <w:p w14:paraId="759226A3"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lastRenderedPageBreak/>
              <w:t>MCC-12</w:t>
            </w:r>
          </w:p>
        </w:tc>
        <w:tc>
          <w:tcPr>
            <w:tcW w:w="2832" w:type="dxa"/>
            <w:vAlign w:val="center"/>
          </w:tcPr>
          <w:p w14:paraId="02E13BF2"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 xml:space="preserve">Uspostava platforme za </w:t>
            </w:r>
            <w:proofErr w:type="spellStart"/>
            <w:r w:rsidRPr="006414E6">
              <w:rPr>
                <w:rFonts w:cs="Times New Roman"/>
                <w:sz w:val="20"/>
              </w:rPr>
              <w:t>biogospodarstvo</w:t>
            </w:r>
            <w:proofErr w:type="spellEnd"/>
          </w:p>
        </w:tc>
        <w:tc>
          <w:tcPr>
            <w:tcW w:w="9217" w:type="dxa"/>
            <w:vAlign w:val="center"/>
          </w:tcPr>
          <w:p w14:paraId="15C568CA"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U kontekstu razvoja </w:t>
            </w:r>
            <w:proofErr w:type="spellStart"/>
            <w:r w:rsidRPr="006414E6">
              <w:rPr>
                <w:rFonts w:eastAsia="Times New Roman" w:cs="Times New Roman"/>
                <w:sz w:val="20"/>
                <w:lang w:eastAsia="hr-HR"/>
              </w:rPr>
              <w:t>biogospodarstva</w:t>
            </w:r>
            <w:proofErr w:type="spellEnd"/>
            <w:r w:rsidRPr="006414E6">
              <w:rPr>
                <w:rFonts w:eastAsia="Times New Roman" w:cs="Times New Roman"/>
                <w:sz w:val="20"/>
                <w:lang w:eastAsia="hr-HR"/>
              </w:rPr>
              <w:t xml:space="preserve">, nužno je povezati tri ključna aspekta: razvoj novih tehnologija i procesa; razvoj tržišta i konkurentnost sektora temeljenih na biomasi te politička volja za suradnju politike i dionika da bi se </w:t>
            </w:r>
            <w:proofErr w:type="spellStart"/>
            <w:r w:rsidRPr="006414E6">
              <w:rPr>
                <w:rFonts w:eastAsia="Times New Roman" w:cs="Times New Roman"/>
                <w:sz w:val="20"/>
                <w:lang w:eastAsia="hr-HR"/>
              </w:rPr>
              <w:t>biogospodarstvo</w:t>
            </w:r>
            <w:proofErr w:type="spellEnd"/>
            <w:r w:rsidRPr="006414E6">
              <w:rPr>
                <w:rFonts w:eastAsia="Times New Roman" w:cs="Times New Roman"/>
                <w:sz w:val="20"/>
                <w:lang w:eastAsia="hr-HR"/>
              </w:rPr>
              <w:t xml:space="preserve"> ostvarilo u hrvatskom kontekstu. Time se treba osigurati transformacija postojećih „tradicionalnih“ dionika </w:t>
            </w:r>
            <w:proofErr w:type="spellStart"/>
            <w:r w:rsidRPr="006414E6">
              <w:rPr>
                <w:rFonts w:eastAsia="Times New Roman" w:cs="Times New Roman"/>
                <w:sz w:val="20"/>
                <w:lang w:eastAsia="hr-HR"/>
              </w:rPr>
              <w:t>biogospodarstva</w:t>
            </w:r>
            <w:proofErr w:type="spellEnd"/>
            <w:r w:rsidRPr="006414E6">
              <w:rPr>
                <w:rFonts w:eastAsia="Times New Roman" w:cs="Times New Roman"/>
                <w:sz w:val="20"/>
                <w:lang w:eastAsia="hr-HR"/>
              </w:rPr>
              <w:t xml:space="preserve"> (poljoprivrednika, OPG-a, prehrambeno-prerađivačke, drvno-prerađivačke, farmaceutske i kemijske industrije…) u nove, moderne dionike čiji proizvodi više nisu temeljeni na neobnovljivom ugljiku (</w:t>
            </w:r>
            <w:proofErr w:type="spellStart"/>
            <w:r w:rsidRPr="006414E6">
              <w:rPr>
                <w:rFonts w:eastAsia="Times New Roman" w:cs="Times New Roman"/>
                <w:sz w:val="20"/>
                <w:lang w:eastAsia="hr-HR"/>
              </w:rPr>
              <w:t>bioplastika</w:t>
            </w:r>
            <w:proofErr w:type="spellEnd"/>
            <w:r w:rsidRPr="006414E6">
              <w:rPr>
                <w:rFonts w:eastAsia="Times New Roman" w:cs="Times New Roman"/>
                <w:sz w:val="20"/>
                <w:lang w:eastAsia="hr-HR"/>
              </w:rPr>
              <w:t xml:space="preserve">, biogoriva, </w:t>
            </w:r>
            <w:proofErr w:type="spellStart"/>
            <w:r w:rsidRPr="006414E6">
              <w:rPr>
                <w:rFonts w:eastAsia="Times New Roman" w:cs="Times New Roman"/>
                <w:sz w:val="20"/>
                <w:lang w:eastAsia="hr-HR"/>
              </w:rPr>
              <w:t>biokemikalije</w:t>
            </w:r>
            <w:proofErr w:type="spellEnd"/>
            <w:r w:rsidRPr="006414E6">
              <w:rPr>
                <w:rFonts w:eastAsia="Times New Roman" w:cs="Times New Roman"/>
                <w:sz w:val="20"/>
                <w:lang w:eastAsia="hr-HR"/>
              </w:rPr>
              <w:t xml:space="preserve">, proizvodi „tradicionalnih“ dionika s manjim ugljičnim otiskom ...) i pripremiti ih za najavljene EU fondove za tranziciju na </w:t>
            </w:r>
            <w:proofErr w:type="spellStart"/>
            <w:r w:rsidRPr="006414E6">
              <w:rPr>
                <w:rFonts w:eastAsia="Times New Roman" w:cs="Times New Roman"/>
                <w:sz w:val="20"/>
                <w:lang w:eastAsia="hr-HR"/>
              </w:rPr>
              <w:t>biogospodarstvo</w:t>
            </w:r>
            <w:proofErr w:type="spellEnd"/>
            <w:r w:rsidRPr="006414E6">
              <w:rPr>
                <w:rFonts w:eastAsia="Times New Roman" w:cs="Times New Roman"/>
                <w:sz w:val="20"/>
                <w:lang w:eastAsia="hr-HR"/>
              </w:rPr>
              <w:t xml:space="preserve">. Za prelazak na </w:t>
            </w:r>
            <w:proofErr w:type="spellStart"/>
            <w:r w:rsidRPr="006414E6">
              <w:rPr>
                <w:rFonts w:eastAsia="Times New Roman" w:cs="Times New Roman"/>
                <w:sz w:val="20"/>
                <w:lang w:eastAsia="hr-HR"/>
              </w:rPr>
              <w:t>biogospodarstvo</w:t>
            </w:r>
            <w:proofErr w:type="spellEnd"/>
            <w:r w:rsidRPr="006414E6">
              <w:rPr>
                <w:rFonts w:eastAsia="Times New Roman" w:cs="Times New Roman"/>
                <w:sz w:val="20"/>
                <w:lang w:eastAsia="hr-HR"/>
              </w:rPr>
              <w:t xml:space="preserve"> je neophodno prilagoditi sektore poljoprivrede, šumarstva i gospodarenja otpadom kako bi se uravnotežila ponuda i potražnja za biomasom, što uključuje i osnivanje sabirno-logističkih centara za biomasu i </w:t>
            </w:r>
            <w:proofErr w:type="spellStart"/>
            <w:r w:rsidRPr="006414E6">
              <w:rPr>
                <w:rFonts w:eastAsia="Times New Roman" w:cs="Times New Roman"/>
                <w:sz w:val="20"/>
                <w:lang w:eastAsia="hr-HR"/>
              </w:rPr>
              <w:t>biorafinerija</w:t>
            </w:r>
            <w:proofErr w:type="spellEnd"/>
            <w:r w:rsidRPr="006414E6">
              <w:rPr>
                <w:rFonts w:eastAsia="Times New Roman" w:cs="Times New Roman"/>
                <w:sz w:val="20"/>
                <w:lang w:eastAsia="hr-HR"/>
              </w:rPr>
              <w:t xml:space="preserve">. </w:t>
            </w:r>
          </w:p>
        </w:tc>
      </w:tr>
      <w:tr w:rsidR="00B37DF8" w:rsidRPr="006414E6" w14:paraId="7991BAFC" w14:textId="77777777" w:rsidTr="00177077">
        <w:trPr>
          <w:trHeight w:val="340"/>
        </w:trPr>
        <w:tc>
          <w:tcPr>
            <w:tcW w:w="1129" w:type="dxa"/>
            <w:vAlign w:val="center"/>
          </w:tcPr>
          <w:p w14:paraId="4BD318E5"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MCC-13</w:t>
            </w:r>
          </w:p>
        </w:tc>
        <w:tc>
          <w:tcPr>
            <w:tcW w:w="2832" w:type="dxa"/>
            <w:vAlign w:val="center"/>
          </w:tcPr>
          <w:p w14:paraId="7C6EDA56"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Uspostava platforme za tehnologiju vodika</w:t>
            </w:r>
          </w:p>
        </w:tc>
        <w:tc>
          <w:tcPr>
            <w:tcW w:w="9217" w:type="dxa"/>
            <w:vAlign w:val="center"/>
          </w:tcPr>
          <w:p w14:paraId="43BB0A94"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Očekuje se kako će uloga vodika u energetskim i prometnim sustavima budućnosti biti značajnija, tim više što će ciljevi u pogledu smanjenja emisija stakleničkih plinova biti ambiciozniji. Zato je potrebno pravovremeno identificirati prilike povezane s korištenjem vodika, razmotriti njegovu primjenu u narednom desetljeću i istražiti mogućnosti financijskog poticanja proizvodnje i potrošnje vodika. U tu svrhu će se formirati platforma za tehnologiju vodika koja će povezati nacionalne dionike relevantne za istraživanje i primjenu tehnologije vodika, pratiti razvoj tehnologija vodika na EU i međunarodnoj razini te služiti kao poveznica između nacionalne, EU i međunarodne razine.</w:t>
            </w:r>
          </w:p>
        </w:tc>
      </w:tr>
      <w:tr w:rsidR="00B37DF8" w:rsidRPr="006414E6" w14:paraId="62AD24A1" w14:textId="77777777" w:rsidTr="00177077">
        <w:trPr>
          <w:trHeight w:val="340"/>
        </w:trPr>
        <w:tc>
          <w:tcPr>
            <w:tcW w:w="1129" w:type="dxa"/>
            <w:vAlign w:val="center"/>
          </w:tcPr>
          <w:p w14:paraId="66BF52FA"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MCC-14</w:t>
            </w:r>
          </w:p>
        </w:tc>
        <w:tc>
          <w:tcPr>
            <w:tcW w:w="2832" w:type="dxa"/>
            <w:vAlign w:val="center"/>
          </w:tcPr>
          <w:p w14:paraId="54DF1D5B"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Sustav obveze energetske učinkovitosti za opskrbljivače</w:t>
            </w:r>
          </w:p>
        </w:tc>
        <w:tc>
          <w:tcPr>
            <w:tcW w:w="9217" w:type="dxa"/>
            <w:vAlign w:val="center"/>
          </w:tcPr>
          <w:p w14:paraId="0E76126A"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Obveznici sustava obveza energetske učinkovitosti su opskrbljivači energijom. Cilj je postići smanjenje potrošnje energije kod krajnjih potrošača.</w:t>
            </w:r>
          </w:p>
        </w:tc>
      </w:tr>
      <w:tr w:rsidR="00B37DF8" w:rsidRPr="006414E6" w14:paraId="0FFDF850" w14:textId="77777777" w:rsidTr="00177077">
        <w:trPr>
          <w:trHeight w:val="340"/>
        </w:trPr>
        <w:tc>
          <w:tcPr>
            <w:tcW w:w="1129" w:type="dxa"/>
            <w:vAlign w:val="center"/>
          </w:tcPr>
          <w:p w14:paraId="27631034" w14:textId="77777777" w:rsidR="00B37DF8" w:rsidRPr="006414E6" w:rsidRDefault="00B37DF8" w:rsidP="00B37DF8">
            <w:pPr>
              <w:spacing w:line="240" w:lineRule="auto"/>
              <w:jc w:val="left"/>
              <w:rPr>
                <w:rFonts w:cs="Times New Roman"/>
                <w:sz w:val="20"/>
              </w:rPr>
            </w:pPr>
            <w:r w:rsidRPr="006414E6">
              <w:rPr>
                <w:rFonts w:cs="Times New Roman"/>
                <w:sz w:val="20"/>
              </w:rPr>
              <w:t>MCC-15</w:t>
            </w:r>
          </w:p>
        </w:tc>
        <w:tc>
          <w:tcPr>
            <w:tcW w:w="2832" w:type="dxa"/>
            <w:vAlign w:val="center"/>
          </w:tcPr>
          <w:p w14:paraId="1E715AF5"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Integrirani informacijski sustav za praćenje energetske učinkovitosti</w:t>
            </w:r>
          </w:p>
        </w:tc>
        <w:tc>
          <w:tcPr>
            <w:tcW w:w="9217" w:type="dxa"/>
            <w:vAlign w:val="center"/>
          </w:tcPr>
          <w:p w14:paraId="7DBB2817"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Sustav za mjerenje i verifikaciju ušteda energije (</w:t>
            </w:r>
            <w:proofErr w:type="spellStart"/>
            <w:r w:rsidRPr="006414E6">
              <w:rPr>
                <w:rFonts w:eastAsia="Times New Roman" w:cs="Times New Roman"/>
                <w:sz w:val="20"/>
                <w:lang w:eastAsia="hr-HR"/>
              </w:rPr>
              <w:t>SMiV</w:t>
            </w:r>
            <w:proofErr w:type="spellEnd"/>
            <w:r w:rsidRPr="006414E6">
              <w:rPr>
                <w:rFonts w:eastAsia="Times New Roman" w:cs="Times New Roman"/>
                <w:sz w:val="20"/>
                <w:lang w:eastAsia="hr-HR"/>
              </w:rPr>
              <w:t xml:space="preserve">) uspostavljen je na temelju Zakona o energetskoj učinkovitosti i Pravilnikom o sustavu za praćenje, mjerenje i verifikaciju ušteda energije. Sustav je izuzetno važan jer se kroz njega prate uštede energije i </w:t>
            </w:r>
            <w:proofErr w:type="spellStart"/>
            <w:r w:rsidRPr="006414E6">
              <w:rPr>
                <w:rFonts w:eastAsia="Times New Roman" w:cs="Times New Roman"/>
                <w:sz w:val="20"/>
                <w:lang w:eastAsia="hr-HR"/>
              </w:rPr>
              <w:t>rezultirajuće</w:t>
            </w:r>
            <w:proofErr w:type="spellEnd"/>
            <w:r w:rsidRPr="006414E6">
              <w:rPr>
                <w:rFonts w:eastAsia="Times New Roman" w:cs="Times New Roman"/>
                <w:sz w:val="20"/>
                <w:lang w:eastAsia="hr-HR"/>
              </w:rPr>
              <w:t xml:space="preserve"> smanjenje stakleničkih plinova te se podatci iz sustava koriste za izvješćivanje. U sljedećem razdoblju nužno je održavati i unaprjeđivati funkcionalnost sustava, povezati ga s drugim sustavima (ISGE) te informirati i obučavati obveznike o pravilnom unosu podatka potrebnih za izračun i verifikaciju ušteda energije.</w:t>
            </w:r>
          </w:p>
        </w:tc>
      </w:tr>
      <w:tr w:rsidR="00B37DF8" w:rsidRPr="006414E6" w14:paraId="1C507994" w14:textId="77777777" w:rsidTr="00177077">
        <w:trPr>
          <w:trHeight w:val="340"/>
        </w:trPr>
        <w:tc>
          <w:tcPr>
            <w:tcW w:w="1129" w:type="dxa"/>
            <w:vAlign w:val="center"/>
          </w:tcPr>
          <w:p w14:paraId="1D2BD594"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MCC-16</w:t>
            </w:r>
          </w:p>
        </w:tc>
        <w:tc>
          <w:tcPr>
            <w:tcW w:w="2832" w:type="dxa"/>
            <w:vAlign w:val="center"/>
          </w:tcPr>
          <w:p w14:paraId="35AD514E"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Zelena javna nabava</w:t>
            </w:r>
          </w:p>
        </w:tc>
        <w:tc>
          <w:tcPr>
            <w:tcW w:w="9217" w:type="dxa"/>
            <w:vAlign w:val="center"/>
          </w:tcPr>
          <w:p w14:paraId="5514DC33"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Osnovano je nacionalno Povjerenstvo za zelenu javnu nabavu koje prati provedbu </w:t>
            </w:r>
            <w:proofErr w:type="spellStart"/>
            <w:r w:rsidRPr="006414E6">
              <w:rPr>
                <w:rFonts w:eastAsia="Times New Roman" w:cs="Times New Roman"/>
                <w:sz w:val="20"/>
                <w:lang w:eastAsia="hr-HR"/>
              </w:rPr>
              <w:t>ZeJN</w:t>
            </w:r>
            <w:proofErr w:type="spellEnd"/>
            <w:r w:rsidRPr="006414E6">
              <w:rPr>
                <w:rFonts w:eastAsia="Times New Roman" w:cs="Times New Roman"/>
                <w:sz w:val="20"/>
                <w:lang w:eastAsia="hr-HR"/>
              </w:rPr>
              <w:t xml:space="preserve"> putem anketnog upitnika i elektroničkog oglasnika javne nabave. Ova mjera predstavlja nastavak započetih mjera i daljnje ozelenjivanje postupaka javne nabave. Zelenom javnom nabavom favorizirat će se inovativni </w:t>
            </w:r>
            <w:proofErr w:type="spellStart"/>
            <w:r w:rsidRPr="006414E6">
              <w:rPr>
                <w:rFonts w:eastAsia="Times New Roman" w:cs="Times New Roman"/>
                <w:sz w:val="20"/>
                <w:lang w:eastAsia="hr-HR"/>
              </w:rPr>
              <w:t>niskougljični</w:t>
            </w:r>
            <w:proofErr w:type="spellEnd"/>
            <w:r w:rsidRPr="006414E6">
              <w:rPr>
                <w:rFonts w:eastAsia="Times New Roman" w:cs="Times New Roman"/>
                <w:sz w:val="20"/>
                <w:lang w:eastAsia="hr-HR"/>
              </w:rPr>
              <w:t xml:space="preserve"> proizvodi i usluge, čime će se dodatno potaknuti njihov ulazak na tržište, a javni sektor će služiti kao dobar primjer.</w:t>
            </w:r>
          </w:p>
        </w:tc>
      </w:tr>
      <w:tr w:rsidR="00B37DF8" w:rsidRPr="006414E6" w14:paraId="2511BF59" w14:textId="77777777" w:rsidTr="00177077">
        <w:trPr>
          <w:trHeight w:val="340"/>
        </w:trPr>
        <w:tc>
          <w:tcPr>
            <w:tcW w:w="1129" w:type="dxa"/>
            <w:vAlign w:val="center"/>
          </w:tcPr>
          <w:p w14:paraId="5654EF91"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MCC-17</w:t>
            </w:r>
          </w:p>
        </w:tc>
        <w:tc>
          <w:tcPr>
            <w:tcW w:w="2832" w:type="dxa"/>
            <w:vAlign w:val="center"/>
          </w:tcPr>
          <w:p w14:paraId="13776E7C" w14:textId="77777777" w:rsidR="00B37DF8" w:rsidRPr="006414E6" w:rsidRDefault="00B37DF8" w:rsidP="00B37DF8">
            <w:pPr>
              <w:spacing w:line="240" w:lineRule="auto"/>
              <w:jc w:val="left"/>
              <w:rPr>
                <w:rFonts w:cs="Times New Roman"/>
                <w:sz w:val="20"/>
              </w:rPr>
            </w:pPr>
            <w:r w:rsidRPr="006414E6">
              <w:rPr>
                <w:rFonts w:cs="Times New Roman"/>
                <w:sz w:val="20"/>
              </w:rPr>
              <w:t>Utvrđivanje polazišta, nacionalnih ciljeva, indikatora za praćenje ostvarenja te uspostava sustava za praćenje ostvarenja zadanih ciljeva istraživanja, inovacija i konkurentnosti</w:t>
            </w:r>
          </w:p>
        </w:tc>
        <w:tc>
          <w:tcPr>
            <w:tcW w:w="9217" w:type="dxa"/>
            <w:vAlign w:val="center"/>
          </w:tcPr>
          <w:p w14:paraId="67D65898"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Razrada ciljeva i sustava praćenja te uspostava sustava praćenja ostvarenja na području istraživanja i razvoja, inovacija i konkurentnosti povezanih s energetskom unijom; definiranje ključnih tehnologija za </w:t>
            </w:r>
            <w:proofErr w:type="spellStart"/>
            <w:r w:rsidRPr="006414E6">
              <w:rPr>
                <w:rFonts w:eastAsia="Times New Roman" w:cs="Times New Roman"/>
                <w:sz w:val="20"/>
                <w:lang w:eastAsia="hr-HR"/>
              </w:rPr>
              <w:t>niskougljičnu</w:t>
            </w:r>
            <w:proofErr w:type="spellEnd"/>
            <w:r w:rsidRPr="006414E6">
              <w:rPr>
                <w:rFonts w:eastAsia="Times New Roman" w:cs="Times New Roman"/>
                <w:sz w:val="20"/>
                <w:lang w:eastAsia="hr-HR"/>
              </w:rPr>
              <w:t xml:space="preserve"> tranziciju.</w:t>
            </w:r>
          </w:p>
        </w:tc>
      </w:tr>
      <w:tr w:rsidR="00B37DF8" w:rsidRPr="006414E6" w14:paraId="44B53280" w14:textId="77777777" w:rsidTr="00177077">
        <w:trPr>
          <w:trHeight w:val="340"/>
        </w:trPr>
        <w:tc>
          <w:tcPr>
            <w:tcW w:w="1129" w:type="dxa"/>
            <w:vAlign w:val="center"/>
          </w:tcPr>
          <w:p w14:paraId="34E68409" w14:textId="77777777" w:rsidR="00B37DF8" w:rsidRPr="006414E6" w:rsidRDefault="00B37DF8" w:rsidP="00B37DF8">
            <w:pPr>
              <w:spacing w:line="240" w:lineRule="auto"/>
              <w:jc w:val="left"/>
              <w:rPr>
                <w:rFonts w:cs="Times New Roman"/>
                <w:sz w:val="20"/>
              </w:rPr>
            </w:pPr>
            <w:r w:rsidRPr="006414E6">
              <w:rPr>
                <w:rFonts w:cs="Times New Roman"/>
                <w:sz w:val="20"/>
              </w:rPr>
              <w:t>MCC-18</w:t>
            </w:r>
          </w:p>
        </w:tc>
        <w:tc>
          <w:tcPr>
            <w:tcW w:w="2832" w:type="dxa"/>
            <w:vAlign w:val="center"/>
          </w:tcPr>
          <w:p w14:paraId="0A642AC9" w14:textId="77777777" w:rsidR="00B37DF8" w:rsidRPr="006414E6" w:rsidRDefault="00B37DF8" w:rsidP="00B37DF8">
            <w:pPr>
              <w:spacing w:line="240" w:lineRule="auto"/>
              <w:jc w:val="left"/>
              <w:rPr>
                <w:rFonts w:cs="Times New Roman"/>
                <w:sz w:val="20"/>
              </w:rPr>
            </w:pPr>
            <w:r w:rsidRPr="006414E6">
              <w:rPr>
                <w:rFonts w:cs="Times New Roman"/>
                <w:sz w:val="20"/>
              </w:rPr>
              <w:t>Sufinanciranje projekata industrijskog istraživanja i eksperimentalnog razvoja usklađenih s Nacionalnom razvojnom strategijom</w:t>
            </w:r>
          </w:p>
        </w:tc>
        <w:tc>
          <w:tcPr>
            <w:tcW w:w="9217" w:type="dxa"/>
            <w:vAlign w:val="center"/>
          </w:tcPr>
          <w:p w14:paraId="3FCA088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Mjerom se potiče istraživanje i razvoj proizvoda i usluga relevantnih za </w:t>
            </w:r>
            <w:proofErr w:type="spellStart"/>
            <w:r w:rsidRPr="006414E6">
              <w:rPr>
                <w:rFonts w:eastAsia="Times New Roman" w:cs="Times New Roman"/>
                <w:sz w:val="20"/>
                <w:lang w:eastAsia="hr-HR"/>
              </w:rPr>
              <w:t>niskougljični</w:t>
            </w:r>
            <w:proofErr w:type="spellEnd"/>
            <w:r w:rsidRPr="006414E6">
              <w:rPr>
                <w:rFonts w:eastAsia="Times New Roman" w:cs="Times New Roman"/>
                <w:sz w:val="20"/>
                <w:lang w:eastAsia="hr-HR"/>
              </w:rPr>
              <w:t xml:space="preserve"> razvoj, sufinanciranjem istraživačkih projekata u okviru prioritetnih tema.</w:t>
            </w:r>
          </w:p>
        </w:tc>
      </w:tr>
      <w:tr w:rsidR="00B37DF8" w:rsidRPr="006414E6" w14:paraId="3FE6618C" w14:textId="77777777" w:rsidTr="00177077">
        <w:trPr>
          <w:trHeight w:val="340"/>
        </w:trPr>
        <w:tc>
          <w:tcPr>
            <w:tcW w:w="1129" w:type="dxa"/>
            <w:vAlign w:val="center"/>
          </w:tcPr>
          <w:p w14:paraId="765F3914" w14:textId="77777777" w:rsidR="00B37DF8" w:rsidRPr="006414E6" w:rsidRDefault="00B37DF8" w:rsidP="00B37DF8">
            <w:pPr>
              <w:spacing w:line="240" w:lineRule="auto"/>
              <w:jc w:val="left"/>
              <w:rPr>
                <w:rFonts w:cs="Times New Roman"/>
                <w:sz w:val="20"/>
              </w:rPr>
            </w:pPr>
            <w:r w:rsidRPr="006414E6">
              <w:rPr>
                <w:rFonts w:cs="Times New Roman"/>
                <w:sz w:val="20"/>
              </w:rPr>
              <w:t>MCC-19</w:t>
            </w:r>
          </w:p>
        </w:tc>
        <w:tc>
          <w:tcPr>
            <w:tcW w:w="2832" w:type="dxa"/>
            <w:vAlign w:val="center"/>
          </w:tcPr>
          <w:p w14:paraId="3E1DB9A3" w14:textId="77777777" w:rsidR="00B37DF8" w:rsidRPr="006414E6" w:rsidRDefault="00B37DF8" w:rsidP="00B37DF8">
            <w:pPr>
              <w:spacing w:line="240" w:lineRule="auto"/>
              <w:jc w:val="left"/>
              <w:rPr>
                <w:rFonts w:cs="Times New Roman"/>
                <w:sz w:val="20"/>
              </w:rPr>
            </w:pPr>
            <w:r w:rsidRPr="006414E6">
              <w:rPr>
                <w:rFonts w:cs="Times New Roman"/>
                <w:sz w:val="20"/>
              </w:rPr>
              <w:t xml:space="preserve">Poticanje razvoja poduzetništva na području </w:t>
            </w:r>
            <w:proofErr w:type="spellStart"/>
            <w:r w:rsidRPr="006414E6">
              <w:rPr>
                <w:rFonts w:cs="Times New Roman"/>
                <w:sz w:val="20"/>
              </w:rPr>
              <w:t>niskougljičnog</w:t>
            </w:r>
            <w:proofErr w:type="spellEnd"/>
            <w:r w:rsidRPr="006414E6">
              <w:rPr>
                <w:rFonts w:cs="Times New Roman"/>
                <w:sz w:val="20"/>
              </w:rPr>
              <w:t xml:space="preserve"> gospodarstva</w:t>
            </w:r>
          </w:p>
        </w:tc>
        <w:tc>
          <w:tcPr>
            <w:tcW w:w="9217" w:type="dxa"/>
            <w:vAlign w:val="center"/>
          </w:tcPr>
          <w:p w14:paraId="15678858"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Mjerom se potiče razvoj poduzetništva na području </w:t>
            </w:r>
            <w:proofErr w:type="spellStart"/>
            <w:r w:rsidRPr="006414E6">
              <w:rPr>
                <w:rFonts w:eastAsia="Times New Roman" w:cs="Times New Roman"/>
                <w:sz w:val="20"/>
                <w:lang w:eastAsia="hr-HR"/>
              </w:rPr>
              <w:t>niskougljičnih</w:t>
            </w:r>
            <w:proofErr w:type="spellEnd"/>
            <w:r w:rsidRPr="006414E6">
              <w:rPr>
                <w:rFonts w:eastAsia="Times New Roman" w:cs="Times New Roman"/>
                <w:sz w:val="20"/>
                <w:lang w:eastAsia="hr-HR"/>
              </w:rPr>
              <w:t xml:space="preserve"> proizvoda i usluga, sufinanciranjem poduzetničkih aktivnosti u ovom području.</w:t>
            </w:r>
          </w:p>
        </w:tc>
      </w:tr>
      <w:tr w:rsidR="00B37DF8" w:rsidRPr="006414E6" w14:paraId="6E4AF29F" w14:textId="77777777" w:rsidTr="00177077">
        <w:trPr>
          <w:trHeight w:val="340"/>
        </w:trPr>
        <w:tc>
          <w:tcPr>
            <w:tcW w:w="1129" w:type="dxa"/>
            <w:vAlign w:val="center"/>
          </w:tcPr>
          <w:p w14:paraId="04391FF0" w14:textId="77777777" w:rsidR="00B37DF8" w:rsidRPr="006414E6" w:rsidRDefault="00B37DF8" w:rsidP="00B37DF8">
            <w:pPr>
              <w:spacing w:line="240" w:lineRule="auto"/>
              <w:jc w:val="left"/>
              <w:rPr>
                <w:rFonts w:cs="Times New Roman"/>
                <w:sz w:val="20"/>
              </w:rPr>
            </w:pPr>
            <w:r w:rsidRPr="006414E6">
              <w:rPr>
                <w:rFonts w:cs="Times New Roman"/>
                <w:sz w:val="20"/>
              </w:rPr>
              <w:t>MCC-20</w:t>
            </w:r>
          </w:p>
        </w:tc>
        <w:tc>
          <w:tcPr>
            <w:tcW w:w="2832" w:type="dxa"/>
            <w:vAlign w:val="center"/>
          </w:tcPr>
          <w:p w14:paraId="1E8AF921" w14:textId="77777777" w:rsidR="00B37DF8" w:rsidRPr="006414E6" w:rsidRDefault="00B37DF8" w:rsidP="00B37DF8">
            <w:pPr>
              <w:spacing w:line="240" w:lineRule="auto"/>
              <w:jc w:val="left"/>
              <w:rPr>
                <w:rFonts w:cs="Times New Roman"/>
                <w:sz w:val="20"/>
              </w:rPr>
            </w:pPr>
            <w:r w:rsidRPr="006414E6">
              <w:rPr>
                <w:rFonts w:cs="Times New Roman"/>
                <w:sz w:val="20"/>
              </w:rPr>
              <w:t xml:space="preserve">Poticanje transfera znanja i tehnologija iz sustava znanosti u sustav gospodarstva s naglaskom na </w:t>
            </w:r>
            <w:proofErr w:type="spellStart"/>
            <w:r w:rsidRPr="006414E6">
              <w:rPr>
                <w:rFonts w:cs="Times New Roman"/>
                <w:sz w:val="20"/>
              </w:rPr>
              <w:t>niskougljične</w:t>
            </w:r>
            <w:proofErr w:type="spellEnd"/>
            <w:r w:rsidRPr="006414E6">
              <w:rPr>
                <w:rFonts w:cs="Times New Roman"/>
                <w:sz w:val="20"/>
              </w:rPr>
              <w:t xml:space="preserve"> tehnologije </w:t>
            </w:r>
          </w:p>
        </w:tc>
        <w:tc>
          <w:tcPr>
            <w:tcW w:w="9217" w:type="dxa"/>
            <w:vAlign w:val="center"/>
          </w:tcPr>
          <w:p w14:paraId="548430A4"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rPr>
              <w:t xml:space="preserve">Mjerom se potiče razvoj osnovanih i funkcionalnih ureda za transfer tehnologije i znanstveno-tehnologijskih parkova s ciljem prijenosa znanja i razvoja tehnologija koje će pridonijeti razvoju </w:t>
            </w:r>
            <w:proofErr w:type="spellStart"/>
            <w:r w:rsidRPr="006414E6">
              <w:rPr>
                <w:rFonts w:cs="Times New Roman"/>
                <w:sz w:val="20"/>
              </w:rPr>
              <w:t>niskougljičnog</w:t>
            </w:r>
            <w:proofErr w:type="spellEnd"/>
            <w:r w:rsidRPr="006414E6">
              <w:rPr>
                <w:rFonts w:cs="Times New Roman"/>
                <w:sz w:val="20"/>
              </w:rPr>
              <w:t xml:space="preserve"> gospodarstva.</w:t>
            </w:r>
          </w:p>
        </w:tc>
      </w:tr>
      <w:tr w:rsidR="00B37DF8" w:rsidRPr="006414E6" w14:paraId="777D9F5E" w14:textId="77777777" w:rsidTr="00177077">
        <w:trPr>
          <w:trHeight w:val="340"/>
        </w:trPr>
        <w:tc>
          <w:tcPr>
            <w:tcW w:w="1129" w:type="dxa"/>
            <w:vAlign w:val="center"/>
          </w:tcPr>
          <w:p w14:paraId="4C4A9EF1" w14:textId="77777777" w:rsidR="00B37DF8" w:rsidRPr="006414E6" w:rsidRDefault="00B37DF8" w:rsidP="00B37DF8">
            <w:pPr>
              <w:spacing w:line="240" w:lineRule="auto"/>
              <w:jc w:val="left"/>
              <w:rPr>
                <w:rFonts w:cs="Times New Roman"/>
                <w:sz w:val="20"/>
              </w:rPr>
            </w:pPr>
            <w:r w:rsidRPr="006414E6">
              <w:rPr>
                <w:rFonts w:cs="Times New Roman"/>
                <w:sz w:val="20"/>
              </w:rPr>
              <w:t>MCC-21</w:t>
            </w:r>
          </w:p>
        </w:tc>
        <w:tc>
          <w:tcPr>
            <w:tcW w:w="2832" w:type="dxa"/>
            <w:vAlign w:val="center"/>
          </w:tcPr>
          <w:p w14:paraId="65C07404" w14:textId="77777777" w:rsidR="00B37DF8" w:rsidRPr="006414E6" w:rsidRDefault="00B37DF8" w:rsidP="00B37DF8">
            <w:pPr>
              <w:spacing w:line="240" w:lineRule="auto"/>
              <w:jc w:val="left"/>
              <w:rPr>
                <w:rFonts w:cs="Times New Roman"/>
                <w:sz w:val="20"/>
              </w:rPr>
            </w:pPr>
            <w:r w:rsidRPr="006414E6">
              <w:rPr>
                <w:rFonts w:cs="Times New Roman"/>
                <w:sz w:val="20"/>
              </w:rPr>
              <w:t>Poticanje daljnjeg rada znanstvenih centara izvrsnosti osnovanih u području prirodnih, tehničkih, biotehničkih i biomedicinskih znanosti</w:t>
            </w:r>
          </w:p>
        </w:tc>
        <w:tc>
          <w:tcPr>
            <w:tcW w:w="9217" w:type="dxa"/>
            <w:vAlign w:val="center"/>
          </w:tcPr>
          <w:p w14:paraId="232FAFF2" w14:textId="77777777" w:rsidR="00B37DF8" w:rsidRPr="006414E6" w:rsidRDefault="00B37DF8" w:rsidP="00817C16">
            <w:pPr>
              <w:spacing w:line="240" w:lineRule="auto"/>
              <w:rPr>
                <w:rFonts w:cs="Times New Roman"/>
                <w:sz w:val="20"/>
              </w:rPr>
            </w:pPr>
            <w:r w:rsidRPr="006414E6">
              <w:rPr>
                <w:rFonts w:cs="Times New Roman"/>
                <w:sz w:val="20"/>
              </w:rPr>
              <w:t xml:space="preserve">Mjerom se potiče daljnji rad osnovanih i centara izvrsnosti čiji je rad pozitivno ocijenjen u periodičkom postupku evaluacije s ciljem daljnjeg razvoja </w:t>
            </w:r>
            <w:proofErr w:type="spellStart"/>
            <w:r w:rsidRPr="006414E6">
              <w:rPr>
                <w:rFonts w:cs="Times New Roman"/>
                <w:sz w:val="20"/>
              </w:rPr>
              <w:t>niskougljičnog</w:t>
            </w:r>
            <w:proofErr w:type="spellEnd"/>
            <w:r w:rsidRPr="006414E6">
              <w:rPr>
                <w:rFonts w:cs="Times New Roman"/>
                <w:sz w:val="20"/>
              </w:rPr>
              <w:t xml:space="preserve"> gospodarstva. </w:t>
            </w:r>
          </w:p>
        </w:tc>
      </w:tr>
      <w:tr w:rsidR="00B37DF8" w:rsidRPr="006414E6" w14:paraId="2B78E971" w14:textId="77777777" w:rsidTr="00177077">
        <w:trPr>
          <w:trHeight w:val="340"/>
        </w:trPr>
        <w:tc>
          <w:tcPr>
            <w:tcW w:w="1129" w:type="dxa"/>
            <w:vAlign w:val="center"/>
          </w:tcPr>
          <w:p w14:paraId="2957CBCA" w14:textId="77777777" w:rsidR="00B37DF8" w:rsidRPr="006414E6" w:rsidRDefault="00B37DF8" w:rsidP="00B37DF8">
            <w:pPr>
              <w:spacing w:line="240" w:lineRule="auto"/>
              <w:jc w:val="left"/>
              <w:rPr>
                <w:rFonts w:cs="Times New Roman"/>
                <w:sz w:val="20"/>
              </w:rPr>
            </w:pPr>
            <w:r w:rsidRPr="006414E6">
              <w:rPr>
                <w:rFonts w:cs="Times New Roman"/>
                <w:sz w:val="20"/>
              </w:rPr>
              <w:t>MCC-22</w:t>
            </w:r>
          </w:p>
        </w:tc>
        <w:tc>
          <w:tcPr>
            <w:tcW w:w="2832" w:type="dxa"/>
            <w:vAlign w:val="center"/>
          </w:tcPr>
          <w:p w14:paraId="2831DAED" w14:textId="77777777" w:rsidR="00B37DF8" w:rsidRPr="006414E6" w:rsidRDefault="00B37DF8" w:rsidP="00B37DF8">
            <w:pPr>
              <w:spacing w:line="240" w:lineRule="auto"/>
              <w:jc w:val="left"/>
              <w:rPr>
                <w:rFonts w:cs="Times New Roman"/>
                <w:sz w:val="20"/>
              </w:rPr>
            </w:pPr>
            <w:r w:rsidRPr="006414E6">
              <w:rPr>
                <w:rFonts w:cs="Times New Roman"/>
                <w:sz w:val="20"/>
              </w:rPr>
              <w:t xml:space="preserve">Izgradnja kapaciteta za poticanje istraživanja i inovacija te povećanje konkurentnosti u području </w:t>
            </w:r>
            <w:proofErr w:type="spellStart"/>
            <w:r w:rsidRPr="006414E6">
              <w:rPr>
                <w:rFonts w:cs="Times New Roman"/>
                <w:sz w:val="20"/>
              </w:rPr>
              <w:t>niskougljičnog</w:t>
            </w:r>
            <w:proofErr w:type="spellEnd"/>
            <w:r w:rsidRPr="006414E6">
              <w:rPr>
                <w:rFonts w:cs="Times New Roman"/>
                <w:sz w:val="20"/>
              </w:rPr>
              <w:t xml:space="preserve"> gospodarstva</w:t>
            </w:r>
          </w:p>
        </w:tc>
        <w:tc>
          <w:tcPr>
            <w:tcW w:w="9217" w:type="dxa"/>
            <w:vAlign w:val="center"/>
          </w:tcPr>
          <w:p w14:paraId="1BA88812"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rPr>
              <w:t xml:space="preserve">Izgradit će se kapaciteti institucija uključenih u poticanje i praćenje istraživanja, inovacija i konkurentnosti na području </w:t>
            </w:r>
            <w:proofErr w:type="spellStart"/>
            <w:r w:rsidRPr="006414E6">
              <w:rPr>
                <w:rFonts w:cs="Times New Roman"/>
                <w:sz w:val="20"/>
              </w:rPr>
              <w:t>niskougljičnog</w:t>
            </w:r>
            <w:proofErr w:type="spellEnd"/>
            <w:r w:rsidRPr="006414E6">
              <w:rPr>
                <w:rFonts w:cs="Times New Roman"/>
                <w:sz w:val="20"/>
              </w:rPr>
              <w:t xml:space="preserve"> gospodarstva.</w:t>
            </w:r>
          </w:p>
        </w:tc>
      </w:tr>
      <w:tr w:rsidR="00C81938" w:rsidRPr="006414E6" w14:paraId="196EA600" w14:textId="77777777" w:rsidTr="00177077">
        <w:trPr>
          <w:trHeight w:val="340"/>
        </w:trPr>
        <w:tc>
          <w:tcPr>
            <w:tcW w:w="13178" w:type="dxa"/>
            <w:gridSpan w:val="3"/>
            <w:vAlign w:val="center"/>
          </w:tcPr>
          <w:p w14:paraId="58A051CA" w14:textId="77777777" w:rsidR="00C81938" w:rsidRPr="006414E6" w:rsidRDefault="00C81938" w:rsidP="00817C16">
            <w:pPr>
              <w:spacing w:line="240" w:lineRule="auto"/>
              <w:rPr>
                <w:rFonts w:cs="Times New Roman"/>
                <w:b/>
                <w:sz w:val="20"/>
              </w:rPr>
            </w:pPr>
            <w:r w:rsidRPr="006414E6">
              <w:rPr>
                <w:rFonts w:cs="Times New Roman"/>
                <w:b/>
                <w:sz w:val="20"/>
              </w:rPr>
              <w:t>ENERGETIKA</w:t>
            </w:r>
          </w:p>
        </w:tc>
      </w:tr>
      <w:tr w:rsidR="00B37DF8" w:rsidRPr="006414E6" w14:paraId="41C11F2B" w14:textId="77777777" w:rsidTr="00177077">
        <w:trPr>
          <w:trHeight w:val="340"/>
        </w:trPr>
        <w:tc>
          <w:tcPr>
            <w:tcW w:w="1129" w:type="dxa"/>
            <w:vAlign w:val="center"/>
          </w:tcPr>
          <w:p w14:paraId="44E30BE4"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MEN-1</w:t>
            </w:r>
          </w:p>
        </w:tc>
        <w:tc>
          <w:tcPr>
            <w:tcW w:w="2832" w:type="dxa"/>
            <w:vAlign w:val="center"/>
          </w:tcPr>
          <w:p w14:paraId="554C0504"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Promoviranje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standarda gradnje i obnove</w:t>
            </w:r>
          </w:p>
        </w:tc>
        <w:tc>
          <w:tcPr>
            <w:tcW w:w="9217" w:type="dxa"/>
            <w:vAlign w:val="center"/>
          </w:tcPr>
          <w:p w14:paraId="60694677" w14:textId="78C6E2E1"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Nakon 31.12.2018. godine sve javne zgrade u </w:t>
            </w:r>
            <w:r w:rsidR="00C05A82" w:rsidRPr="006414E6">
              <w:rPr>
                <w:rFonts w:eastAsia="Times New Roman" w:cs="Times New Roman"/>
                <w:sz w:val="20"/>
                <w:lang w:eastAsia="hr-HR"/>
              </w:rPr>
              <w:t>Republici Hrvatskoj</w:t>
            </w:r>
            <w:r w:rsidRPr="006414E6">
              <w:rPr>
                <w:rFonts w:eastAsia="Times New Roman" w:cs="Times New Roman"/>
                <w:sz w:val="20"/>
                <w:lang w:eastAsia="hr-HR"/>
              </w:rPr>
              <w:t xml:space="preserve"> u kojima borave ili su u vlasništvu javnih tijela moraju biti izgrađene prema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standardu, a obveza za sve ostale novoizgrađene zgrade nastupa nakon 31.12.2020. godine. Navedene zakonske odredbe osiguravaju da sve novoizgrađene zgrade od 2021. godine pa nadalje budu u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standardu. Ipak, kako bi se osigurala ispravna primjena ovih odredbi, ali i potaknula energetska obnova zgrada do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standarda, u sljedećem se razdoblju planira provoditi niz informativno-edukacijskih aktivnosti za promociju izgradnje i obnove po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standardu.</w:t>
            </w:r>
          </w:p>
        </w:tc>
      </w:tr>
      <w:tr w:rsidR="00B37DF8" w:rsidRPr="006414E6" w14:paraId="1686D6BA" w14:textId="77777777" w:rsidTr="00177077">
        <w:trPr>
          <w:trHeight w:val="340"/>
        </w:trPr>
        <w:tc>
          <w:tcPr>
            <w:tcW w:w="1129" w:type="dxa"/>
            <w:vAlign w:val="center"/>
          </w:tcPr>
          <w:p w14:paraId="28D58997" w14:textId="77777777" w:rsidR="00B37DF8" w:rsidRPr="006414E6" w:rsidRDefault="00B37DF8" w:rsidP="00B37DF8">
            <w:pPr>
              <w:spacing w:line="240" w:lineRule="auto"/>
              <w:jc w:val="left"/>
              <w:rPr>
                <w:rFonts w:cs="Times New Roman"/>
                <w:sz w:val="20"/>
              </w:rPr>
            </w:pPr>
            <w:r w:rsidRPr="006414E6">
              <w:rPr>
                <w:rFonts w:cs="Times New Roman"/>
                <w:sz w:val="20"/>
              </w:rPr>
              <w:t>MEN-2</w:t>
            </w:r>
          </w:p>
        </w:tc>
        <w:tc>
          <w:tcPr>
            <w:tcW w:w="2832" w:type="dxa"/>
            <w:vAlign w:val="center"/>
          </w:tcPr>
          <w:p w14:paraId="230C3EF3"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Program energetske obnove višestambenih zgrada</w:t>
            </w:r>
          </w:p>
        </w:tc>
        <w:tc>
          <w:tcPr>
            <w:tcW w:w="9217" w:type="dxa"/>
            <w:vAlign w:val="center"/>
          </w:tcPr>
          <w:p w14:paraId="27D7A2A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Program je potrebno koncipirati kao nastavak provedbe Programa energetske obnove višestambenih zgrada iz razdoblja od 2014. do 2020. U tu svrhu, potrebno je planirati sredstva iz ESI fondova za sljedeće programsko razdoblje 2021.-2027. (s provedbom do 2030.), a provedbene procedure je potrebno značajno olakšati, poglavito u dijelu provedbe javne nabave. Tehnički uvjeti također trebaju ostati kao u postojećem Programu, dakle potrebno je ostvariti smanjenje toplinskih potreba zgrade od najmanje 50%. Snažnije je potrebno poticati obnovu do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standarda. Dodatno, potrebno je razmotriti osnivanje posebnog fonda iz kojega će se troškovi refundirati energetski siromašnim kućanstvima ili kućanstvima u riziku od energetskog siromaštva, kako bi se uklonila prepreka osiguravanja dovoljnog broja suglasnosti suvlasnika za energetsku obnovu. Provedba Programa mora biti praćena snažnim promotivnim aktivnostima, osiguranom tehničkom pomoći prijaviteljima te je nužno osigurati praćenje potrošnje energije prije i nakon energetske obnove, za što je potrebno stvoriti preduvjete u sklopu ISGE-a. Predviđa se obnavljati oko 520.000 m</w:t>
            </w:r>
            <w:r w:rsidRPr="006414E6">
              <w:rPr>
                <w:rFonts w:eastAsia="Times New Roman" w:cs="Times New Roman"/>
                <w:sz w:val="20"/>
                <w:vertAlign w:val="superscript"/>
                <w:lang w:eastAsia="hr-HR"/>
              </w:rPr>
              <w:t>2</w:t>
            </w:r>
            <w:r w:rsidRPr="006414E6">
              <w:rPr>
                <w:rFonts w:eastAsia="Times New Roman" w:cs="Times New Roman"/>
                <w:sz w:val="20"/>
                <w:lang w:eastAsia="hr-HR"/>
              </w:rPr>
              <w:t xml:space="preserve"> višestambenih zgrada godišnje. </w:t>
            </w:r>
          </w:p>
        </w:tc>
      </w:tr>
      <w:tr w:rsidR="00B37DF8" w:rsidRPr="006414E6" w14:paraId="2C705F16" w14:textId="77777777" w:rsidTr="00177077">
        <w:trPr>
          <w:trHeight w:val="340"/>
        </w:trPr>
        <w:tc>
          <w:tcPr>
            <w:tcW w:w="1129" w:type="dxa"/>
            <w:vAlign w:val="center"/>
          </w:tcPr>
          <w:p w14:paraId="4DE8680C" w14:textId="77777777" w:rsidR="00B37DF8" w:rsidRPr="006414E6" w:rsidRDefault="00B37DF8" w:rsidP="00B37DF8">
            <w:pPr>
              <w:spacing w:line="240" w:lineRule="auto"/>
              <w:jc w:val="left"/>
              <w:rPr>
                <w:rFonts w:cs="Times New Roman"/>
                <w:sz w:val="20"/>
              </w:rPr>
            </w:pPr>
            <w:r w:rsidRPr="006414E6">
              <w:rPr>
                <w:rFonts w:cs="Times New Roman"/>
                <w:sz w:val="20"/>
              </w:rPr>
              <w:t>MEN-3</w:t>
            </w:r>
          </w:p>
        </w:tc>
        <w:tc>
          <w:tcPr>
            <w:tcW w:w="2832" w:type="dxa"/>
            <w:vAlign w:val="center"/>
          </w:tcPr>
          <w:p w14:paraId="67EC8353" w14:textId="77777777" w:rsidR="00B37DF8" w:rsidRPr="006414E6" w:rsidRDefault="00B37DF8" w:rsidP="00B37DF8">
            <w:pPr>
              <w:spacing w:line="240" w:lineRule="auto"/>
              <w:jc w:val="left"/>
              <w:rPr>
                <w:rFonts w:cs="Times New Roman"/>
                <w:sz w:val="20"/>
              </w:rPr>
            </w:pPr>
            <w:r w:rsidRPr="006414E6">
              <w:rPr>
                <w:rFonts w:cs="Times New Roman"/>
                <w:sz w:val="20"/>
              </w:rPr>
              <w:t>Program energetske obnove obiteljskih kuća</w:t>
            </w:r>
          </w:p>
        </w:tc>
        <w:tc>
          <w:tcPr>
            <w:tcW w:w="9217" w:type="dxa"/>
            <w:vAlign w:val="center"/>
          </w:tcPr>
          <w:p w14:paraId="777707BA"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Program je potrebno koncipirati kao nastavak provedbe Programa energetske obnove obiteljskih kuća iz razdoblja od 2014. do 2020., uz sufinanciranje iz sredstava Fonda za zaštitu okoliša i energetsku učinkovitost. Primarni izvori sufinanciranja trebaju biti prihodi od prodaje emisijskih jedinica stakleničkih plinova na dražbama te prihodi od naknada koju plaćaju opskrbljivači u sustavu obveze energetske učinkovitosti u slučaju neispunjenja svojih obveza. Programom se treba ostaviti mogućnost provedbe individualnih mjera, ali uz uvažavanje redoslijeda provedbe mjera (npr. zamjenu sustava grijanja učinkovitijim sustavom koji koristi OIE treba omogućiti samo onim kućama koje imaju dobre toplinske karakteristike i ne trebaju zahvate na ovojnici). Snažnije je potrebno poticati obnovu do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standarda. Provedba Programa mora biti praćena snažnim promotivnim aktivnostima. Predviđa se obnavljati oko 350.000 m2 obiteljskih kuća godišnje.</w:t>
            </w:r>
          </w:p>
        </w:tc>
      </w:tr>
      <w:tr w:rsidR="00B37DF8" w:rsidRPr="006414E6" w14:paraId="2D491C0E" w14:textId="77777777" w:rsidTr="00177077">
        <w:trPr>
          <w:trHeight w:val="340"/>
        </w:trPr>
        <w:tc>
          <w:tcPr>
            <w:tcW w:w="1129" w:type="dxa"/>
            <w:vAlign w:val="center"/>
          </w:tcPr>
          <w:p w14:paraId="6DFC93D9" w14:textId="77777777" w:rsidR="00B37DF8" w:rsidRPr="006414E6" w:rsidRDefault="00B37DF8" w:rsidP="00B37DF8">
            <w:pPr>
              <w:spacing w:line="240" w:lineRule="auto"/>
              <w:jc w:val="left"/>
              <w:rPr>
                <w:rFonts w:cs="Times New Roman"/>
                <w:sz w:val="20"/>
              </w:rPr>
            </w:pPr>
            <w:r w:rsidRPr="006414E6">
              <w:rPr>
                <w:rFonts w:cs="Times New Roman"/>
                <w:sz w:val="20"/>
              </w:rPr>
              <w:t>MEN-4</w:t>
            </w:r>
          </w:p>
        </w:tc>
        <w:tc>
          <w:tcPr>
            <w:tcW w:w="2832" w:type="dxa"/>
            <w:vAlign w:val="center"/>
          </w:tcPr>
          <w:p w14:paraId="0DC0E944" w14:textId="77777777" w:rsidR="00B37DF8" w:rsidRPr="006414E6" w:rsidRDefault="00B37DF8" w:rsidP="00B37DF8">
            <w:pPr>
              <w:spacing w:line="240" w:lineRule="auto"/>
              <w:jc w:val="left"/>
              <w:rPr>
                <w:rFonts w:cs="Times New Roman"/>
                <w:sz w:val="20"/>
              </w:rPr>
            </w:pPr>
            <w:r w:rsidRPr="006414E6">
              <w:rPr>
                <w:rFonts w:cs="Times New Roman"/>
                <w:sz w:val="20"/>
              </w:rPr>
              <w:t>Program energetske obnove zgrada javnog sektora</w:t>
            </w:r>
          </w:p>
          <w:p w14:paraId="3CC18BE0" w14:textId="77777777" w:rsidR="00B37DF8" w:rsidRPr="006414E6" w:rsidRDefault="00B37DF8" w:rsidP="00B37DF8">
            <w:pPr>
              <w:spacing w:line="240" w:lineRule="auto"/>
              <w:jc w:val="left"/>
              <w:rPr>
                <w:rFonts w:cs="Times New Roman"/>
                <w:sz w:val="20"/>
              </w:rPr>
            </w:pPr>
          </w:p>
        </w:tc>
        <w:tc>
          <w:tcPr>
            <w:tcW w:w="9217" w:type="dxa"/>
            <w:vAlign w:val="center"/>
          </w:tcPr>
          <w:p w14:paraId="681FF6BA"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Mjera predstavlja nastavak provedbe Programa energetske obnove zgrada javnog sektora iz razdoblja 2016. do 2020. U tu svrhu, potrebno je planirati sredstva iz ESI fondova za sljedeće programsko razdoblje 2021. -2027. (s provedbom do 2030). Sredstva je potrebno planirati tako da se osigura i aktiviranje privatnog kapitala i ESCO tržišta, poglavito za zgrade koje su prikladne za ovakve modele financiranja (zgrade s kontinuiranim radom, kao što su bolnice, kaznionice, domovi za smještaj starijih i sl.) i koje pripadaju kategoriji zgrada središnje države, za koje postoji obvezujući cilj obnove definiran u Direktivi 2012/27/EU o energetskoj učinkovitosti. Tržišne modele potrebno je kombinirati s bespovratnim sredstvima s ciljem postizanja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standarda. Osim ESI sredstava, FZOEU je također dužan planirati sredstva za ovaj Program i to u dijelu koji se odnosi na sufinanciranje </w:t>
            </w:r>
            <w:r w:rsidRPr="006414E6">
              <w:rPr>
                <w:rFonts w:eastAsia="Times New Roman" w:cs="Times New Roman"/>
                <w:sz w:val="20"/>
                <w:lang w:eastAsia="hr-HR"/>
              </w:rPr>
              <w:lastRenderedPageBreak/>
              <w:t xml:space="preserve">energetske obnove zgrada središnje države po ESCO modelu. Za zgrade koje nisu prikladne za tržišne modele, potrebno je osigurati bespovratna sredstva prema istim uvjetima kao u dosadašnjem programu. Obnovu zgrada javnog sektora nužno je usmjeriti prema </w:t>
            </w:r>
            <w:proofErr w:type="spellStart"/>
            <w:r w:rsidRPr="006414E6">
              <w:rPr>
                <w:rFonts w:eastAsia="Times New Roman" w:cs="Times New Roman"/>
                <w:sz w:val="20"/>
                <w:lang w:eastAsia="hr-HR"/>
              </w:rPr>
              <w:t>nZEB</w:t>
            </w:r>
            <w:proofErr w:type="spellEnd"/>
            <w:r w:rsidRPr="006414E6">
              <w:rPr>
                <w:rFonts w:eastAsia="Times New Roman" w:cs="Times New Roman"/>
                <w:sz w:val="20"/>
                <w:lang w:eastAsia="hr-HR"/>
              </w:rPr>
              <w:t xml:space="preserve"> standardu svugdje gdje je to tehnički izvedivo. Predviđa se obnavljati oko 350.000 m</w:t>
            </w:r>
            <w:r w:rsidRPr="006414E6">
              <w:rPr>
                <w:rFonts w:eastAsia="Times New Roman" w:cs="Times New Roman"/>
                <w:sz w:val="20"/>
                <w:vertAlign w:val="superscript"/>
                <w:lang w:eastAsia="hr-HR"/>
              </w:rPr>
              <w:t>2</w:t>
            </w:r>
            <w:r w:rsidRPr="006414E6">
              <w:rPr>
                <w:rFonts w:eastAsia="Times New Roman" w:cs="Times New Roman"/>
                <w:sz w:val="20"/>
                <w:lang w:eastAsia="hr-HR"/>
              </w:rPr>
              <w:t xml:space="preserve"> javnih zgrada godišnje.</w:t>
            </w:r>
          </w:p>
        </w:tc>
      </w:tr>
      <w:tr w:rsidR="00B37DF8" w:rsidRPr="006414E6" w14:paraId="15FFD34D" w14:textId="77777777" w:rsidTr="00177077">
        <w:trPr>
          <w:trHeight w:val="340"/>
        </w:trPr>
        <w:tc>
          <w:tcPr>
            <w:tcW w:w="1129" w:type="dxa"/>
            <w:vAlign w:val="center"/>
          </w:tcPr>
          <w:p w14:paraId="68C620CC"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MEN-5</w:t>
            </w:r>
          </w:p>
        </w:tc>
        <w:tc>
          <w:tcPr>
            <w:tcW w:w="2832" w:type="dxa"/>
            <w:vAlign w:val="center"/>
          </w:tcPr>
          <w:p w14:paraId="13E5188A" w14:textId="77777777" w:rsidR="00B37DF8" w:rsidRPr="006414E6" w:rsidRDefault="00B37DF8" w:rsidP="00B37DF8">
            <w:pPr>
              <w:spacing w:line="240" w:lineRule="auto"/>
              <w:jc w:val="left"/>
              <w:rPr>
                <w:rFonts w:cs="Times New Roman"/>
                <w:sz w:val="20"/>
              </w:rPr>
            </w:pPr>
            <w:r w:rsidRPr="006414E6">
              <w:rPr>
                <w:rFonts w:cs="Times New Roman"/>
                <w:sz w:val="20"/>
              </w:rPr>
              <w:t>Program energetske obnove zgrada koje imaju status kulturnog dobra</w:t>
            </w:r>
          </w:p>
        </w:tc>
        <w:tc>
          <w:tcPr>
            <w:tcW w:w="9217" w:type="dxa"/>
            <w:vAlign w:val="center"/>
          </w:tcPr>
          <w:p w14:paraId="56EB2539"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Zaštićene zgrade u smislu Programa energetske obnove zgrada koje imaju status kulturnog dobra su one koje se mogu svrstati u dvije kategorije: pojedinačno zaštićena kulturna dobra (pojedinačne građevne i graditeljski sklopovi) i zgrade koje se nalaze unutar zaštićene kulturno-povijesne cjeline. Program ne obuhvaća zgrade zaštićene kao preventivno zaštićeno kulturno dobro, niti zgrade kao evidentirano kulturno dobro. Kroz Program razvijena su dva osnovna pristupa energetskoj obnovi zgrada koje su predmet ovog Programa: cjeloviti (integralni) pristup te pristup s primjenom pojedinačnih mjera energetske obnove.</w:t>
            </w:r>
          </w:p>
        </w:tc>
      </w:tr>
      <w:tr w:rsidR="00B37DF8" w:rsidRPr="006414E6" w14:paraId="55C3BCEC" w14:textId="77777777" w:rsidTr="00177077">
        <w:trPr>
          <w:trHeight w:val="340"/>
        </w:trPr>
        <w:tc>
          <w:tcPr>
            <w:tcW w:w="1129" w:type="dxa"/>
            <w:vAlign w:val="center"/>
          </w:tcPr>
          <w:p w14:paraId="1259F16A" w14:textId="77777777" w:rsidR="00B37DF8" w:rsidRPr="006414E6" w:rsidRDefault="00B37DF8" w:rsidP="00B37DF8">
            <w:pPr>
              <w:spacing w:line="240" w:lineRule="auto"/>
              <w:jc w:val="left"/>
              <w:rPr>
                <w:rFonts w:cs="Times New Roman"/>
                <w:sz w:val="20"/>
              </w:rPr>
            </w:pPr>
            <w:r w:rsidRPr="006414E6">
              <w:rPr>
                <w:rFonts w:cs="Times New Roman"/>
                <w:sz w:val="20"/>
              </w:rPr>
              <w:t>MEN-6</w:t>
            </w:r>
          </w:p>
        </w:tc>
        <w:tc>
          <w:tcPr>
            <w:tcW w:w="2832" w:type="dxa"/>
            <w:vAlign w:val="center"/>
          </w:tcPr>
          <w:p w14:paraId="1F8F2B14"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Program energetske obnove javne rasvjete</w:t>
            </w:r>
          </w:p>
        </w:tc>
        <w:tc>
          <w:tcPr>
            <w:tcW w:w="9217" w:type="dxa"/>
            <w:vAlign w:val="center"/>
          </w:tcPr>
          <w:p w14:paraId="52746140"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Energetska obnova javne rasvjete u Republici Hrvatskoj trenutno se provodi se korištenjem ESI sredstava iz Europskog fonda za regionalni razvij i to korištenjem financijskog instrumenta kredita s povoljnim kamatnim stopama kojega JLP(R)S-ima nudi HBOR . U tu svrhu raspoloživo je 152 milijuna kn, a kreditom se pokriva do 100% prihvatljivih troškova projekta. Predviđa se da će se ova financijska alokacija iskoristiti do 2020. godine, a najkasnije do 2023. godine. Procijenjene uštede ove prve faze Programa su oko 15 GWh u 2020. (2023.) godini. S obzirom na značajan potencijal koji postoji u sustavima javne rasvjete, planira se korištenje ESI fondova i u sljedećem programskom razdoblju 2021.-2027. godine. Programiranjem veće alokacije sredstava za ovu svrhu, mogao bi se iskoristiti postojeći potencijal do kraja 2030. godine, koji je procijenjen na oko 225 – 280 GWh. Istodobno, obnovom javne rasvjete ostvarilo bi se zadovoljavanje tehničkih normi za rasvijetljenost prometnica, što znači da bi se poboljšala sigurnost prometa te bi se smanjilo svjetlosno onečišćenje. </w:t>
            </w:r>
          </w:p>
        </w:tc>
      </w:tr>
      <w:tr w:rsidR="00B37DF8" w:rsidRPr="006414E6" w14:paraId="76E74389" w14:textId="77777777" w:rsidTr="00177077">
        <w:trPr>
          <w:trHeight w:val="340"/>
        </w:trPr>
        <w:tc>
          <w:tcPr>
            <w:tcW w:w="1129" w:type="dxa"/>
            <w:vAlign w:val="center"/>
          </w:tcPr>
          <w:p w14:paraId="5133A06C" w14:textId="77777777" w:rsidR="00B37DF8" w:rsidRPr="006414E6" w:rsidRDefault="00B37DF8" w:rsidP="00B37DF8">
            <w:pPr>
              <w:spacing w:line="240" w:lineRule="auto"/>
              <w:jc w:val="left"/>
              <w:rPr>
                <w:rFonts w:cs="Times New Roman"/>
                <w:sz w:val="20"/>
              </w:rPr>
            </w:pPr>
            <w:r w:rsidRPr="006414E6">
              <w:rPr>
                <w:rFonts w:cs="Times New Roman"/>
                <w:sz w:val="20"/>
              </w:rPr>
              <w:t>MEN-7</w:t>
            </w:r>
          </w:p>
        </w:tc>
        <w:tc>
          <w:tcPr>
            <w:tcW w:w="2832" w:type="dxa"/>
            <w:vAlign w:val="center"/>
          </w:tcPr>
          <w:p w14:paraId="449E1E49"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Sustavno gospodarenje energijom u javnom sektoru</w:t>
            </w:r>
          </w:p>
        </w:tc>
        <w:tc>
          <w:tcPr>
            <w:tcW w:w="9217" w:type="dxa"/>
            <w:vAlign w:val="center"/>
          </w:tcPr>
          <w:p w14:paraId="00FCA234"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Javni sektor u Hrvatskoj obvezan je sustavno gospodariti energijom, što je posebno propisano Zakonom o energetskoj učinkovitosti odnosno Pravilnikom o sustavnom gospodarenju energijom (Narodne novine, br. 18/15, 06/16). Temelj mjere je informacijski sustav za gospodarenje energijom (ISGE). Cilj je obuhvatiti i redovno pratiti ISGE-om sve zgrade javnog sektora i sustave javne rasvjete do kraja 2030. godine. </w:t>
            </w:r>
          </w:p>
        </w:tc>
      </w:tr>
      <w:tr w:rsidR="00B37DF8" w:rsidRPr="006414E6" w14:paraId="76331805" w14:textId="77777777" w:rsidTr="00177077">
        <w:trPr>
          <w:trHeight w:val="340"/>
        </w:trPr>
        <w:tc>
          <w:tcPr>
            <w:tcW w:w="1129" w:type="dxa"/>
            <w:vAlign w:val="center"/>
          </w:tcPr>
          <w:p w14:paraId="2116C3C7" w14:textId="77777777" w:rsidR="00B37DF8" w:rsidRPr="006414E6" w:rsidRDefault="00B37DF8" w:rsidP="00B37DF8">
            <w:pPr>
              <w:spacing w:line="240" w:lineRule="auto"/>
              <w:jc w:val="left"/>
              <w:rPr>
                <w:rFonts w:cs="Times New Roman"/>
                <w:sz w:val="20"/>
              </w:rPr>
            </w:pPr>
            <w:r w:rsidRPr="006414E6">
              <w:rPr>
                <w:rFonts w:cs="Times New Roman"/>
                <w:sz w:val="20"/>
              </w:rPr>
              <w:t>MEN-8</w:t>
            </w:r>
          </w:p>
        </w:tc>
        <w:tc>
          <w:tcPr>
            <w:tcW w:w="2832" w:type="dxa"/>
            <w:vAlign w:val="center"/>
          </w:tcPr>
          <w:p w14:paraId="0161629E"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Sustavno gospodarenje energijom u poslovnom (uslužnom i proizvodnom) sektoru</w:t>
            </w:r>
          </w:p>
        </w:tc>
        <w:tc>
          <w:tcPr>
            <w:tcW w:w="9217" w:type="dxa"/>
            <w:vAlign w:val="center"/>
          </w:tcPr>
          <w:p w14:paraId="1010F927"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Iako su velika poduzeća obvezna redovno provoditi energetske preglede, ova obveza ne osigurava kontinuiranu brigu o potrošnji energije u poduzeću niti obuhvaća mala i srednja poduzeća. Kako bi se poduzeća potaknula na uvođenje certificiranih sustava gospodarenja energijom (kao ISO 50001), do 2020. godine će se izraditi sveobuhvatna analiza mogućnosti korištenja poreznog sustava (uključujući poreze i parafiskalne namete) za poticanje poduzeća koja uvedu ovakav sustav i time osiguraju kontinuiranu brigu o potrošnji energije.</w:t>
            </w:r>
          </w:p>
        </w:tc>
      </w:tr>
      <w:tr w:rsidR="00B37DF8" w:rsidRPr="006414E6" w14:paraId="09C5FF9B" w14:textId="77777777" w:rsidTr="00177077">
        <w:trPr>
          <w:trHeight w:val="340"/>
        </w:trPr>
        <w:tc>
          <w:tcPr>
            <w:tcW w:w="1129" w:type="dxa"/>
            <w:vAlign w:val="center"/>
          </w:tcPr>
          <w:p w14:paraId="212D6EC4" w14:textId="77777777" w:rsidR="00B37DF8" w:rsidRPr="006414E6" w:rsidRDefault="00B37DF8" w:rsidP="00B37DF8">
            <w:pPr>
              <w:spacing w:line="240" w:lineRule="auto"/>
              <w:jc w:val="left"/>
              <w:rPr>
                <w:rFonts w:cs="Times New Roman"/>
                <w:sz w:val="20"/>
              </w:rPr>
            </w:pPr>
            <w:r w:rsidRPr="006414E6">
              <w:rPr>
                <w:rFonts w:cs="Times New Roman"/>
                <w:sz w:val="20"/>
              </w:rPr>
              <w:t>MEN-9</w:t>
            </w:r>
          </w:p>
        </w:tc>
        <w:tc>
          <w:tcPr>
            <w:tcW w:w="2832" w:type="dxa"/>
            <w:vAlign w:val="center"/>
          </w:tcPr>
          <w:p w14:paraId="66FF297F"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Informativni računi</w:t>
            </w:r>
          </w:p>
        </w:tc>
        <w:tc>
          <w:tcPr>
            <w:tcW w:w="9217" w:type="dxa"/>
            <w:vAlign w:val="center"/>
          </w:tcPr>
          <w:p w14:paraId="65E7D43C"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Jedna od temeljnih mjera informiranja potrošača jest zakonska obveza opskrbljivača da barem jednom godišnje dostavljaju potrošačima informativne račune, koji sadrže informacije o obračunu energije te prethodnoj potrošnji krajnjeg kupca za obračunska mjerna mjesta koja su predmet ugovornog odnosa, koje obuhvaćaju usporedbu s prosječnim uobičajenim ili referentnim krajnjim kupcem iz iste kategorije krajnjih kupaca </w:t>
            </w:r>
            <w:r w:rsidRPr="006414E6">
              <w:rPr>
                <w:rFonts w:eastAsia="Times New Roman" w:cs="Times New Roman"/>
                <w:sz w:val="20"/>
                <w:lang w:eastAsia="hr-HR"/>
              </w:rPr>
              <w:lastRenderedPageBreak/>
              <w:t>opskrbljivača. Poželjno je frekvenciju primjene ove zakonske odredbe s godišnje razine svesti na mjesečnu razinu te je apsolutno nužno osigurati da regulatorno tijelo za energetiku (HERA) provodi nadzor nad ovim obvezama opskrbljivača energije. Osim toga, na temelju ovih regulatornih odredbi potrebno je i dodatno informirati potrošače o sadržaju i značenju računa, što je zadatak Nacionalnog koordinacijskog tijela (NKT) za energetsku učinkovitost.</w:t>
            </w:r>
          </w:p>
        </w:tc>
      </w:tr>
      <w:tr w:rsidR="00B37DF8" w:rsidRPr="006414E6" w14:paraId="31AF04E4" w14:textId="77777777" w:rsidTr="00177077">
        <w:trPr>
          <w:trHeight w:val="340"/>
        </w:trPr>
        <w:tc>
          <w:tcPr>
            <w:tcW w:w="1129" w:type="dxa"/>
            <w:vAlign w:val="center"/>
          </w:tcPr>
          <w:p w14:paraId="0BEB8FD0"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MEN-10</w:t>
            </w:r>
          </w:p>
        </w:tc>
        <w:tc>
          <w:tcPr>
            <w:tcW w:w="2832" w:type="dxa"/>
            <w:vAlign w:val="center"/>
          </w:tcPr>
          <w:p w14:paraId="66F8E25F"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Informiranje o energetskoj učinkovitosti</w:t>
            </w:r>
          </w:p>
        </w:tc>
        <w:tc>
          <w:tcPr>
            <w:tcW w:w="9217" w:type="dxa"/>
            <w:vAlign w:val="center"/>
          </w:tcPr>
          <w:p w14:paraId="75113F1C"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Informiranje opće javnosti i ciljnih skupina provodit će se organizacijom ciljanih info-kampanja vezanih uz specifične programe poticanja energetske učinkovitosti, poglavito energetske obnove zgrada. NKT će održavati nacionalni portal energetske učinkovitosti i kroz osiguranje ažurnih informacija osigurati kontinuiranu promociju energetske učinkovitosti i energetskih usluga. Posebnu je pozornost u sljedećem razdoblju potrebno dati informiranju potrošača o dužnostima opskrbljivača u sklopu sustava obveza</w:t>
            </w:r>
          </w:p>
        </w:tc>
      </w:tr>
      <w:tr w:rsidR="00B37DF8" w:rsidRPr="006414E6" w14:paraId="4EF19D19" w14:textId="77777777" w:rsidTr="00177077">
        <w:trPr>
          <w:trHeight w:val="340"/>
        </w:trPr>
        <w:tc>
          <w:tcPr>
            <w:tcW w:w="1129" w:type="dxa"/>
            <w:vAlign w:val="center"/>
          </w:tcPr>
          <w:p w14:paraId="225B7213" w14:textId="77777777" w:rsidR="00B37DF8" w:rsidRPr="006414E6" w:rsidRDefault="00B37DF8" w:rsidP="00B37DF8">
            <w:pPr>
              <w:spacing w:line="240" w:lineRule="auto"/>
              <w:jc w:val="left"/>
              <w:rPr>
                <w:rFonts w:cs="Times New Roman"/>
                <w:sz w:val="20"/>
              </w:rPr>
            </w:pPr>
            <w:r w:rsidRPr="006414E6">
              <w:rPr>
                <w:rFonts w:cs="Times New Roman"/>
                <w:sz w:val="20"/>
              </w:rPr>
              <w:t>MEN-11</w:t>
            </w:r>
          </w:p>
        </w:tc>
        <w:tc>
          <w:tcPr>
            <w:tcW w:w="2832" w:type="dxa"/>
            <w:vAlign w:val="center"/>
          </w:tcPr>
          <w:p w14:paraId="2934152D"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Obrazovanje u području energetske učinkovitosti</w:t>
            </w:r>
          </w:p>
        </w:tc>
        <w:tc>
          <w:tcPr>
            <w:tcW w:w="9217" w:type="dxa"/>
            <w:vAlign w:val="center"/>
          </w:tcPr>
          <w:p w14:paraId="4E1D23C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Osposobljavanje će se ostvariti kroz nastavak provedbe postojeće mjere te prilagođavanje aktivnosti potrebama i stvarnoj situaciji. Poglavito je važno sustavno raditi na privlačenju mladih ljudi u građevinska i ostala tehnička zanimanja, što će dugoročno doprinijeti raspoloživosti stručnih kapaciteta za provedbu energetske obnove zgrada, koja je temelj za postizanje zacrtanih energetsko-klimatskih ciljeva. Kroz obrazovanje u području energetske učinkovitosti postavit će se i primjenjivati principi zelene gradnje: potrebno je potaknuti promicanje i implementaciju zelene gradnje (gradnje po principima održivosti) kao bitnog segmenta održivog razvoja i kružne ekonomije. </w:t>
            </w:r>
          </w:p>
        </w:tc>
      </w:tr>
      <w:tr w:rsidR="00B37DF8" w:rsidRPr="006414E6" w14:paraId="50CA6733" w14:textId="77777777" w:rsidTr="00177077">
        <w:trPr>
          <w:trHeight w:val="340"/>
        </w:trPr>
        <w:tc>
          <w:tcPr>
            <w:tcW w:w="1129" w:type="dxa"/>
            <w:vAlign w:val="center"/>
          </w:tcPr>
          <w:p w14:paraId="262496D5" w14:textId="77777777" w:rsidR="00B37DF8" w:rsidRPr="006414E6" w:rsidRDefault="00B37DF8" w:rsidP="00B37DF8">
            <w:pPr>
              <w:spacing w:line="240" w:lineRule="auto"/>
              <w:jc w:val="left"/>
              <w:rPr>
                <w:rFonts w:cs="Times New Roman"/>
                <w:sz w:val="20"/>
              </w:rPr>
            </w:pPr>
            <w:r w:rsidRPr="006414E6">
              <w:rPr>
                <w:rFonts w:cs="Times New Roman"/>
                <w:sz w:val="20"/>
              </w:rPr>
              <w:t>MEN-12</w:t>
            </w:r>
          </w:p>
        </w:tc>
        <w:tc>
          <w:tcPr>
            <w:tcW w:w="2832" w:type="dxa"/>
            <w:vAlign w:val="center"/>
          </w:tcPr>
          <w:p w14:paraId="64BB3F8B"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Energetska učinkovitost elektroenergetskog prijenosnog sustava</w:t>
            </w:r>
          </w:p>
        </w:tc>
        <w:tc>
          <w:tcPr>
            <w:tcW w:w="9217" w:type="dxa"/>
            <w:vAlign w:val="center"/>
          </w:tcPr>
          <w:p w14:paraId="7E81B359" w14:textId="00FABA1E"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Sadašnje razine (2018. godina) gubitaka u prijenosnoj mreži </w:t>
            </w:r>
            <w:r w:rsidR="00C05A82" w:rsidRPr="006414E6">
              <w:rPr>
                <w:rFonts w:eastAsia="Times New Roman" w:cs="Times New Roman"/>
                <w:sz w:val="20"/>
                <w:lang w:eastAsia="hr-HR"/>
              </w:rPr>
              <w:t>Republike Hrvatske</w:t>
            </w:r>
            <w:r w:rsidRPr="006414E6">
              <w:rPr>
                <w:rFonts w:eastAsia="Times New Roman" w:cs="Times New Roman"/>
                <w:sz w:val="20"/>
                <w:lang w:eastAsia="hr-HR"/>
              </w:rPr>
              <w:t xml:space="preserve"> iznose oko 2% prenesene električne energije, što je iznos na razini ostalih operatora prijenosnog sustava ENTSO-E. Važna karakteristika hrvatske prijenosne mreže, kako s aspekta sigurnosti pogona i podržavanja tržišnih aktivnosti, tako i s aspekta gubitaka je izuzetno jaka povezanost sa susjednim elektroenergetskim sustavima (</w:t>
            </w:r>
            <w:proofErr w:type="spellStart"/>
            <w:r w:rsidRPr="006414E6">
              <w:rPr>
                <w:rFonts w:eastAsia="Times New Roman" w:cs="Times New Roman"/>
                <w:sz w:val="20"/>
                <w:lang w:eastAsia="hr-HR"/>
              </w:rPr>
              <w:t>interkonekcije</w:t>
            </w:r>
            <w:proofErr w:type="spellEnd"/>
            <w:r w:rsidRPr="006414E6">
              <w:rPr>
                <w:rFonts w:eastAsia="Times New Roman" w:cs="Times New Roman"/>
                <w:sz w:val="20"/>
                <w:lang w:eastAsia="hr-HR"/>
              </w:rPr>
              <w:t>). Dok se s jedne strane time značajno povećava sigurnost pogona, s druge strane se zbog tranzita povećavaju gubici u mreži. HOPS će u razdoblju do 2030. godine nastaviti provoditi mjere vezane za vođenje pogona EES-a i mjere vezane uz razvoj prijenosne mreže, sve s ciljem daljnjeg smanjenja tehničkih gubitaka u mreži. Za ovu se mjeru predlaže, uz osiguravanje sredstava od strane HOPS-a, programirati korištenje ESI sredstava u sljedećem programskom razdoblju od 2021. do 2027. godine.</w:t>
            </w:r>
          </w:p>
        </w:tc>
      </w:tr>
      <w:tr w:rsidR="00B37DF8" w:rsidRPr="006414E6" w14:paraId="25DF10E4" w14:textId="77777777" w:rsidTr="00177077">
        <w:trPr>
          <w:trHeight w:val="340"/>
        </w:trPr>
        <w:tc>
          <w:tcPr>
            <w:tcW w:w="1129" w:type="dxa"/>
            <w:vAlign w:val="center"/>
          </w:tcPr>
          <w:p w14:paraId="7FE5F1C1" w14:textId="77777777" w:rsidR="00B37DF8" w:rsidRPr="006414E6" w:rsidRDefault="00B37DF8" w:rsidP="00B37DF8">
            <w:pPr>
              <w:spacing w:line="240" w:lineRule="auto"/>
              <w:jc w:val="left"/>
              <w:rPr>
                <w:rFonts w:cs="Times New Roman"/>
                <w:sz w:val="20"/>
              </w:rPr>
            </w:pPr>
            <w:r w:rsidRPr="006414E6">
              <w:rPr>
                <w:rFonts w:cs="Times New Roman"/>
                <w:sz w:val="20"/>
              </w:rPr>
              <w:t>MEN-13</w:t>
            </w:r>
          </w:p>
        </w:tc>
        <w:tc>
          <w:tcPr>
            <w:tcW w:w="2832" w:type="dxa"/>
            <w:vAlign w:val="center"/>
          </w:tcPr>
          <w:p w14:paraId="33787E56"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Smanjenje gubitaka u distribucijskoj elektroenergetskoj mreži i uvođenje naprednih mreža</w:t>
            </w:r>
          </w:p>
        </w:tc>
        <w:tc>
          <w:tcPr>
            <w:tcW w:w="9217" w:type="dxa"/>
            <w:vAlign w:val="center"/>
          </w:tcPr>
          <w:p w14:paraId="30938195"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HEP-ODS će u razdoblju do 2030. godine nastaviti provoditi aktivnosti za smanjenje tehničkih i </w:t>
            </w:r>
            <w:proofErr w:type="spellStart"/>
            <w:r w:rsidRPr="006414E6">
              <w:rPr>
                <w:rFonts w:eastAsia="Times New Roman" w:cs="Times New Roman"/>
                <w:sz w:val="20"/>
                <w:lang w:eastAsia="hr-HR"/>
              </w:rPr>
              <w:t>netehničkih</w:t>
            </w:r>
            <w:proofErr w:type="spellEnd"/>
            <w:r w:rsidRPr="006414E6">
              <w:rPr>
                <w:rFonts w:eastAsia="Times New Roman" w:cs="Times New Roman"/>
                <w:sz w:val="20"/>
                <w:lang w:eastAsia="hr-HR"/>
              </w:rPr>
              <w:t xml:space="preserve"> gubitaka u distribucijskoj elektroenergetskoj mreži. Detaljnom analizom utvrdit će se uzroci povećanih gubitaka u pojedinim dijelovima mreže i prioriteti za provedbu aktivnosti za smanjenje tehničkih i </w:t>
            </w:r>
            <w:proofErr w:type="spellStart"/>
            <w:r w:rsidRPr="006414E6">
              <w:rPr>
                <w:rFonts w:eastAsia="Times New Roman" w:cs="Times New Roman"/>
                <w:sz w:val="20"/>
                <w:lang w:eastAsia="hr-HR"/>
              </w:rPr>
              <w:t>netehničkih</w:t>
            </w:r>
            <w:proofErr w:type="spellEnd"/>
            <w:r w:rsidRPr="006414E6">
              <w:rPr>
                <w:rFonts w:eastAsia="Times New Roman" w:cs="Times New Roman"/>
                <w:sz w:val="20"/>
                <w:lang w:eastAsia="hr-HR"/>
              </w:rPr>
              <w:t xml:space="preserve"> gubitaka. Na temelju iskustava iz provedbe pilot projekta uvođenja naprednih mreža na pilot područjima uz korištenje ESI fondova, potrebno je programirati nastavak korištenja ESI sredstava u sljedećem programskom razdoblju od 2021. do 2027. godine za daljnji razvoj naprednih mreža.</w:t>
            </w:r>
          </w:p>
        </w:tc>
      </w:tr>
      <w:tr w:rsidR="00B37DF8" w:rsidRPr="006414E6" w14:paraId="6F788151" w14:textId="77777777" w:rsidTr="00177077">
        <w:trPr>
          <w:trHeight w:val="340"/>
        </w:trPr>
        <w:tc>
          <w:tcPr>
            <w:tcW w:w="1129" w:type="dxa"/>
            <w:vAlign w:val="center"/>
          </w:tcPr>
          <w:p w14:paraId="7997B38C"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MEN-14</w:t>
            </w:r>
          </w:p>
        </w:tc>
        <w:tc>
          <w:tcPr>
            <w:tcW w:w="2832" w:type="dxa"/>
            <w:vAlign w:val="center"/>
          </w:tcPr>
          <w:p w14:paraId="4BCFEEF4"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Povećanje učinkovitosti sustava </w:t>
            </w:r>
            <w:proofErr w:type="spellStart"/>
            <w:r w:rsidRPr="006414E6">
              <w:rPr>
                <w:rFonts w:eastAsia="Times New Roman" w:cs="Times New Roman"/>
                <w:sz w:val="20"/>
                <w:lang w:eastAsia="hr-HR"/>
              </w:rPr>
              <w:t>toplinarstva</w:t>
            </w:r>
            <w:proofErr w:type="spellEnd"/>
          </w:p>
        </w:tc>
        <w:tc>
          <w:tcPr>
            <w:tcW w:w="9217" w:type="dxa"/>
            <w:vAlign w:val="center"/>
          </w:tcPr>
          <w:p w14:paraId="030EF277"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U postojećim velikim centraliziranim toplinskim sustavima veliki izvor gubitaka je dotrajala distribucijska mreža te se ovom mjerom predviđa nastavak zamjene </w:t>
            </w:r>
            <w:proofErr w:type="spellStart"/>
            <w:r w:rsidRPr="006414E6">
              <w:rPr>
                <w:rFonts w:eastAsia="Times New Roman" w:cs="Times New Roman"/>
                <w:sz w:val="20"/>
                <w:lang w:eastAsia="hr-HR"/>
              </w:rPr>
              <w:t>vrelovoda</w:t>
            </w:r>
            <w:proofErr w:type="spellEnd"/>
            <w:r w:rsidRPr="006414E6">
              <w:rPr>
                <w:rFonts w:eastAsia="Times New Roman" w:cs="Times New Roman"/>
                <w:sz w:val="20"/>
                <w:lang w:eastAsia="hr-HR"/>
              </w:rPr>
              <w:t xml:space="preserve"> i </w:t>
            </w:r>
            <w:proofErr w:type="spellStart"/>
            <w:r w:rsidRPr="006414E6">
              <w:rPr>
                <w:rFonts w:eastAsia="Times New Roman" w:cs="Times New Roman"/>
                <w:sz w:val="20"/>
                <w:lang w:eastAsia="hr-HR"/>
              </w:rPr>
              <w:t>parovoda</w:t>
            </w:r>
            <w:proofErr w:type="spellEnd"/>
            <w:r w:rsidRPr="006414E6">
              <w:rPr>
                <w:rFonts w:eastAsia="Times New Roman" w:cs="Times New Roman"/>
                <w:sz w:val="20"/>
                <w:lang w:eastAsia="hr-HR"/>
              </w:rPr>
              <w:t xml:space="preserve"> s dotrajalom izolacijom čeličnih cjevovoda novim </w:t>
            </w:r>
            <w:proofErr w:type="spellStart"/>
            <w:r w:rsidRPr="006414E6">
              <w:rPr>
                <w:rFonts w:eastAsia="Times New Roman" w:cs="Times New Roman"/>
                <w:sz w:val="20"/>
                <w:lang w:eastAsia="hr-HR"/>
              </w:rPr>
              <w:t>predizoliranim</w:t>
            </w:r>
            <w:proofErr w:type="spellEnd"/>
            <w:r w:rsidRPr="006414E6">
              <w:rPr>
                <w:rFonts w:eastAsia="Times New Roman" w:cs="Times New Roman"/>
                <w:sz w:val="20"/>
                <w:lang w:eastAsia="hr-HR"/>
              </w:rPr>
              <w:t xml:space="preserve"> cijevima i tehnološki pomak k četvrtoj generaciji daljinskog grijanja. U manjim sustavima s vlastitim kotlovnicama potrebno je omogućiti rekonstrukciju kotlovnica, poglavito zamjenom visokoučinkovitim </w:t>
            </w:r>
            <w:proofErr w:type="spellStart"/>
            <w:r w:rsidRPr="006414E6">
              <w:rPr>
                <w:rFonts w:eastAsia="Times New Roman" w:cs="Times New Roman"/>
                <w:sz w:val="20"/>
                <w:lang w:eastAsia="hr-HR"/>
              </w:rPr>
              <w:t>kogeneracijskim</w:t>
            </w:r>
            <w:proofErr w:type="spellEnd"/>
            <w:r w:rsidRPr="006414E6">
              <w:rPr>
                <w:rFonts w:eastAsia="Times New Roman" w:cs="Times New Roman"/>
                <w:sz w:val="20"/>
                <w:lang w:eastAsia="hr-HR"/>
              </w:rPr>
              <w:t xml:space="preserve"> sustavima ili sustavima koji koriste dizalice topline. Mjera također predviđa i razvoj novih sustava grijanja i hlađenja, koji koriste visokoučinkovitu kogeneraciju ili obnovljive izvore energije. S obzirom na odredbe Direktive 2018/2002 o energetskoj učinkovitosti, a posebice s uvođenjem obaveze individualnog mjerenja na razini krajnjeg potrošača, sustavi daljinskog grijanja su postali sustavi s promjenjivom potražnjom za toplinskom energijom što zahtijeva uvođenje sustava naprednog mjerenja kao dodatan korak integraciji različitih energetskih sustava i povećanju ukupne energetske učinkovitosti.</w:t>
            </w:r>
          </w:p>
        </w:tc>
      </w:tr>
      <w:tr w:rsidR="00B37DF8" w:rsidRPr="006414E6" w14:paraId="0BE8B0BB" w14:textId="77777777" w:rsidTr="00177077">
        <w:trPr>
          <w:trHeight w:val="340"/>
        </w:trPr>
        <w:tc>
          <w:tcPr>
            <w:tcW w:w="1129" w:type="dxa"/>
            <w:vAlign w:val="center"/>
          </w:tcPr>
          <w:p w14:paraId="7D05E235" w14:textId="77777777" w:rsidR="00B37DF8" w:rsidRPr="006414E6" w:rsidRDefault="00B37DF8" w:rsidP="00B37DF8">
            <w:pPr>
              <w:spacing w:line="240" w:lineRule="auto"/>
              <w:jc w:val="left"/>
              <w:rPr>
                <w:rFonts w:cs="Times New Roman"/>
                <w:sz w:val="20"/>
              </w:rPr>
            </w:pPr>
            <w:r w:rsidRPr="006414E6">
              <w:rPr>
                <w:rFonts w:cs="Times New Roman"/>
                <w:sz w:val="20"/>
              </w:rPr>
              <w:t>MEN-15</w:t>
            </w:r>
          </w:p>
        </w:tc>
        <w:tc>
          <w:tcPr>
            <w:tcW w:w="2832" w:type="dxa"/>
            <w:vAlign w:val="center"/>
          </w:tcPr>
          <w:p w14:paraId="65C3FDAB"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Povećanje učinkovitosti plinskog sustava</w:t>
            </w:r>
          </w:p>
        </w:tc>
        <w:tc>
          <w:tcPr>
            <w:tcW w:w="9217" w:type="dxa"/>
            <w:vAlign w:val="center"/>
          </w:tcPr>
          <w:p w14:paraId="2AE7710C" w14:textId="2DC2C56D"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Potencijal za povećanje energetske učinkovitosti transportnog plinskog sustava najveći je u potrošnji prirodnog plina, koji se najvećim dijelom (70%) troši za </w:t>
            </w:r>
            <w:proofErr w:type="spellStart"/>
            <w:r w:rsidRPr="006414E6">
              <w:rPr>
                <w:rFonts w:eastAsia="Times New Roman" w:cs="Times New Roman"/>
                <w:sz w:val="20"/>
                <w:lang w:eastAsia="hr-HR"/>
              </w:rPr>
              <w:t>predgrijavanje</w:t>
            </w:r>
            <w:proofErr w:type="spellEnd"/>
            <w:r w:rsidRPr="006414E6">
              <w:rPr>
                <w:rFonts w:eastAsia="Times New Roman" w:cs="Times New Roman"/>
                <w:sz w:val="20"/>
                <w:lang w:eastAsia="hr-HR"/>
              </w:rPr>
              <w:t xml:space="preserve"> prirodnog plina prije isporuke korisnicima, a samo manjim dijelom (30%) za grijanje poslovnih prostorija i različita tehnološka rasterećenja, odnosno ispuhivanje sustava. Plinacro će u narednom razdoblju provoditi aktivnosti za poboljšanje energetske učinkovitosti sukladno Desetogodišnjem planu razvoja plinskog transportnog sustava </w:t>
            </w:r>
            <w:r w:rsidR="00C05A82" w:rsidRPr="006414E6">
              <w:rPr>
                <w:rFonts w:eastAsia="Times New Roman" w:cs="Times New Roman"/>
                <w:sz w:val="20"/>
                <w:lang w:eastAsia="hr-HR"/>
              </w:rPr>
              <w:t>Republike Hrvatske</w:t>
            </w:r>
            <w:r w:rsidRPr="006414E6">
              <w:rPr>
                <w:rFonts w:eastAsia="Times New Roman" w:cs="Times New Roman"/>
                <w:sz w:val="20"/>
                <w:lang w:eastAsia="hr-HR"/>
              </w:rPr>
              <w:t xml:space="preserve"> 2018. -2027.</w:t>
            </w:r>
          </w:p>
        </w:tc>
      </w:tr>
      <w:tr w:rsidR="00B37DF8" w:rsidRPr="006414E6" w14:paraId="668C5D3B" w14:textId="77777777" w:rsidTr="00177077">
        <w:trPr>
          <w:trHeight w:val="340"/>
        </w:trPr>
        <w:tc>
          <w:tcPr>
            <w:tcW w:w="1129" w:type="dxa"/>
            <w:vAlign w:val="center"/>
          </w:tcPr>
          <w:p w14:paraId="78D0A177" w14:textId="77777777" w:rsidR="00B37DF8" w:rsidRPr="006414E6" w:rsidRDefault="00B37DF8" w:rsidP="00B37DF8">
            <w:pPr>
              <w:spacing w:line="240" w:lineRule="auto"/>
              <w:jc w:val="left"/>
              <w:rPr>
                <w:rFonts w:cs="Times New Roman"/>
                <w:sz w:val="20"/>
              </w:rPr>
            </w:pPr>
            <w:r w:rsidRPr="006414E6">
              <w:rPr>
                <w:rFonts w:cs="Times New Roman"/>
                <w:sz w:val="20"/>
              </w:rPr>
              <w:t>MEN-16</w:t>
            </w:r>
          </w:p>
        </w:tc>
        <w:tc>
          <w:tcPr>
            <w:tcW w:w="2832" w:type="dxa"/>
            <w:vAlign w:val="center"/>
          </w:tcPr>
          <w:p w14:paraId="76CF4086"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Informiranje, edukacija i povećanje kapaciteta za korištenje OIE</w:t>
            </w:r>
          </w:p>
        </w:tc>
        <w:tc>
          <w:tcPr>
            <w:tcW w:w="9217" w:type="dxa"/>
            <w:vAlign w:val="center"/>
          </w:tcPr>
          <w:p w14:paraId="07EB3CE9"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Informiranje opće javnosti i ciljnih skupina provodit će se organizacijom ciljanih info-kampanja vezanih uz investiranje u sustave koji koriste obnovljive izvore energije, posebice u sustave namijenjene za vlastite potrebe. Informiranje, edukacija i povećanje kapaciteta za korištenje OIE će se provoditi na nacionalnoj razini.</w:t>
            </w:r>
          </w:p>
        </w:tc>
      </w:tr>
      <w:tr w:rsidR="00B37DF8" w:rsidRPr="006414E6" w14:paraId="1EF8B78B" w14:textId="77777777" w:rsidTr="00177077">
        <w:trPr>
          <w:trHeight w:val="340"/>
        </w:trPr>
        <w:tc>
          <w:tcPr>
            <w:tcW w:w="1129" w:type="dxa"/>
            <w:vAlign w:val="center"/>
          </w:tcPr>
          <w:p w14:paraId="31E18F2E" w14:textId="77777777" w:rsidR="00B37DF8" w:rsidRPr="006414E6" w:rsidRDefault="00B37DF8" w:rsidP="00B37DF8">
            <w:pPr>
              <w:spacing w:line="240" w:lineRule="auto"/>
              <w:jc w:val="left"/>
              <w:rPr>
                <w:rFonts w:cs="Times New Roman"/>
                <w:sz w:val="20"/>
              </w:rPr>
            </w:pPr>
            <w:r w:rsidRPr="006414E6">
              <w:rPr>
                <w:rFonts w:cs="Times New Roman"/>
                <w:sz w:val="20"/>
              </w:rPr>
              <w:t>MEN-17</w:t>
            </w:r>
          </w:p>
        </w:tc>
        <w:tc>
          <w:tcPr>
            <w:tcW w:w="2832" w:type="dxa"/>
            <w:vAlign w:val="center"/>
          </w:tcPr>
          <w:p w14:paraId="353E9D05"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Prostorno-planski preduvjeti za korištenje OIE</w:t>
            </w:r>
          </w:p>
        </w:tc>
        <w:tc>
          <w:tcPr>
            <w:tcW w:w="9217" w:type="dxa"/>
            <w:vAlign w:val="center"/>
          </w:tcPr>
          <w:p w14:paraId="3E1AA355" w14:textId="241CA6BD"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Definiranje smjernica i kriterija za uređenje specifičnih prostorno-funkcionalnih elemenata za iskorištavanje OIE, unaprjeđenije i međusektorski usklađivanje prostorno-planskih uvjeta za utvrđivanje prostora pogodnih za izgradnju postrojenja na OIE na državnoj, županijskoj i lokalnoj razini. Usvojit će se smjernice i kriteriji za određivanje prostorno-planskih uvjeta za korištenje prostora namijenjenog izgradnji postrojenja za energetsko iskorištavanje OIE (specifičnih prostorno-funkcionalnih elementa u prostoru) te za eksploatacijska polja geotermalne vode za energetske svrhe. Uvjeti za određivanje lokacija i izgradnju OIE postrojenja integrirat će se u prostorne planove svih županija</w:t>
            </w:r>
            <w:r w:rsidR="00A235F6" w:rsidRPr="006414E6">
              <w:rPr>
                <w:rFonts w:eastAsia="Times New Roman" w:cs="Times New Roman"/>
                <w:sz w:val="20"/>
                <w:lang w:eastAsia="hr-HR"/>
              </w:rPr>
              <w:t xml:space="preserve"> i u Državni prostorni plan.</w:t>
            </w:r>
          </w:p>
        </w:tc>
      </w:tr>
      <w:tr w:rsidR="00B37DF8" w:rsidRPr="006414E6" w14:paraId="2D4044B2" w14:textId="77777777" w:rsidTr="00177077">
        <w:trPr>
          <w:trHeight w:val="340"/>
        </w:trPr>
        <w:tc>
          <w:tcPr>
            <w:tcW w:w="1129" w:type="dxa"/>
            <w:vAlign w:val="center"/>
          </w:tcPr>
          <w:p w14:paraId="46A603CC" w14:textId="77777777" w:rsidR="00B37DF8" w:rsidRPr="006414E6" w:rsidRDefault="00B37DF8" w:rsidP="00B37DF8">
            <w:pPr>
              <w:spacing w:line="240" w:lineRule="auto"/>
              <w:jc w:val="left"/>
              <w:rPr>
                <w:rFonts w:cs="Times New Roman"/>
                <w:sz w:val="20"/>
              </w:rPr>
            </w:pPr>
            <w:r w:rsidRPr="006414E6">
              <w:rPr>
                <w:rFonts w:cs="Times New Roman"/>
                <w:sz w:val="20"/>
              </w:rPr>
              <w:t>MEN-18</w:t>
            </w:r>
          </w:p>
        </w:tc>
        <w:tc>
          <w:tcPr>
            <w:tcW w:w="2832" w:type="dxa"/>
            <w:vAlign w:val="center"/>
          </w:tcPr>
          <w:p w14:paraId="69EC7AB4"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Poticanje korištenja OIE za proizvodnju električne i toplinske energije</w:t>
            </w:r>
          </w:p>
        </w:tc>
        <w:tc>
          <w:tcPr>
            <w:tcW w:w="9217" w:type="dxa"/>
            <w:vAlign w:val="center"/>
          </w:tcPr>
          <w:p w14:paraId="302C442D"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Osiguravanje financijskih poticaja za razvoj projekata korištenja OIE za proizvodnju električne i toplinske energije. Poticanje korištenja OIE za proizvodnju električne i toplinske energije će se provoditi na nacionalnoj razini.</w:t>
            </w:r>
          </w:p>
        </w:tc>
      </w:tr>
      <w:tr w:rsidR="00B37DF8" w:rsidRPr="006414E6" w14:paraId="77A5B0FC" w14:textId="77777777" w:rsidTr="00177077">
        <w:trPr>
          <w:trHeight w:val="340"/>
        </w:trPr>
        <w:tc>
          <w:tcPr>
            <w:tcW w:w="1129" w:type="dxa"/>
            <w:vAlign w:val="center"/>
          </w:tcPr>
          <w:p w14:paraId="15982C0B" w14:textId="77777777" w:rsidR="00B37DF8" w:rsidRPr="006414E6" w:rsidRDefault="00B37DF8" w:rsidP="00B37DF8">
            <w:pPr>
              <w:spacing w:line="240" w:lineRule="auto"/>
              <w:jc w:val="left"/>
              <w:rPr>
                <w:rFonts w:cs="Times New Roman"/>
                <w:sz w:val="20"/>
              </w:rPr>
            </w:pPr>
            <w:r w:rsidRPr="006414E6">
              <w:rPr>
                <w:rFonts w:cs="Times New Roman"/>
                <w:sz w:val="20"/>
              </w:rPr>
              <w:t>MEN-19</w:t>
            </w:r>
          </w:p>
        </w:tc>
        <w:tc>
          <w:tcPr>
            <w:tcW w:w="2832" w:type="dxa"/>
            <w:vAlign w:val="center"/>
          </w:tcPr>
          <w:p w14:paraId="09DE7180"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Razrada regulatornog okvira za korištenje OIE</w:t>
            </w:r>
          </w:p>
        </w:tc>
        <w:tc>
          <w:tcPr>
            <w:tcW w:w="9217" w:type="dxa"/>
            <w:vAlign w:val="center"/>
          </w:tcPr>
          <w:p w14:paraId="35B4E443"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Potrebno je dopuniti postojeći zakonski okvir i razraditi procedure i praksu. Cilj je do 2025. u potpunosti donijeti regulatorni okvir i uhodane procedure na nacionalnoj razini.</w:t>
            </w:r>
          </w:p>
        </w:tc>
      </w:tr>
      <w:tr w:rsidR="00B37DF8" w:rsidRPr="006414E6" w14:paraId="48B63E9C" w14:textId="77777777" w:rsidTr="00177077">
        <w:trPr>
          <w:trHeight w:val="340"/>
        </w:trPr>
        <w:tc>
          <w:tcPr>
            <w:tcW w:w="1129" w:type="dxa"/>
            <w:vAlign w:val="center"/>
          </w:tcPr>
          <w:p w14:paraId="2A839ACD"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MEN-20</w:t>
            </w:r>
          </w:p>
        </w:tc>
        <w:tc>
          <w:tcPr>
            <w:tcW w:w="2832" w:type="dxa"/>
            <w:vAlign w:val="center"/>
          </w:tcPr>
          <w:p w14:paraId="15D669A4" w14:textId="77777777" w:rsidR="00B37DF8" w:rsidRPr="006414E6" w:rsidRDefault="00B37DF8" w:rsidP="00B37DF8">
            <w:pPr>
              <w:spacing w:line="240" w:lineRule="auto"/>
              <w:jc w:val="left"/>
              <w:rPr>
                <w:rFonts w:cs="Times New Roman"/>
                <w:sz w:val="20"/>
              </w:rPr>
            </w:pPr>
            <w:r w:rsidRPr="006414E6">
              <w:rPr>
                <w:rFonts w:cs="Times New Roman"/>
                <w:sz w:val="20"/>
              </w:rPr>
              <w:t>Integrirano planiranje sigurnosti opskrbe energijom i energentima</w:t>
            </w:r>
          </w:p>
        </w:tc>
        <w:tc>
          <w:tcPr>
            <w:tcW w:w="9217" w:type="dxa"/>
            <w:vAlign w:val="center"/>
          </w:tcPr>
          <w:p w14:paraId="5D9F70C6"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Krovna mjera za povećanje energetske sigurnosti je integrirano planiranje sigurnosti opskrbe, u kontekstu svih energenata i svih energetskih sustava. Integrirano planiranje mora biti usuglašeno na lokalnoj, regionalnoj i nacionalnoj razini, te u skladu s energetskim planiranjem koje provode energetski subjekti za energetsku infrastrukturu po teritoriju RH. Osim toga, integrirano planiranje je potrebno uskladiti s planiranjem za alternativna goriva i infrastrukturu za alternativna goriva. To će se planiranje provoditi u okviru revizije Integriranog energetskog i klimatskog plana, koju je potrebno izraditi do 23. lipnja 2023. godine te u okviru izrade i revizije narednih planova. U tu je svrhu potrebno</w:t>
            </w:r>
            <w:r w:rsidR="005C20CB" w:rsidRPr="006414E6">
              <w:rPr>
                <w:rFonts w:eastAsia="Times New Roman" w:cs="Times New Roman"/>
                <w:sz w:val="20"/>
                <w:lang w:eastAsia="hr-HR"/>
              </w:rPr>
              <w:t xml:space="preserve"> analizirati</w:t>
            </w:r>
            <w:r w:rsidRPr="006414E6">
              <w:rPr>
                <w:rFonts w:eastAsia="Times New Roman" w:cs="Times New Roman"/>
                <w:sz w:val="20"/>
                <w:lang w:eastAsia="hr-HR"/>
              </w:rPr>
              <w:t xml:space="preserve"> postojeći regulatorni okvir</w:t>
            </w:r>
            <w:r w:rsidR="005C20CB" w:rsidRPr="006414E6">
              <w:rPr>
                <w:rFonts w:eastAsia="Times New Roman" w:cs="Times New Roman"/>
                <w:sz w:val="20"/>
                <w:lang w:eastAsia="hr-HR"/>
              </w:rPr>
              <w:t xml:space="preserve"> i po potrebi ga nadopuniti.</w:t>
            </w:r>
          </w:p>
        </w:tc>
      </w:tr>
      <w:tr w:rsidR="00B37DF8" w:rsidRPr="006414E6" w14:paraId="6DFBBD12" w14:textId="77777777" w:rsidTr="00177077">
        <w:trPr>
          <w:trHeight w:val="340"/>
        </w:trPr>
        <w:tc>
          <w:tcPr>
            <w:tcW w:w="1129" w:type="dxa"/>
            <w:vAlign w:val="center"/>
          </w:tcPr>
          <w:p w14:paraId="128CC8FB" w14:textId="77777777" w:rsidR="00B37DF8" w:rsidRPr="006414E6" w:rsidRDefault="00B37DF8" w:rsidP="00B37DF8">
            <w:pPr>
              <w:spacing w:line="240" w:lineRule="auto"/>
              <w:jc w:val="left"/>
              <w:rPr>
                <w:rFonts w:cs="Times New Roman"/>
                <w:sz w:val="20"/>
              </w:rPr>
            </w:pPr>
            <w:r w:rsidRPr="006414E6">
              <w:rPr>
                <w:rFonts w:cs="Times New Roman"/>
                <w:sz w:val="20"/>
              </w:rPr>
              <w:t>MEN-21</w:t>
            </w:r>
          </w:p>
        </w:tc>
        <w:tc>
          <w:tcPr>
            <w:tcW w:w="2832" w:type="dxa"/>
            <w:vAlign w:val="center"/>
          </w:tcPr>
          <w:p w14:paraId="3E0704A6" w14:textId="77777777" w:rsidR="00B37DF8" w:rsidRPr="006414E6" w:rsidRDefault="00B37DF8" w:rsidP="00B37DF8">
            <w:pPr>
              <w:spacing w:line="240" w:lineRule="auto"/>
              <w:jc w:val="left"/>
              <w:rPr>
                <w:rFonts w:cs="Times New Roman"/>
                <w:sz w:val="20"/>
              </w:rPr>
            </w:pPr>
            <w:r w:rsidRPr="006414E6">
              <w:rPr>
                <w:rFonts w:cs="Times New Roman"/>
                <w:sz w:val="20"/>
              </w:rPr>
              <w:t>Izgradnja i korištenje spremnika energije</w:t>
            </w:r>
          </w:p>
        </w:tc>
        <w:tc>
          <w:tcPr>
            <w:tcW w:w="9217" w:type="dxa"/>
            <w:vAlign w:val="center"/>
          </w:tcPr>
          <w:p w14:paraId="2E4A2860"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U svrhu povećanja mogućnosti skladištenja energije u sustavu i povećanih regulacijskih mogućnosti elektroenergetskog sustava, planirana je izgradnja dodatnih reverzibilnih elektrana snage 150 MW prije 2030. godine, zatim razvoj spremnika topline kod krajnjih kupaca, razvoj baterijskih spremnika, uvođenje punionica za električna vozila koje omogućuju skladištenje energije te korištenje drugih inovativnih tehnologija za pohranu energije (financiranih iz EU sredstava).</w:t>
            </w:r>
          </w:p>
        </w:tc>
      </w:tr>
      <w:tr w:rsidR="00B37DF8" w:rsidRPr="006414E6" w14:paraId="2D529969" w14:textId="77777777" w:rsidTr="00177077">
        <w:trPr>
          <w:trHeight w:val="340"/>
        </w:trPr>
        <w:tc>
          <w:tcPr>
            <w:tcW w:w="1129" w:type="dxa"/>
            <w:vAlign w:val="center"/>
          </w:tcPr>
          <w:p w14:paraId="6D913F57" w14:textId="77777777" w:rsidR="00B37DF8" w:rsidRPr="006414E6" w:rsidRDefault="00B37DF8" w:rsidP="00B37DF8">
            <w:pPr>
              <w:spacing w:line="240" w:lineRule="auto"/>
              <w:jc w:val="left"/>
              <w:rPr>
                <w:rFonts w:cs="Times New Roman"/>
                <w:sz w:val="20"/>
              </w:rPr>
            </w:pPr>
            <w:r w:rsidRPr="006414E6">
              <w:rPr>
                <w:rFonts w:cs="Times New Roman"/>
                <w:sz w:val="20"/>
              </w:rPr>
              <w:t>MEN-22</w:t>
            </w:r>
          </w:p>
        </w:tc>
        <w:tc>
          <w:tcPr>
            <w:tcW w:w="2832" w:type="dxa"/>
            <w:vAlign w:val="center"/>
          </w:tcPr>
          <w:p w14:paraId="7837EAB5" w14:textId="77777777" w:rsidR="00B37DF8" w:rsidRPr="006414E6" w:rsidRDefault="00B37DF8" w:rsidP="00B37DF8">
            <w:pPr>
              <w:spacing w:line="240" w:lineRule="auto"/>
              <w:jc w:val="left"/>
              <w:rPr>
                <w:rFonts w:cs="Times New Roman"/>
                <w:sz w:val="20"/>
              </w:rPr>
            </w:pPr>
            <w:r w:rsidRPr="006414E6">
              <w:rPr>
                <w:rFonts w:cs="Times New Roman"/>
                <w:sz w:val="20"/>
              </w:rPr>
              <w:t>Razvoj i održavanje sustava centralne proizvodnje toplinske energije</w:t>
            </w:r>
          </w:p>
        </w:tc>
        <w:tc>
          <w:tcPr>
            <w:tcW w:w="9217" w:type="dxa"/>
            <w:vAlign w:val="center"/>
          </w:tcPr>
          <w:p w14:paraId="1434169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Centralizirani toplinski sustavi određeni su kao jedan od prioriteta energetske politike RH, Najznačajniji potencijal za razvoj i unaprjeđenje postojećih centraliziranih toplinskih sustava je prvenstveno u povećanju energetske učinkovitosti proizvodnih jedinica, infrastrukture i opreme kod krajnjih korisnika te povećanjem pouzdanosti i sigurnosti opskrbe. Stoga se ovom mjerom previđa održavanje i unaprjeđenje postojećih CTS sustava, zaustavljanje trenda isključivanja korisnika sa sustava CTS-a, uvođenje spremnika topline na električnu energiju te korištenje OIE za CTS i zamjena postojeće proizvodnje CTS-a obnovljivim izvorima (npr. biogorivo), korištenje dizalica topline.</w:t>
            </w:r>
          </w:p>
        </w:tc>
      </w:tr>
      <w:tr w:rsidR="00B37DF8" w:rsidRPr="006414E6" w14:paraId="2DFE6E6A" w14:textId="77777777" w:rsidTr="00177077">
        <w:trPr>
          <w:trHeight w:val="340"/>
        </w:trPr>
        <w:tc>
          <w:tcPr>
            <w:tcW w:w="1129" w:type="dxa"/>
            <w:vAlign w:val="center"/>
          </w:tcPr>
          <w:p w14:paraId="54D417BA" w14:textId="77777777" w:rsidR="00B37DF8" w:rsidRPr="006414E6" w:rsidRDefault="00B37DF8" w:rsidP="00B37DF8">
            <w:pPr>
              <w:spacing w:line="240" w:lineRule="auto"/>
              <w:jc w:val="left"/>
              <w:rPr>
                <w:rFonts w:cs="Times New Roman"/>
                <w:sz w:val="20"/>
              </w:rPr>
            </w:pPr>
            <w:r w:rsidRPr="006414E6">
              <w:rPr>
                <w:rFonts w:cs="Times New Roman"/>
                <w:sz w:val="20"/>
              </w:rPr>
              <w:t>MEN-23</w:t>
            </w:r>
          </w:p>
        </w:tc>
        <w:tc>
          <w:tcPr>
            <w:tcW w:w="2832" w:type="dxa"/>
            <w:vAlign w:val="center"/>
          </w:tcPr>
          <w:p w14:paraId="679F1874" w14:textId="77777777" w:rsidR="00B37DF8" w:rsidRPr="006414E6" w:rsidRDefault="00B37DF8" w:rsidP="00B37DF8">
            <w:pPr>
              <w:spacing w:line="240" w:lineRule="auto"/>
              <w:jc w:val="left"/>
              <w:rPr>
                <w:rFonts w:cs="Times New Roman"/>
                <w:sz w:val="20"/>
              </w:rPr>
            </w:pPr>
            <w:r w:rsidRPr="006414E6">
              <w:rPr>
                <w:rFonts w:cs="Times New Roman"/>
                <w:sz w:val="20"/>
              </w:rPr>
              <w:t>Izgradnja terminala za UPP</w:t>
            </w:r>
          </w:p>
        </w:tc>
        <w:tc>
          <w:tcPr>
            <w:tcW w:w="9217" w:type="dxa"/>
            <w:vAlign w:val="center"/>
          </w:tcPr>
          <w:p w14:paraId="5D7A0AD5"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Veličina terminala za UPP ovisi o zainteresiranosti tržišta te je u prvoj fazi planirana izgradnja FSRU broda (brod za skladištenje i uplinjavanje plina) čija će maksimalna godišnja isporuka prirodnog plina iznositi do 2,6 milijarde kubičnih metara. Planirani maksimalni kapacitet isporuka prirodnog plina iz terminala, a posredno i njegova veličina i kapacitet uvjetovan je maksimalnim kapacitetom plinovodnog sustava koji bi uz izgradnju prvog dijela evakuacijskog plinovodnog sustava; plinovoda Omišalj-Zlobin, iznosio 7,2 mil.m3/dan. Izgradnjom nastavka evakuacijskog plinovoda Zlobin-Kozarac ukupni kapacitet terminala za UPP porastao bi na 12 mil.m3/dan, a dodatnom izgradnjom plinovoda Kozarac-</w:t>
            </w:r>
            <w:proofErr w:type="spellStart"/>
            <w:r w:rsidRPr="006414E6">
              <w:rPr>
                <w:rFonts w:eastAsia="Times New Roman" w:cs="Times New Roman"/>
                <w:sz w:val="20"/>
                <w:lang w:eastAsia="hr-HR"/>
              </w:rPr>
              <w:t>Slobodnica</w:t>
            </w:r>
            <w:proofErr w:type="spellEnd"/>
            <w:r w:rsidRPr="006414E6">
              <w:rPr>
                <w:rFonts w:eastAsia="Times New Roman" w:cs="Times New Roman"/>
                <w:sz w:val="20"/>
                <w:lang w:eastAsia="hr-HR"/>
              </w:rPr>
              <w:t xml:space="preserve"> kapacitet bi porastao na 19 mil.m3/dan. Procjenjuje se da bi ukupna investicija izgradnje prve faze terminala za UPP iznosila nešto više od 1,7 milijardi kuna, a planirano puštanje u pogon je 1.1.2021. godine.</w:t>
            </w:r>
          </w:p>
        </w:tc>
      </w:tr>
      <w:tr w:rsidR="00B37DF8" w:rsidRPr="006414E6" w14:paraId="47DEDED7" w14:textId="77777777" w:rsidTr="00177077">
        <w:trPr>
          <w:trHeight w:val="340"/>
        </w:trPr>
        <w:tc>
          <w:tcPr>
            <w:tcW w:w="1129" w:type="dxa"/>
            <w:vAlign w:val="center"/>
          </w:tcPr>
          <w:p w14:paraId="14DE949A" w14:textId="77777777" w:rsidR="00B37DF8" w:rsidRPr="006414E6" w:rsidRDefault="00B37DF8" w:rsidP="00B37DF8">
            <w:pPr>
              <w:spacing w:line="240" w:lineRule="auto"/>
              <w:jc w:val="left"/>
              <w:rPr>
                <w:rFonts w:cs="Times New Roman"/>
                <w:sz w:val="20"/>
              </w:rPr>
            </w:pPr>
            <w:r w:rsidRPr="006414E6">
              <w:rPr>
                <w:rFonts w:cs="Times New Roman"/>
                <w:sz w:val="20"/>
              </w:rPr>
              <w:t>MEN-24</w:t>
            </w:r>
          </w:p>
        </w:tc>
        <w:tc>
          <w:tcPr>
            <w:tcW w:w="2832" w:type="dxa"/>
            <w:vAlign w:val="center"/>
          </w:tcPr>
          <w:p w14:paraId="39F7A559"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Modernizacija rafinerija</w:t>
            </w:r>
          </w:p>
        </w:tc>
        <w:tc>
          <w:tcPr>
            <w:tcW w:w="9217" w:type="dxa"/>
            <w:vAlign w:val="center"/>
          </w:tcPr>
          <w:p w14:paraId="6C8F1328" w14:textId="77777777" w:rsidR="00B37DF8" w:rsidRPr="006414E6" w:rsidRDefault="00B37DF8" w:rsidP="00817C16">
            <w:pPr>
              <w:spacing w:line="240" w:lineRule="auto"/>
              <w:rPr>
                <w:rFonts w:cs="Times New Roman"/>
                <w:sz w:val="20"/>
              </w:rPr>
            </w:pPr>
            <w:r w:rsidRPr="006414E6">
              <w:rPr>
                <w:rFonts w:cs="Times New Roman"/>
                <w:sz w:val="20"/>
              </w:rPr>
              <w:t xml:space="preserve">Provedba investicija u modernizaciju i unaprjeđenje proizvodnje kako bi se održala konkurentnost rafinerija. </w:t>
            </w:r>
          </w:p>
        </w:tc>
      </w:tr>
      <w:tr w:rsidR="00B37DF8" w:rsidRPr="006414E6" w14:paraId="52BB6B70" w14:textId="77777777" w:rsidTr="00177077">
        <w:trPr>
          <w:trHeight w:val="340"/>
        </w:trPr>
        <w:tc>
          <w:tcPr>
            <w:tcW w:w="1129" w:type="dxa"/>
            <w:vAlign w:val="center"/>
          </w:tcPr>
          <w:p w14:paraId="4C17BAF1"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MEN-25</w:t>
            </w:r>
          </w:p>
        </w:tc>
        <w:tc>
          <w:tcPr>
            <w:tcW w:w="2832" w:type="dxa"/>
            <w:vAlign w:val="center"/>
          </w:tcPr>
          <w:p w14:paraId="456B8B6A"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Mjere povećanja energetske učinkovitosti unapređenjem procesa i procesnih jedinica</w:t>
            </w:r>
          </w:p>
        </w:tc>
        <w:tc>
          <w:tcPr>
            <w:tcW w:w="9217" w:type="dxa"/>
            <w:vAlign w:val="center"/>
          </w:tcPr>
          <w:p w14:paraId="49D02F8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Povećanje energetske učinkovitosti postiže se provođenjem mjera koje doprinose smanjenju energetske intenzivnosti putem racionalnijeg korištenja energije i sirovina i izmjenama proizvodnih procesa i opreme na crpnim stanicama i u rafinerijama što doprinosi smanjenju </w:t>
            </w:r>
            <w:proofErr w:type="spellStart"/>
            <w:r w:rsidRPr="006414E6">
              <w:rPr>
                <w:rFonts w:eastAsia="Times New Roman" w:cs="Times New Roman"/>
                <w:sz w:val="20"/>
                <w:lang w:eastAsia="hr-HR"/>
              </w:rPr>
              <w:t>fugitivnih</w:t>
            </w:r>
            <w:proofErr w:type="spellEnd"/>
            <w:r w:rsidRPr="006414E6">
              <w:rPr>
                <w:rFonts w:eastAsia="Times New Roman" w:cs="Times New Roman"/>
                <w:sz w:val="20"/>
                <w:lang w:eastAsia="hr-HR"/>
              </w:rPr>
              <w:t xml:space="preserve"> emisija.</w:t>
            </w:r>
          </w:p>
        </w:tc>
      </w:tr>
      <w:tr w:rsidR="00B37DF8" w:rsidRPr="006414E6" w14:paraId="5F1EB6EC" w14:textId="77777777" w:rsidTr="00177077">
        <w:trPr>
          <w:trHeight w:val="340"/>
        </w:trPr>
        <w:tc>
          <w:tcPr>
            <w:tcW w:w="1129" w:type="dxa"/>
            <w:vAlign w:val="center"/>
          </w:tcPr>
          <w:p w14:paraId="7B158006" w14:textId="77777777" w:rsidR="00B37DF8" w:rsidRPr="006414E6" w:rsidRDefault="00B37DF8" w:rsidP="00B37DF8">
            <w:pPr>
              <w:spacing w:line="240" w:lineRule="auto"/>
              <w:jc w:val="left"/>
              <w:rPr>
                <w:rFonts w:cs="Times New Roman"/>
                <w:sz w:val="20"/>
              </w:rPr>
            </w:pPr>
            <w:r w:rsidRPr="006414E6">
              <w:rPr>
                <w:rFonts w:cs="Times New Roman"/>
                <w:sz w:val="20"/>
              </w:rPr>
              <w:t>MEN-26</w:t>
            </w:r>
          </w:p>
        </w:tc>
        <w:tc>
          <w:tcPr>
            <w:tcW w:w="2832" w:type="dxa"/>
            <w:vAlign w:val="center"/>
          </w:tcPr>
          <w:p w14:paraId="02DD6C4E" w14:textId="77777777" w:rsidR="00B37DF8" w:rsidRPr="006414E6" w:rsidRDefault="00B37DF8" w:rsidP="00B37DF8">
            <w:pPr>
              <w:spacing w:line="240" w:lineRule="auto"/>
              <w:jc w:val="left"/>
              <w:rPr>
                <w:rFonts w:eastAsia="Times New Roman" w:cs="Times New Roman"/>
                <w:b/>
                <w:bCs/>
                <w:sz w:val="20"/>
                <w:lang w:eastAsia="hr-HR"/>
              </w:rPr>
            </w:pPr>
            <w:r w:rsidRPr="006414E6">
              <w:rPr>
                <w:rFonts w:eastAsia="Times New Roman" w:cs="Times New Roman"/>
                <w:bCs/>
                <w:sz w:val="20"/>
                <w:lang w:eastAsia="hr-HR"/>
              </w:rPr>
              <w:t>Spaljivanje metana na baklji</w:t>
            </w:r>
          </w:p>
        </w:tc>
        <w:tc>
          <w:tcPr>
            <w:tcW w:w="9217" w:type="dxa"/>
            <w:vAlign w:val="center"/>
          </w:tcPr>
          <w:p w14:paraId="0390A536" w14:textId="77777777" w:rsidR="00B37DF8" w:rsidRPr="006414E6" w:rsidRDefault="00B37DF8" w:rsidP="00817C16">
            <w:pPr>
              <w:spacing w:line="240" w:lineRule="auto"/>
              <w:rPr>
                <w:rFonts w:eastAsia="Times New Roman" w:cs="Times New Roman"/>
                <w:bCs/>
                <w:sz w:val="20"/>
                <w:lang w:eastAsia="hr-HR"/>
              </w:rPr>
            </w:pPr>
            <w:r w:rsidRPr="006414E6">
              <w:rPr>
                <w:rFonts w:eastAsia="Times New Roman" w:cs="Times New Roman"/>
                <w:bCs/>
                <w:sz w:val="20"/>
                <w:lang w:eastAsia="hr-HR"/>
              </w:rPr>
              <w:t xml:space="preserve">S ciljem smanjenja </w:t>
            </w:r>
            <w:proofErr w:type="spellStart"/>
            <w:r w:rsidRPr="006414E6">
              <w:rPr>
                <w:rFonts w:eastAsia="Times New Roman" w:cs="Times New Roman"/>
                <w:bCs/>
                <w:sz w:val="20"/>
                <w:lang w:eastAsia="hr-HR"/>
              </w:rPr>
              <w:t>fugitivnih</w:t>
            </w:r>
            <w:proofErr w:type="spellEnd"/>
            <w:r w:rsidRPr="006414E6">
              <w:rPr>
                <w:rFonts w:eastAsia="Times New Roman" w:cs="Times New Roman"/>
                <w:bCs/>
                <w:sz w:val="20"/>
                <w:lang w:eastAsia="hr-HR"/>
              </w:rPr>
              <w:t xml:space="preserve"> emisija, umjesto </w:t>
            </w:r>
            <w:proofErr w:type="spellStart"/>
            <w:r w:rsidRPr="006414E6">
              <w:rPr>
                <w:rFonts w:eastAsia="Times New Roman" w:cs="Times New Roman"/>
                <w:bCs/>
                <w:sz w:val="20"/>
                <w:lang w:eastAsia="hr-HR"/>
              </w:rPr>
              <w:t>otplinjavnja</w:t>
            </w:r>
            <w:proofErr w:type="spellEnd"/>
            <w:r w:rsidRPr="006414E6">
              <w:rPr>
                <w:rFonts w:eastAsia="Times New Roman" w:cs="Times New Roman"/>
                <w:bCs/>
                <w:sz w:val="20"/>
                <w:lang w:eastAsia="hr-HR"/>
              </w:rPr>
              <w:t xml:space="preserve"> metana, metan se spaljuje na baklji. Na taj način se emisije metana smanjuju za 95-99% ovisno o učinkovitosti baklji.</w:t>
            </w:r>
          </w:p>
        </w:tc>
      </w:tr>
      <w:tr w:rsidR="00B37DF8" w:rsidRPr="006414E6" w14:paraId="267FB659" w14:textId="77777777" w:rsidTr="00177077">
        <w:trPr>
          <w:trHeight w:val="340"/>
        </w:trPr>
        <w:tc>
          <w:tcPr>
            <w:tcW w:w="1129" w:type="dxa"/>
            <w:vAlign w:val="center"/>
          </w:tcPr>
          <w:p w14:paraId="385C764F" w14:textId="77777777" w:rsidR="00B37DF8" w:rsidRPr="006414E6" w:rsidRDefault="00B37DF8" w:rsidP="00B37DF8">
            <w:pPr>
              <w:spacing w:line="240" w:lineRule="auto"/>
              <w:jc w:val="left"/>
              <w:rPr>
                <w:rFonts w:cs="Times New Roman"/>
                <w:sz w:val="20"/>
              </w:rPr>
            </w:pPr>
            <w:r w:rsidRPr="006414E6">
              <w:rPr>
                <w:rFonts w:cs="Times New Roman"/>
                <w:sz w:val="20"/>
              </w:rPr>
              <w:t>MEN-27</w:t>
            </w:r>
          </w:p>
        </w:tc>
        <w:tc>
          <w:tcPr>
            <w:tcW w:w="2832" w:type="dxa"/>
            <w:vAlign w:val="center"/>
          </w:tcPr>
          <w:p w14:paraId="4E33858C" w14:textId="77777777" w:rsidR="00B37DF8" w:rsidRPr="006414E6" w:rsidRDefault="00B37DF8" w:rsidP="00B37DF8">
            <w:pPr>
              <w:spacing w:line="240" w:lineRule="auto"/>
              <w:jc w:val="left"/>
              <w:rPr>
                <w:rFonts w:cs="Times New Roman"/>
                <w:sz w:val="20"/>
              </w:rPr>
            </w:pPr>
            <w:r w:rsidRPr="006414E6">
              <w:rPr>
                <w:rFonts w:cs="Times New Roman"/>
                <w:sz w:val="20"/>
              </w:rPr>
              <w:t>Razvoj prijenosne elektroenergetske mreže</w:t>
            </w:r>
          </w:p>
        </w:tc>
        <w:tc>
          <w:tcPr>
            <w:tcW w:w="9217" w:type="dxa"/>
            <w:vAlign w:val="center"/>
          </w:tcPr>
          <w:p w14:paraId="29972553"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Hrvatski operator prijenosnog sustava d.o.o. (u daljnjem tekstu: HOPS) je prema Zakonu o energiji (Narodne novine, br. 120/12; 14/14; 95/15; 102/15, 68/16), energetski subjekt odgovoran za upravljanje, pogon i vođenje, održavanje, razvoj i izgradnju prijenosne elektroenergetske mreže. Na temelju Zakona o tržištu električne energije (Narodne novine, br. 22/13, 95/15 i 102/15, 68/18, 52/19), HOPS je kao vlasnik prijenosne mreže 110 kV do 400 kV, dužan izraditi i donijeti, uz prethodnu suglasnost Hrvatske energetske regulatorne agencije (u daljnjem tekstu: HERA), desetogodišnje, trogodišnje i jednogodišnje investicijske planove razvoja prijenosne mreže. Desetgodišnji planovi razvoja </w:t>
            </w:r>
            <w:proofErr w:type="spellStart"/>
            <w:r w:rsidRPr="006414E6">
              <w:rPr>
                <w:rFonts w:eastAsia="Times New Roman" w:cs="Times New Roman"/>
                <w:sz w:val="20"/>
                <w:lang w:eastAsia="hr-HR"/>
              </w:rPr>
              <w:t>noveliraju</w:t>
            </w:r>
            <w:proofErr w:type="spellEnd"/>
            <w:r w:rsidRPr="006414E6">
              <w:rPr>
                <w:rFonts w:eastAsia="Times New Roman" w:cs="Times New Roman"/>
                <w:sz w:val="20"/>
                <w:lang w:eastAsia="hr-HR"/>
              </w:rPr>
              <w:t xml:space="preserve"> se na godišnjoj razini. U trenutku usvajanja ovog dokumenta relevantan je bio Desetogodišnji plan razvoja prijenosne mreže 2019.-2028., s detaljnom razradom za početno trogodišnje i jednogodišnje razdoblje koji je HERA odobrila u srpnju 2019. godine. Plan će se kontinuirano ažurirati tijekom čitavog razdoblja provedbe ovog dokumenta.</w:t>
            </w:r>
          </w:p>
        </w:tc>
      </w:tr>
      <w:tr w:rsidR="00B37DF8" w:rsidRPr="006414E6" w14:paraId="06A40131" w14:textId="77777777" w:rsidTr="00177077">
        <w:trPr>
          <w:trHeight w:val="340"/>
        </w:trPr>
        <w:tc>
          <w:tcPr>
            <w:tcW w:w="1129" w:type="dxa"/>
            <w:vAlign w:val="center"/>
          </w:tcPr>
          <w:p w14:paraId="0C833BF8" w14:textId="77777777" w:rsidR="00B37DF8" w:rsidRPr="006414E6" w:rsidRDefault="00B37DF8" w:rsidP="00B37DF8">
            <w:pPr>
              <w:spacing w:line="240" w:lineRule="auto"/>
              <w:jc w:val="left"/>
              <w:rPr>
                <w:rFonts w:cs="Times New Roman"/>
                <w:sz w:val="20"/>
              </w:rPr>
            </w:pPr>
            <w:r w:rsidRPr="006414E6">
              <w:rPr>
                <w:rFonts w:cs="Times New Roman"/>
                <w:sz w:val="20"/>
              </w:rPr>
              <w:t>MEN-28</w:t>
            </w:r>
          </w:p>
        </w:tc>
        <w:tc>
          <w:tcPr>
            <w:tcW w:w="2832" w:type="dxa"/>
            <w:vAlign w:val="center"/>
          </w:tcPr>
          <w:p w14:paraId="21A03F16" w14:textId="77777777" w:rsidR="00B37DF8" w:rsidRPr="006414E6" w:rsidRDefault="00B37DF8" w:rsidP="00B37DF8">
            <w:pPr>
              <w:spacing w:line="240" w:lineRule="auto"/>
              <w:jc w:val="left"/>
              <w:rPr>
                <w:rFonts w:cs="Times New Roman"/>
                <w:sz w:val="20"/>
              </w:rPr>
            </w:pPr>
            <w:r w:rsidRPr="006414E6">
              <w:rPr>
                <w:rFonts w:cs="Times New Roman"/>
                <w:sz w:val="20"/>
              </w:rPr>
              <w:t>Razvoj plinskog transportnog sustava</w:t>
            </w:r>
          </w:p>
        </w:tc>
        <w:tc>
          <w:tcPr>
            <w:tcW w:w="9217" w:type="dxa"/>
            <w:vAlign w:val="center"/>
          </w:tcPr>
          <w:p w14:paraId="1BA0E5FE"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Planiranje razvoja transportnog sustava provodi se kroz izradu Desetogodišnjeg plana razvoja plinskog transportnog sustava, čija je izrada obveza operatora plinskog transportnog sustava na temelju Zakona o tržištu plina (Narodne novine, br. 18/18). Operator plinskog transportnog sustava je tvrtka Plinacro d.o.o. Desetgodišnji planovi razvoja plinskog transportnog sustava </w:t>
            </w:r>
            <w:proofErr w:type="spellStart"/>
            <w:r w:rsidRPr="006414E6">
              <w:rPr>
                <w:rFonts w:eastAsia="Times New Roman" w:cs="Times New Roman"/>
                <w:sz w:val="20"/>
                <w:lang w:eastAsia="hr-HR"/>
              </w:rPr>
              <w:t>noveliraju</w:t>
            </w:r>
            <w:proofErr w:type="spellEnd"/>
            <w:r w:rsidRPr="006414E6">
              <w:rPr>
                <w:rFonts w:eastAsia="Times New Roman" w:cs="Times New Roman"/>
                <w:sz w:val="20"/>
                <w:lang w:eastAsia="hr-HR"/>
              </w:rPr>
              <w:t xml:space="preserve"> se na godišnjoj razini, a odobrava ih HERA. U trenutku usvajanja ovog dokumenta relevantan je bio Desetogodišnji plan razvoja plinskog transportnog sustava Republike Hrvatske 2018.-2027. Plan će se kontinuirano ažurirati tijekom čitavog razdoblja provedbe ovog dokumenta.</w:t>
            </w:r>
          </w:p>
        </w:tc>
      </w:tr>
      <w:tr w:rsidR="00B37DF8" w:rsidRPr="006414E6" w14:paraId="47F406DA" w14:textId="77777777" w:rsidTr="00177077">
        <w:trPr>
          <w:trHeight w:val="340"/>
        </w:trPr>
        <w:tc>
          <w:tcPr>
            <w:tcW w:w="1129" w:type="dxa"/>
            <w:vAlign w:val="center"/>
          </w:tcPr>
          <w:p w14:paraId="5CCE65F4" w14:textId="77777777" w:rsidR="00B37DF8" w:rsidRPr="006414E6" w:rsidRDefault="00B37DF8" w:rsidP="00B37DF8">
            <w:pPr>
              <w:spacing w:line="240" w:lineRule="auto"/>
              <w:jc w:val="left"/>
              <w:rPr>
                <w:rFonts w:cs="Times New Roman"/>
                <w:sz w:val="20"/>
              </w:rPr>
            </w:pPr>
            <w:r w:rsidRPr="006414E6">
              <w:rPr>
                <w:rFonts w:cs="Times New Roman"/>
                <w:sz w:val="20"/>
              </w:rPr>
              <w:t>MEN-29</w:t>
            </w:r>
          </w:p>
        </w:tc>
        <w:tc>
          <w:tcPr>
            <w:tcW w:w="2832" w:type="dxa"/>
            <w:vAlign w:val="center"/>
          </w:tcPr>
          <w:p w14:paraId="752A2179" w14:textId="77777777" w:rsidR="00B37DF8" w:rsidRPr="006414E6" w:rsidRDefault="00B37DF8" w:rsidP="00B37DF8">
            <w:pPr>
              <w:spacing w:line="240" w:lineRule="auto"/>
              <w:jc w:val="left"/>
              <w:rPr>
                <w:rFonts w:cs="Times New Roman"/>
                <w:sz w:val="20"/>
              </w:rPr>
            </w:pPr>
            <w:r w:rsidRPr="006414E6">
              <w:rPr>
                <w:rFonts w:cs="Times New Roman"/>
                <w:sz w:val="20"/>
              </w:rPr>
              <w:t>Razrada regulatornog okvira za aktivno sudjelovanje korisnika mreže na tržištu električne energije</w:t>
            </w:r>
          </w:p>
        </w:tc>
        <w:tc>
          <w:tcPr>
            <w:tcW w:w="9217" w:type="dxa"/>
            <w:vAlign w:val="center"/>
          </w:tcPr>
          <w:p w14:paraId="6C53050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Kako bi se omogućila aktivna uloga korisnika mreže na tržištu električne energije potrebno na odgovarajući način izmijeniti i dopuniti postojeći regulatorni okvir, poglavito kroz uvođenje </w:t>
            </w:r>
            <w:proofErr w:type="spellStart"/>
            <w:r w:rsidRPr="006414E6">
              <w:rPr>
                <w:rFonts w:eastAsia="Times New Roman" w:cs="Times New Roman"/>
                <w:sz w:val="20"/>
                <w:lang w:eastAsia="hr-HR"/>
              </w:rPr>
              <w:t>agregatora</w:t>
            </w:r>
            <w:proofErr w:type="spellEnd"/>
            <w:r w:rsidRPr="006414E6">
              <w:rPr>
                <w:rFonts w:eastAsia="Times New Roman" w:cs="Times New Roman"/>
                <w:sz w:val="20"/>
                <w:lang w:eastAsia="hr-HR"/>
              </w:rPr>
              <w:t xml:space="preserve"> kao tržišnog sudionika te kroz omogućavanje pokretanja pilot projekta pružanja pomoćnih usluga. Pilot projektima detaljno će se analizirati usluge koje korisnici mogu pružati operatoru distribucijskog odnosno prijenosnog elektroenergetskog sustava. Analizirat će se moguće vrste, opseg, način i razdoblje pružanja pomoćnih usluga. Identificirat će se prepreke korištenju pomoćnih usluga i predložiti načini njihova uklanjanja. Prethodno će se provesti analiza potencijala za pružanje pomoćnih usluga i usluga fleksibilnosti odzivom potrošnje kod korisnika mreže na temelju koje će se definirati način i model pružanja pomoćnih usluga i odziva potrošnje od korisnika mreže.</w:t>
            </w:r>
          </w:p>
        </w:tc>
      </w:tr>
      <w:tr w:rsidR="00B37DF8" w:rsidRPr="006414E6" w14:paraId="253A724C" w14:textId="77777777" w:rsidTr="00177077">
        <w:trPr>
          <w:trHeight w:val="340"/>
        </w:trPr>
        <w:tc>
          <w:tcPr>
            <w:tcW w:w="1129" w:type="dxa"/>
            <w:vAlign w:val="center"/>
          </w:tcPr>
          <w:p w14:paraId="77B7AD09"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MEN-30</w:t>
            </w:r>
          </w:p>
        </w:tc>
        <w:tc>
          <w:tcPr>
            <w:tcW w:w="2832" w:type="dxa"/>
            <w:vAlign w:val="center"/>
          </w:tcPr>
          <w:p w14:paraId="5C763C49" w14:textId="77777777" w:rsidR="00B37DF8" w:rsidRPr="006414E6" w:rsidRDefault="00B37DF8" w:rsidP="00B37DF8">
            <w:pPr>
              <w:spacing w:line="240" w:lineRule="auto"/>
              <w:jc w:val="left"/>
              <w:rPr>
                <w:rFonts w:cs="Times New Roman"/>
                <w:sz w:val="20"/>
              </w:rPr>
            </w:pPr>
            <w:r w:rsidRPr="006414E6">
              <w:rPr>
                <w:rFonts w:cs="Times New Roman"/>
                <w:sz w:val="20"/>
              </w:rPr>
              <w:t>Uvođenje naprednih sustava mjerenja potrošnje i upravljanja mjernim podacima</w:t>
            </w:r>
          </w:p>
        </w:tc>
        <w:tc>
          <w:tcPr>
            <w:tcW w:w="9217" w:type="dxa"/>
            <w:vAlign w:val="center"/>
          </w:tcPr>
          <w:p w14:paraId="3EF3ACD6"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Kako bi se omogućio daljnji razvoj energetskih tržišta i aktivna uloga kupaca energije na energetskim tržištima, planira se uvođenje naprednih mjernih uređaja i sustava na razini potrošnje.</w:t>
            </w:r>
          </w:p>
        </w:tc>
      </w:tr>
      <w:tr w:rsidR="00B37DF8" w:rsidRPr="006414E6" w14:paraId="6DA8202E" w14:textId="77777777" w:rsidTr="00177077">
        <w:trPr>
          <w:trHeight w:val="340"/>
        </w:trPr>
        <w:tc>
          <w:tcPr>
            <w:tcW w:w="1129" w:type="dxa"/>
            <w:vAlign w:val="center"/>
          </w:tcPr>
          <w:p w14:paraId="4E3F9E4E" w14:textId="77777777" w:rsidR="00B37DF8" w:rsidRPr="006414E6" w:rsidRDefault="00B37DF8" w:rsidP="00B37DF8">
            <w:pPr>
              <w:spacing w:line="240" w:lineRule="auto"/>
              <w:jc w:val="left"/>
              <w:rPr>
                <w:rFonts w:cs="Times New Roman"/>
                <w:sz w:val="20"/>
              </w:rPr>
            </w:pPr>
            <w:r w:rsidRPr="006414E6">
              <w:rPr>
                <w:rFonts w:cs="Times New Roman"/>
                <w:sz w:val="20"/>
              </w:rPr>
              <w:t>MEN-31</w:t>
            </w:r>
          </w:p>
        </w:tc>
        <w:tc>
          <w:tcPr>
            <w:tcW w:w="2832" w:type="dxa"/>
            <w:vAlign w:val="center"/>
          </w:tcPr>
          <w:p w14:paraId="79A90839" w14:textId="77777777" w:rsidR="00B37DF8" w:rsidRPr="006414E6" w:rsidRDefault="00B37DF8" w:rsidP="00B37DF8">
            <w:pPr>
              <w:spacing w:line="240" w:lineRule="auto"/>
              <w:jc w:val="left"/>
              <w:rPr>
                <w:rFonts w:cs="Times New Roman"/>
                <w:sz w:val="20"/>
              </w:rPr>
            </w:pPr>
            <w:r w:rsidRPr="006414E6">
              <w:rPr>
                <w:rFonts w:cs="Times New Roman"/>
                <w:sz w:val="20"/>
              </w:rPr>
              <w:t>Usvajanje i provedba Programa suzbijanja energetskog siromaštva</w:t>
            </w:r>
          </w:p>
        </w:tc>
        <w:tc>
          <w:tcPr>
            <w:tcW w:w="9217" w:type="dxa"/>
            <w:vAlign w:val="center"/>
          </w:tcPr>
          <w:p w14:paraId="64AD7681"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Ublažavanje energetskog siromaštva i stupnja ugroženosti njime; uspostava sustava praćenja energetskog siromaštva.</w:t>
            </w:r>
          </w:p>
        </w:tc>
      </w:tr>
      <w:tr w:rsidR="00C81938" w:rsidRPr="006414E6" w14:paraId="7DF6F5EC" w14:textId="77777777" w:rsidTr="00177077">
        <w:trPr>
          <w:trHeight w:val="340"/>
        </w:trPr>
        <w:tc>
          <w:tcPr>
            <w:tcW w:w="13178" w:type="dxa"/>
            <w:gridSpan w:val="3"/>
            <w:vAlign w:val="center"/>
          </w:tcPr>
          <w:p w14:paraId="65E78570" w14:textId="77777777" w:rsidR="00C81938" w:rsidRPr="006414E6" w:rsidRDefault="00C81938" w:rsidP="00817C16">
            <w:pPr>
              <w:spacing w:line="240" w:lineRule="auto"/>
              <w:rPr>
                <w:rFonts w:eastAsia="Times New Roman" w:cs="Times New Roman"/>
                <w:b/>
                <w:sz w:val="20"/>
                <w:lang w:eastAsia="hr-HR"/>
              </w:rPr>
            </w:pPr>
            <w:r w:rsidRPr="006414E6">
              <w:rPr>
                <w:rFonts w:cs="Times New Roman"/>
                <w:b/>
                <w:sz w:val="20"/>
              </w:rPr>
              <w:t>PROMET</w:t>
            </w:r>
          </w:p>
        </w:tc>
      </w:tr>
      <w:tr w:rsidR="00B37DF8" w:rsidRPr="006414E6" w14:paraId="5FF43080" w14:textId="77777777" w:rsidTr="00177077">
        <w:trPr>
          <w:trHeight w:val="340"/>
        </w:trPr>
        <w:tc>
          <w:tcPr>
            <w:tcW w:w="1129" w:type="dxa"/>
            <w:vAlign w:val="center"/>
          </w:tcPr>
          <w:p w14:paraId="06454F95" w14:textId="77777777" w:rsidR="00B37DF8" w:rsidRPr="006414E6" w:rsidRDefault="00B37DF8" w:rsidP="00B37DF8">
            <w:pPr>
              <w:spacing w:line="240" w:lineRule="auto"/>
              <w:jc w:val="left"/>
              <w:rPr>
                <w:rFonts w:cs="Times New Roman"/>
                <w:sz w:val="20"/>
              </w:rPr>
            </w:pPr>
            <w:r w:rsidRPr="006414E6">
              <w:rPr>
                <w:rFonts w:cs="Times New Roman"/>
                <w:sz w:val="20"/>
              </w:rPr>
              <w:t>MTR-1</w:t>
            </w:r>
          </w:p>
        </w:tc>
        <w:tc>
          <w:tcPr>
            <w:tcW w:w="2832" w:type="dxa"/>
            <w:vAlign w:val="center"/>
          </w:tcPr>
          <w:p w14:paraId="2C0AA986" w14:textId="77777777" w:rsidR="00B37DF8" w:rsidRPr="006414E6" w:rsidRDefault="00B37DF8" w:rsidP="00B37DF8">
            <w:pPr>
              <w:spacing w:line="240" w:lineRule="auto"/>
              <w:jc w:val="left"/>
              <w:rPr>
                <w:rFonts w:cs="Times New Roman"/>
                <w:sz w:val="20"/>
              </w:rPr>
            </w:pPr>
            <w:r w:rsidRPr="006414E6">
              <w:rPr>
                <w:rFonts w:cs="Times New Roman"/>
                <w:sz w:val="20"/>
              </w:rPr>
              <w:t>Informiranje potrošača o ekonomičnosti potrošnje goriva i emisiji CO</w:t>
            </w:r>
            <w:r w:rsidRPr="006414E6">
              <w:rPr>
                <w:rFonts w:cs="Times New Roman"/>
                <w:sz w:val="20"/>
                <w:vertAlign w:val="subscript"/>
              </w:rPr>
              <w:t>2</w:t>
            </w:r>
            <w:r w:rsidRPr="006414E6">
              <w:rPr>
                <w:rFonts w:cs="Times New Roman"/>
                <w:sz w:val="20"/>
              </w:rPr>
              <w:t xml:space="preserve"> novih osobnih automobila</w:t>
            </w:r>
          </w:p>
        </w:tc>
        <w:tc>
          <w:tcPr>
            <w:tcW w:w="9217" w:type="dxa"/>
            <w:vAlign w:val="center"/>
          </w:tcPr>
          <w:p w14:paraId="30163B78"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Sukladno Pravilniku o dostupnosti podataka o ekonomičnosti potrošnje goriva i emisiji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iz novih putničkih vozila (Narodne novine, br. 7/15) svaki dobavljač novih osobnih vozila namijenjenih prodaji dužan je omogućiti potrošačima dostupne informacije o razini potrošnje goriva i specifičnoj emisiji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putničkih vozila. Ministarstvo unutarnjih poslova, kao središnje tijelo državne uprave nadležno za sigurnost cestovnog prometa, na osnovi Pravilnika jedanput godišnje, najkasnije do 31. ožujka tekuće godine izrađuje Vodič o ekonomičnosti potrošnje goriva i emisiji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novih osobnih automobila koji su dostupni za kupovinu na tržištu u Republici Hrvatskoj. Vodič sadrži potrebne podatke za svaki model novih osobnih automobila dostupnih na domaćem tržištu.</w:t>
            </w:r>
          </w:p>
        </w:tc>
      </w:tr>
      <w:tr w:rsidR="00B37DF8" w:rsidRPr="006414E6" w14:paraId="08890E2B" w14:textId="77777777" w:rsidTr="00177077">
        <w:trPr>
          <w:trHeight w:val="340"/>
        </w:trPr>
        <w:tc>
          <w:tcPr>
            <w:tcW w:w="1129" w:type="dxa"/>
            <w:vAlign w:val="center"/>
          </w:tcPr>
          <w:p w14:paraId="35F58A66" w14:textId="77777777" w:rsidR="00B37DF8" w:rsidRPr="006414E6" w:rsidRDefault="00B37DF8" w:rsidP="00B37DF8">
            <w:pPr>
              <w:spacing w:line="240" w:lineRule="auto"/>
              <w:jc w:val="left"/>
              <w:rPr>
                <w:rFonts w:cs="Times New Roman"/>
                <w:sz w:val="20"/>
              </w:rPr>
            </w:pPr>
            <w:r w:rsidRPr="006414E6">
              <w:rPr>
                <w:rFonts w:cs="Times New Roman"/>
                <w:sz w:val="20"/>
              </w:rPr>
              <w:t>MTR-2</w:t>
            </w:r>
          </w:p>
        </w:tc>
        <w:tc>
          <w:tcPr>
            <w:tcW w:w="2832" w:type="dxa"/>
            <w:vAlign w:val="center"/>
          </w:tcPr>
          <w:p w14:paraId="27CB341D" w14:textId="77777777" w:rsidR="00B37DF8" w:rsidRPr="006414E6" w:rsidRDefault="00B37DF8" w:rsidP="00B37DF8">
            <w:pPr>
              <w:spacing w:line="240" w:lineRule="auto"/>
              <w:jc w:val="left"/>
              <w:rPr>
                <w:rFonts w:cs="Times New Roman"/>
                <w:sz w:val="20"/>
              </w:rPr>
            </w:pPr>
            <w:r w:rsidRPr="006414E6">
              <w:rPr>
                <w:rFonts w:cs="Times New Roman"/>
                <w:sz w:val="20"/>
              </w:rPr>
              <w:t>Posebna naknada za okoliš za vozila na motorni pogon</w:t>
            </w:r>
          </w:p>
        </w:tc>
        <w:tc>
          <w:tcPr>
            <w:tcW w:w="9217" w:type="dxa"/>
            <w:vAlign w:val="center"/>
          </w:tcPr>
          <w:p w14:paraId="399AF3D5"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Postojeći sustav plaćanja posebne naknade za okoliš na motornim vozilima uređen je Zakonom o Fondu za zaštitu okoliša i energetsku učinkovitost (Narodne novine, br. 107/03, 144/12), Uredbom o jediničnim naknadama, korektivnim koeficijentima i pobližim kriterijima i mjerilima za utvrđivanje posebne naknade za okoliš na vozila na motorni pogon (Narodne novine, br. 114/14, 147/14). Posebna naknada naplaćuje se uzimajući u obzir vrstu motora i goriva, radni volumen motora, vrstu vozila, emisiju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i starost vozila.</w:t>
            </w:r>
          </w:p>
        </w:tc>
      </w:tr>
      <w:tr w:rsidR="00B37DF8" w:rsidRPr="006414E6" w14:paraId="4B77B003" w14:textId="77777777" w:rsidTr="00177077">
        <w:trPr>
          <w:trHeight w:val="340"/>
        </w:trPr>
        <w:tc>
          <w:tcPr>
            <w:tcW w:w="1129" w:type="dxa"/>
            <w:vAlign w:val="center"/>
          </w:tcPr>
          <w:p w14:paraId="0CF14EA8" w14:textId="77777777" w:rsidR="00B37DF8" w:rsidRPr="006414E6" w:rsidRDefault="00B37DF8" w:rsidP="00B37DF8">
            <w:pPr>
              <w:spacing w:line="240" w:lineRule="auto"/>
              <w:jc w:val="left"/>
              <w:rPr>
                <w:rFonts w:cs="Times New Roman"/>
                <w:sz w:val="20"/>
              </w:rPr>
            </w:pPr>
            <w:r w:rsidRPr="006414E6">
              <w:rPr>
                <w:rFonts w:cs="Times New Roman"/>
                <w:sz w:val="20"/>
              </w:rPr>
              <w:t>MTR-3</w:t>
            </w:r>
          </w:p>
        </w:tc>
        <w:tc>
          <w:tcPr>
            <w:tcW w:w="2832" w:type="dxa"/>
            <w:vAlign w:val="center"/>
          </w:tcPr>
          <w:p w14:paraId="20633E01" w14:textId="77777777" w:rsidR="00B37DF8" w:rsidRPr="006414E6" w:rsidRDefault="00B37DF8" w:rsidP="00B37DF8">
            <w:pPr>
              <w:spacing w:line="240" w:lineRule="auto"/>
              <w:jc w:val="left"/>
              <w:rPr>
                <w:rFonts w:cs="Times New Roman"/>
                <w:sz w:val="20"/>
              </w:rPr>
            </w:pPr>
            <w:r w:rsidRPr="006414E6">
              <w:rPr>
                <w:rFonts w:cs="Times New Roman"/>
                <w:sz w:val="20"/>
              </w:rPr>
              <w:t>Posebni porez za motorna vozila</w:t>
            </w:r>
          </w:p>
        </w:tc>
        <w:tc>
          <w:tcPr>
            <w:tcW w:w="9217" w:type="dxa"/>
            <w:vAlign w:val="center"/>
          </w:tcPr>
          <w:p w14:paraId="1A4E5DF8"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Bazirajući se na načelu „onečišćivač plaća“, model obračuna temelji se na emisiji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u zrak iz motornih vozila. Posebni porez utvrđuje se na temelju prodajne, odnosno tržišne cijene motornog vozila, emisije CO</w:t>
            </w:r>
            <w:r w:rsidRPr="006414E6">
              <w:rPr>
                <w:rFonts w:eastAsia="Times New Roman" w:cs="Times New Roman"/>
                <w:sz w:val="20"/>
                <w:vertAlign w:val="subscript"/>
                <w:lang w:eastAsia="hr-HR"/>
              </w:rPr>
              <w:t>2</w:t>
            </w:r>
            <w:r w:rsidRPr="006414E6">
              <w:rPr>
                <w:rFonts w:eastAsia="Times New Roman" w:cs="Times New Roman"/>
                <w:sz w:val="20"/>
                <w:lang w:eastAsia="hr-HR"/>
              </w:rPr>
              <w:t xml:space="preserve"> izražene u gramima po kilometru, obujmu motora u kubičnim centimetrima i razini emisije stakleničkih plinova. Ovim posebnim porezom potiče se kupovina učinkovitih vozila i vozila s manjim emisijama stakleničkih plinova. Donošenjem Zakona o posebnom porezu na motorna vozila (Narodne novine, br. 15/13, 108/13, 115/16, 127/17) osigurana je primjena i provođenje mjere.</w:t>
            </w:r>
          </w:p>
        </w:tc>
      </w:tr>
      <w:tr w:rsidR="00B37DF8" w:rsidRPr="006414E6" w14:paraId="6F720A62" w14:textId="77777777" w:rsidTr="00177077">
        <w:trPr>
          <w:trHeight w:val="340"/>
        </w:trPr>
        <w:tc>
          <w:tcPr>
            <w:tcW w:w="1129" w:type="dxa"/>
            <w:vAlign w:val="center"/>
          </w:tcPr>
          <w:p w14:paraId="49A8306A" w14:textId="77777777" w:rsidR="00B37DF8" w:rsidRPr="006414E6" w:rsidRDefault="00B37DF8" w:rsidP="00B37DF8">
            <w:pPr>
              <w:spacing w:line="240" w:lineRule="auto"/>
              <w:jc w:val="left"/>
              <w:rPr>
                <w:rFonts w:cs="Times New Roman"/>
                <w:sz w:val="20"/>
              </w:rPr>
            </w:pPr>
            <w:r w:rsidRPr="006414E6">
              <w:rPr>
                <w:rFonts w:cs="Times New Roman"/>
                <w:sz w:val="20"/>
              </w:rPr>
              <w:t>MTR-4</w:t>
            </w:r>
          </w:p>
        </w:tc>
        <w:tc>
          <w:tcPr>
            <w:tcW w:w="2832" w:type="dxa"/>
            <w:vAlign w:val="center"/>
          </w:tcPr>
          <w:p w14:paraId="54563DBB" w14:textId="77777777" w:rsidR="00B37DF8" w:rsidRPr="006414E6" w:rsidRDefault="00B37DF8" w:rsidP="00B37DF8">
            <w:pPr>
              <w:spacing w:line="240" w:lineRule="auto"/>
              <w:jc w:val="left"/>
              <w:rPr>
                <w:rFonts w:cs="Times New Roman"/>
                <w:sz w:val="20"/>
              </w:rPr>
            </w:pPr>
            <w:r w:rsidRPr="006414E6">
              <w:rPr>
                <w:rFonts w:cs="Times New Roman"/>
                <w:sz w:val="20"/>
              </w:rPr>
              <w:t>Praćenje, izvještavanje i verifikacija emisija stakleničkih plinova u životnom vijeku goriva i energije</w:t>
            </w:r>
          </w:p>
        </w:tc>
        <w:tc>
          <w:tcPr>
            <w:tcW w:w="9217" w:type="dxa"/>
            <w:vAlign w:val="center"/>
          </w:tcPr>
          <w:p w14:paraId="0B8B0601"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U skladu sa Zakonom o </w:t>
            </w:r>
            <w:r w:rsidRPr="006414E6">
              <w:rPr>
                <w:rFonts w:cs="Times New Roman"/>
                <w:sz w:val="20"/>
              </w:rPr>
              <w:t xml:space="preserve">klimatskim promjenama i zaštiti ozonskog sloja </w:t>
            </w:r>
            <w:r w:rsidRPr="006414E6">
              <w:rPr>
                <w:rFonts w:eastAsia="Times New Roman" w:cs="Times New Roman"/>
                <w:sz w:val="20"/>
                <w:lang w:eastAsia="hr-HR"/>
              </w:rPr>
              <w:t xml:space="preserve">(Narodne novine, br. 127/19), dobavljač koji stavlja gorivo na domaće tržište će pratiti emisije stakleničkih plinova po jedinici energije za vrijeme trajanja goriva. Dobavljači trebaju sastaviti izvješće koje treba biti verificirano i dostavljeno Ministarstvu zaštite okoliša i prirode (nekadašnjoj Hrvatskoj agenciji za okoliš i prirodu). </w:t>
            </w:r>
          </w:p>
        </w:tc>
      </w:tr>
      <w:tr w:rsidR="00B37DF8" w:rsidRPr="006414E6" w14:paraId="6D50D0C5" w14:textId="77777777" w:rsidTr="00177077">
        <w:trPr>
          <w:trHeight w:val="340"/>
        </w:trPr>
        <w:tc>
          <w:tcPr>
            <w:tcW w:w="1129" w:type="dxa"/>
            <w:vAlign w:val="center"/>
          </w:tcPr>
          <w:p w14:paraId="05055062"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MTR-5</w:t>
            </w:r>
          </w:p>
        </w:tc>
        <w:tc>
          <w:tcPr>
            <w:tcW w:w="2832" w:type="dxa"/>
            <w:vAlign w:val="center"/>
          </w:tcPr>
          <w:p w14:paraId="37E97FF7" w14:textId="77777777" w:rsidR="00B37DF8" w:rsidRPr="006414E6" w:rsidRDefault="00B37DF8" w:rsidP="00B37DF8">
            <w:pPr>
              <w:spacing w:line="240" w:lineRule="auto"/>
              <w:jc w:val="left"/>
              <w:rPr>
                <w:rFonts w:cs="Times New Roman"/>
                <w:sz w:val="20"/>
              </w:rPr>
            </w:pPr>
            <w:r w:rsidRPr="006414E6">
              <w:rPr>
                <w:rFonts w:cs="Times New Roman"/>
                <w:sz w:val="20"/>
              </w:rPr>
              <w:t>Zakonodavne prilagodbe za čišći promet</w:t>
            </w:r>
          </w:p>
        </w:tc>
        <w:tc>
          <w:tcPr>
            <w:tcW w:w="9217" w:type="dxa"/>
            <w:vAlign w:val="center"/>
          </w:tcPr>
          <w:p w14:paraId="13DF01B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Kroz izmjene i dopune zakona i podzakonskih akata osigurati razvoj infrastrukture za alternativna goriva, podizanje udjela obnovljivih izvora u neposrednoj potrošnji energije u prometu te promicanje čistih i energetski učinkovitih vozila u cestovnom prijevozu. </w:t>
            </w:r>
          </w:p>
        </w:tc>
      </w:tr>
      <w:tr w:rsidR="00B37DF8" w:rsidRPr="006414E6" w14:paraId="3A749FEA" w14:textId="77777777" w:rsidTr="00177077">
        <w:trPr>
          <w:trHeight w:val="340"/>
        </w:trPr>
        <w:tc>
          <w:tcPr>
            <w:tcW w:w="1129" w:type="dxa"/>
            <w:vAlign w:val="center"/>
          </w:tcPr>
          <w:p w14:paraId="5065FDDE" w14:textId="77777777" w:rsidR="00B37DF8" w:rsidRPr="006414E6" w:rsidRDefault="00B37DF8" w:rsidP="00B37DF8">
            <w:pPr>
              <w:spacing w:line="240" w:lineRule="auto"/>
              <w:jc w:val="left"/>
              <w:rPr>
                <w:rFonts w:cs="Times New Roman"/>
                <w:sz w:val="20"/>
              </w:rPr>
            </w:pPr>
            <w:r w:rsidRPr="006414E6">
              <w:rPr>
                <w:rFonts w:cs="Times New Roman"/>
                <w:sz w:val="20"/>
              </w:rPr>
              <w:t>MTR-6</w:t>
            </w:r>
          </w:p>
        </w:tc>
        <w:tc>
          <w:tcPr>
            <w:tcW w:w="2832" w:type="dxa"/>
            <w:vAlign w:val="center"/>
          </w:tcPr>
          <w:p w14:paraId="73C9017E" w14:textId="77777777" w:rsidR="00B37DF8" w:rsidRPr="006414E6" w:rsidRDefault="00B37DF8" w:rsidP="00B37DF8">
            <w:pPr>
              <w:spacing w:line="240" w:lineRule="auto"/>
              <w:jc w:val="left"/>
              <w:rPr>
                <w:rFonts w:cs="Times New Roman"/>
                <w:sz w:val="20"/>
              </w:rPr>
            </w:pPr>
            <w:r w:rsidRPr="006414E6">
              <w:rPr>
                <w:rFonts w:cs="Times New Roman"/>
                <w:sz w:val="20"/>
              </w:rPr>
              <w:t>Financijski poticaji za energetski učinkovita vozila</w:t>
            </w:r>
          </w:p>
        </w:tc>
        <w:tc>
          <w:tcPr>
            <w:tcW w:w="9217" w:type="dxa"/>
            <w:vAlign w:val="center"/>
          </w:tcPr>
          <w:p w14:paraId="014B226F"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U kontekstu sufinanciranja projekata čišćeg prometa, potrebno je definirati posebne linije sufinanciranja za specifične namjene i to za kupnju vozila s pogonom na električnu energiju, SPP, UPP i vodik. Poticajne mjere sufinanciranja nabave vozila trebaju se provoditi konzistentno i kontinuirano, a bit će prvenstveno orijentirane na alternativna goriva za koja je procjena postojećeg stanja pokazala neznatnu zastupljenost vozila u ukupnom broju vozila, te će biti vremenski ograničene do trenutka kad praćenje stanja pokaže minimalnu zastupljenost vozila. Minimalnim stupnjem pokrenutosti tržišta smatrat će se udio od 1 posto vozila na određeno alternativno gorivo u ukupnom broju vozila registriranih u državi. </w:t>
            </w:r>
          </w:p>
        </w:tc>
      </w:tr>
      <w:tr w:rsidR="00B37DF8" w:rsidRPr="006414E6" w14:paraId="3ABFC8A6" w14:textId="77777777" w:rsidTr="00177077">
        <w:trPr>
          <w:trHeight w:val="340"/>
        </w:trPr>
        <w:tc>
          <w:tcPr>
            <w:tcW w:w="1129" w:type="dxa"/>
            <w:vAlign w:val="center"/>
          </w:tcPr>
          <w:p w14:paraId="2727B891" w14:textId="77777777" w:rsidR="00B37DF8" w:rsidRPr="006414E6" w:rsidRDefault="00B37DF8" w:rsidP="00B37DF8">
            <w:pPr>
              <w:spacing w:line="240" w:lineRule="auto"/>
              <w:jc w:val="left"/>
              <w:rPr>
                <w:rFonts w:cs="Times New Roman"/>
                <w:sz w:val="20"/>
              </w:rPr>
            </w:pPr>
            <w:r w:rsidRPr="006414E6">
              <w:rPr>
                <w:rFonts w:cs="Times New Roman"/>
                <w:sz w:val="20"/>
              </w:rPr>
              <w:t>MTR-7</w:t>
            </w:r>
          </w:p>
        </w:tc>
        <w:tc>
          <w:tcPr>
            <w:tcW w:w="2832" w:type="dxa"/>
            <w:vAlign w:val="center"/>
          </w:tcPr>
          <w:p w14:paraId="39E0487A" w14:textId="77777777" w:rsidR="00B37DF8" w:rsidRPr="006414E6" w:rsidRDefault="00B37DF8" w:rsidP="00B37DF8">
            <w:pPr>
              <w:spacing w:line="240" w:lineRule="auto"/>
              <w:jc w:val="left"/>
              <w:rPr>
                <w:rFonts w:cs="Times New Roman"/>
                <w:sz w:val="20"/>
              </w:rPr>
            </w:pPr>
            <w:r w:rsidRPr="006414E6">
              <w:rPr>
                <w:rFonts w:cs="Times New Roman"/>
                <w:sz w:val="20"/>
              </w:rPr>
              <w:t xml:space="preserve">Razvoj infrastrukture za alternativna goriva </w:t>
            </w:r>
          </w:p>
        </w:tc>
        <w:tc>
          <w:tcPr>
            <w:tcW w:w="9217" w:type="dxa"/>
            <w:vAlign w:val="center"/>
          </w:tcPr>
          <w:p w14:paraId="6C4933D4"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Cilj ove mjere je olakšati prihvaćanje alternativnih goriva od strane korisnika/potrošača jačanjem infrastrukture za distribuciju alternativnih goriva i provedbom zajedničkih tehničkih specifikacija za ovu infrastrukturu. Mjera prati Direktivu 2014/94/EU o uspostavi infrastrukture za alternativna goriva, Zakon o uspostavi infrastrukture za alternativna goriva (Narodne novine, br. 120/16) i Nacionalni okvir politike za uspostavu infrastrukture i razvoj tržišta alternativnih goriva u prometu (Narodne novine, br. 34/17; NOP) te potiče izgradnju punionica u skladu s navedenim dokumentima. Ovom infrastrukturnom mjerom se neće direktno utjecati na smanjenje potrošnje goriva u prometu, no svakako je razvoj infrastrukture nužan preduvjet razvoju tržišta vozila i plovila koja koriste električnu energiju, SPP i UPP te vodik u Hrvatskoj.</w:t>
            </w:r>
          </w:p>
          <w:p w14:paraId="4F563F1B"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Poticajne mjere sufinanciranja infrastrukture bit će prvenstveno orijentirane na alternativna goriva za koja je procjena postojećeg stanja pokazala nedovoljnu razvijenost infrastrukture te će biti vremenski ograničene do trenutka kad praćenje stanja pokaže minimalnu pokrivenost infrastrukturom. Minimalnom pokrivenosti infrastrukture smatrat će se ona koja odgovara ciljevima minimalne infrastrukture iz NOP-a. </w:t>
            </w:r>
          </w:p>
        </w:tc>
      </w:tr>
      <w:tr w:rsidR="00B37DF8" w:rsidRPr="006414E6" w14:paraId="3861E839" w14:textId="77777777" w:rsidTr="00177077">
        <w:trPr>
          <w:trHeight w:val="340"/>
        </w:trPr>
        <w:tc>
          <w:tcPr>
            <w:tcW w:w="1129" w:type="dxa"/>
            <w:vAlign w:val="center"/>
          </w:tcPr>
          <w:p w14:paraId="6A8159F9" w14:textId="77777777" w:rsidR="00B37DF8" w:rsidRPr="006414E6" w:rsidRDefault="00B37DF8" w:rsidP="00B37DF8">
            <w:pPr>
              <w:spacing w:line="240" w:lineRule="auto"/>
              <w:jc w:val="left"/>
              <w:rPr>
                <w:rFonts w:cs="Times New Roman"/>
                <w:sz w:val="20"/>
              </w:rPr>
            </w:pPr>
            <w:r w:rsidRPr="006414E6">
              <w:rPr>
                <w:rFonts w:cs="Times New Roman"/>
                <w:sz w:val="20"/>
              </w:rPr>
              <w:t>MTR-8</w:t>
            </w:r>
          </w:p>
        </w:tc>
        <w:tc>
          <w:tcPr>
            <w:tcW w:w="2832" w:type="dxa"/>
            <w:vAlign w:val="center"/>
          </w:tcPr>
          <w:p w14:paraId="7F65A535" w14:textId="77777777" w:rsidR="00B37DF8" w:rsidRPr="006414E6" w:rsidRDefault="00B37DF8" w:rsidP="00B37DF8">
            <w:pPr>
              <w:spacing w:line="240" w:lineRule="auto"/>
              <w:jc w:val="left"/>
              <w:rPr>
                <w:rFonts w:cs="Times New Roman"/>
                <w:sz w:val="20"/>
              </w:rPr>
            </w:pPr>
            <w:r w:rsidRPr="006414E6">
              <w:rPr>
                <w:rFonts w:cs="Times New Roman"/>
                <w:sz w:val="20"/>
              </w:rPr>
              <w:t>Poticanje integriranog teretnog prometa</w:t>
            </w:r>
          </w:p>
        </w:tc>
        <w:tc>
          <w:tcPr>
            <w:tcW w:w="9217" w:type="dxa"/>
            <w:vAlign w:val="center"/>
          </w:tcPr>
          <w:p w14:paraId="797FD6D7"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Mjera je uređena Zakonom o kombiniranom prijevozu tereta (Narodne novine, br. 120/16), odnosno Pravilnikom o poticajima u kombiniranom prijevozu tereta (Narodne novine, br. 5/18), kojim su propisani poticaji u kombiniranom prijevozu tereta željeznicom, unutarnjim vodama ili morem, te poticaji u kombiniranom prijevozu tereta cestovnom dionicom.</w:t>
            </w:r>
          </w:p>
        </w:tc>
      </w:tr>
      <w:tr w:rsidR="00B37DF8" w:rsidRPr="006414E6" w14:paraId="10F65507" w14:textId="77777777" w:rsidTr="00177077">
        <w:trPr>
          <w:trHeight w:val="340"/>
        </w:trPr>
        <w:tc>
          <w:tcPr>
            <w:tcW w:w="1129" w:type="dxa"/>
            <w:vAlign w:val="center"/>
          </w:tcPr>
          <w:p w14:paraId="1F169EC3" w14:textId="77777777" w:rsidR="00B37DF8" w:rsidRPr="006414E6" w:rsidRDefault="00B37DF8" w:rsidP="00B37DF8">
            <w:pPr>
              <w:spacing w:line="240" w:lineRule="auto"/>
              <w:jc w:val="left"/>
              <w:rPr>
                <w:rFonts w:cs="Times New Roman"/>
                <w:sz w:val="20"/>
              </w:rPr>
            </w:pPr>
            <w:r w:rsidRPr="006414E6">
              <w:rPr>
                <w:rFonts w:cs="Times New Roman"/>
                <w:sz w:val="20"/>
              </w:rPr>
              <w:t>MTR-9</w:t>
            </w:r>
          </w:p>
        </w:tc>
        <w:tc>
          <w:tcPr>
            <w:tcW w:w="2832" w:type="dxa"/>
            <w:vAlign w:val="center"/>
          </w:tcPr>
          <w:p w14:paraId="41D56054" w14:textId="77777777" w:rsidR="00B37DF8" w:rsidRPr="006414E6" w:rsidRDefault="00B37DF8" w:rsidP="00B37DF8">
            <w:pPr>
              <w:spacing w:line="240" w:lineRule="auto"/>
              <w:jc w:val="left"/>
              <w:rPr>
                <w:rFonts w:cs="Times New Roman"/>
                <w:sz w:val="20"/>
              </w:rPr>
            </w:pPr>
            <w:r w:rsidRPr="006414E6">
              <w:rPr>
                <w:rFonts w:cs="Times New Roman"/>
                <w:sz w:val="20"/>
              </w:rPr>
              <w:t>Poticanje razvoja održivog integriranog prometa na nacionalnoj razini</w:t>
            </w:r>
            <w:r w:rsidRPr="006414E6" w:rsidDel="00220296">
              <w:rPr>
                <w:rFonts w:cs="Times New Roman"/>
                <w:sz w:val="20"/>
              </w:rPr>
              <w:t xml:space="preserve"> </w:t>
            </w:r>
          </w:p>
        </w:tc>
        <w:tc>
          <w:tcPr>
            <w:tcW w:w="9217" w:type="dxa"/>
            <w:vAlign w:val="center"/>
          </w:tcPr>
          <w:p w14:paraId="31DD46EA"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Mjera prati opće i specifične ciljeve definirane u Strategiji prometnog razvoja Republike Hrvatske (2017. – 2030.) u kontekstu energetske učinkovitosti željezničkog, cestovnog, pomorskog prometa, prometa unutarnjim plovnim putovima i gradskog, prigradskog i regionalnog prometa (modernizacija pruga, sustava signalizacije, obnova fonda lokomotiva, vagona, flota plovila, logističke integrirane platforme, integrirani javni prijevoz putnika, itd.). Željeznička i generalno </w:t>
            </w:r>
            <w:proofErr w:type="spellStart"/>
            <w:r w:rsidRPr="006414E6">
              <w:rPr>
                <w:rFonts w:eastAsia="Times New Roman" w:cs="Times New Roman"/>
                <w:sz w:val="20"/>
                <w:lang w:eastAsia="hr-HR"/>
              </w:rPr>
              <w:t>multimodalna</w:t>
            </w:r>
            <w:proofErr w:type="spellEnd"/>
            <w:r w:rsidRPr="006414E6">
              <w:rPr>
                <w:rFonts w:eastAsia="Times New Roman" w:cs="Times New Roman"/>
                <w:sz w:val="20"/>
                <w:lang w:eastAsia="hr-HR"/>
              </w:rPr>
              <w:t xml:space="preserve"> infrastruktura zaostaju u razvoju u usporedbi s infrastrukturom autocesta kad je riječ o kvaliteti i povezanosti. Planiraju se ulaganja u cilju razvoja održive, integrirane transeuropske prometne mreže koja je otporna na klimatske promjene. U pomorskom prometu i </w:t>
            </w:r>
            <w:r w:rsidRPr="006414E6">
              <w:rPr>
                <w:rFonts w:eastAsia="Times New Roman" w:cs="Times New Roman"/>
                <w:sz w:val="20"/>
                <w:lang w:eastAsia="hr-HR"/>
              </w:rPr>
              <w:lastRenderedPageBreak/>
              <w:t xml:space="preserve">prometu unutarnjim plovnim putovima, Republika Hrvatska će uz savjetovanje s ostalim Državama Članicama, analizirati mogućnosti uvođenja odgovarajućih mehanizama kako bi se osigurala tranzicija prema </w:t>
            </w:r>
            <w:proofErr w:type="spellStart"/>
            <w:r w:rsidRPr="006414E6">
              <w:rPr>
                <w:rFonts w:eastAsia="Times New Roman" w:cs="Times New Roman"/>
                <w:sz w:val="20"/>
                <w:lang w:eastAsia="hr-HR"/>
              </w:rPr>
              <w:t>niskougljičnim</w:t>
            </w:r>
            <w:proofErr w:type="spellEnd"/>
            <w:r w:rsidRPr="006414E6">
              <w:rPr>
                <w:rFonts w:eastAsia="Times New Roman" w:cs="Times New Roman"/>
                <w:sz w:val="20"/>
                <w:lang w:eastAsia="hr-HR"/>
              </w:rPr>
              <w:t xml:space="preserve"> rješenjima, naročito u smislu aplikacije alternativnih izvora energije za plovidbu. U tom kontekstu definirat će se akcijski plan za brodarstvo koji će između ostaloga definirati i odgovarajuće emisijske standarde za nadolazeće razdoblje. Isto tako, u zračnom prometu, Republika Hrvatska će definirati plan i razraditi detaljne smjernice za postizanje značajnog smanjenja emisija stakleničkih plinova.</w:t>
            </w:r>
          </w:p>
        </w:tc>
      </w:tr>
      <w:tr w:rsidR="00B37DF8" w:rsidRPr="006414E6" w14:paraId="24C73F0B" w14:textId="77777777" w:rsidTr="00177077">
        <w:trPr>
          <w:trHeight w:val="340"/>
        </w:trPr>
        <w:tc>
          <w:tcPr>
            <w:tcW w:w="1129" w:type="dxa"/>
            <w:vAlign w:val="center"/>
          </w:tcPr>
          <w:p w14:paraId="5528B519"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MTR-10</w:t>
            </w:r>
          </w:p>
        </w:tc>
        <w:tc>
          <w:tcPr>
            <w:tcW w:w="2832" w:type="dxa"/>
            <w:vAlign w:val="center"/>
          </w:tcPr>
          <w:p w14:paraId="15B86BD5" w14:textId="77777777" w:rsidR="00B37DF8" w:rsidRPr="006414E6" w:rsidRDefault="00B37DF8" w:rsidP="00B37DF8">
            <w:pPr>
              <w:spacing w:line="240" w:lineRule="auto"/>
              <w:jc w:val="left"/>
              <w:rPr>
                <w:rFonts w:cs="Times New Roman"/>
                <w:sz w:val="20"/>
              </w:rPr>
            </w:pPr>
            <w:r w:rsidRPr="006414E6">
              <w:rPr>
                <w:rFonts w:cs="Times New Roman"/>
                <w:sz w:val="20"/>
              </w:rPr>
              <w:t>Promicanje integriranog i inteligentnog prometa i razvoj infrastrukture za alternativna goriva na lokalnoj i područnoj razini</w:t>
            </w:r>
          </w:p>
        </w:tc>
        <w:tc>
          <w:tcPr>
            <w:tcW w:w="9217" w:type="dxa"/>
            <w:vAlign w:val="center"/>
          </w:tcPr>
          <w:p w14:paraId="5F0D857F"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Potrebno je promovirati održivi razvoj gradskih prometnih sustava i to kroz optimiranje logistike prijevoza tereta te inteligentno upravljanje javnim parkirnim površinama (ICT tehnologije), uvođenje integriranog prijevoza putnika, uvođenje car-</w:t>
            </w:r>
            <w:proofErr w:type="spellStart"/>
            <w:r w:rsidRPr="006414E6">
              <w:rPr>
                <w:rFonts w:eastAsia="Times New Roman" w:cs="Times New Roman"/>
                <w:sz w:val="20"/>
                <w:lang w:eastAsia="hr-HR"/>
              </w:rPr>
              <w:t>sharing</w:t>
            </w:r>
            <w:proofErr w:type="spellEnd"/>
            <w:r w:rsidRPr="006414E6">
              <w:rPr>
                <w:rFonts w:eastAsia="Times New Roman" w:cs="Times New Roman"/>
                <w:sz w:val="20"/>
                <w:lang w:eastAsia="hr-HR"/>
              </w:rPr>
              <w:t xml:space="preserve"> sheme u gradovima, uvođenje nisko-emisijskih zona u gradovima, uvođenje sustava javnih gradskih bicikala i izgradnje pripadajuće biciklističke infrastrukture, inteligentno upravljanje u prometu (nadogradnja, prilagodba i zamjena zastarjelih signalnih uređaja i opreme, ugradnja napredne prometne opreme i inteligentnih semafora opremljenih autonomnim sustavom napajanja iz obnovljivih izvora, izgradnja i opremanje središnjih operativnih centara za nadzor i upravljanje raskrižjima s postavljenim semaforima). Na lokalnim razinama, nužna je kontinuirana izrada i provedba Planova održive mobilnosti u gradovima, odnosno strateških planova koji se nadovezuju na postojeću praksu u planiranju, a uzimaju u obzir integracijske, participacijske i evaluacijske principe kako bi se zadovoljile potrebe stanovnika gradova za mobilnošću, sada i u budućnosti, te osigurala bolja kvaliteta života u gradovima i njihovoj okolini. Aktivnosti će pratiti odgovarajuće informativno-edukativne kampanje. </w:t>
            </w:r>
          </w:p>
        </w:tc>
      </w:tr>
      <w:tr w:rsidR="00B37DF8" w:rsidRPr="006414E6" w14:paraId="43DEF535" w14:textId="77777777" w:rsidTr="00177077">
        <w:trPr>
          <w:trHeight w:val="340"/>
        </w:trPr>
        <w:tc>
          <w:tcPr>
            <w:tcW w:w="1129" w:type="dxa"/>
            <w:vAlign w:val="center"/>
          </w:tcPr>
          <w:p w14:paraId="0ACA3DAD" w14:textId="77777777" w:rsidR="00B37DF8" w:rsidRPr="006414E6" w:rsidRDefault="00B37DF8" w:rsidP="00B37DF8">
            <w:pPr>
              <w:spacing w:line="240" w:lineRule="auto"/>
              <w:jc w:val="left"/>
              <w:rPr>
                <w:rFonts w:cs="Times New Roman"/>
                <w:sz w:val="20"/>
              </w:rPr>
            </w:pPr>
            <w:r w:rsidRPr="006414E6">
              <w:rPr>
                <w:rFonts w:cs="Times New Roman"/>
                <w:sz w:val="20"/>
              </w:rPr>
              <w:t>MTR-11</w:t>
            </w:r>
          </w:p>
        </w:tc>
        <w:tc>
          <w:tcPr>
            <w:tcW w:w="2832" w:type="dxa"/>
            <w:vAlign w:val="center"/>
          </w:tcPr>
          <w:p w14:paraId="0BACBD90" w14:textId="77777777" w:rsidR="00B37DF8" w:rsidRPr="006414E6" w:rsidRDefault="00B37DF8" w:rsidP="00B37DF8">
            <w:pPr>
              <w:spacing w:line="240" w:lineRule="auto"/>
              <w:jc w:val="left"/>
              <w:rPr>
                <w:rFonts w:cs="Times New Roman"/>
                <w:sz w:val="20"/>
              </w:rPr>
            </w:pPr>
            <w:r w:rsidRPr="006414E6">
              <w:rPr>
                <w:rFonts w:cs="Times New Roman"/>
                <w:sz w:val="20"/>
              </w:rPr>
              <w:t>Obuka vozača cestovnih vozila za eko vožnju</w:t>
            </w:r>
          </w:p>
        </w:tc>
        <w:tc>
          <w:tcPr>
            <w:tcW w:w="9217" w:type="dxa"/>
            <w:vAlign w:val="center"/>
          </w:tcPr>
          <w:p w14:paraId="7CF0FB20"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Cilj mjere je podizanje razine osviještenosti o prednostima energetski učinkovite vožnje. Obrazovanje o elementima eko vožnje provodi se kratkim treninzima (u trajanju od oko 60-120 minuta po kandidatu) među vozačima koji su vozačku dozvolu dobili prije stupanja na snagu Pravilnika o osposobljavanju kandidata za vozače (Narodne novine, br. 13/09, 132/17), kojim je za sve autoškole i instruktore postavljena obveza provođenja izobrazbe o elementima eko-vožnje tijekom standardne izobrazbe vozača kandidata. Posebni elementi nacionalne kampanje trebaju biti posvećeni edukaciji o eko vožnji za vozače osobnih automobila, autobusa, gospodarskih i teških teretnih vozila. </w:t>
            </w:r>
          </w:p>
        </w:tc>
      </w:tr>
      <w:tr w:rsidR="00B37DF8" w:rsidRPr="006414E6" w14:paraId="73AB4919" w14:textId="77777777" w:rsidTr="00177077">
        <w:trPr>
          <w:trHeight w:val="340"/>
        </w:trPr>
        <w:tc>
          <w:tcPr>
            <w:tcW w:w="1129" w:type="dxa"/>
            <w:vAlign w:val="center"/>
          </w:tcPr>
          <w:p w14:paraId="5B71D263" w14:textId="77777777" w:rsidR="00B37DF8" w:rsidRPr="006414E6" w:rsidRDefault="00B37DF8" w:rsidP="00B37DF8">
            <w:pPr>
              <w:spacing w:line="240" w:lineRule="auto"/>
              <w:jc w:val="left"/>
              <w:rPr>
                <w:rFonts w:cs="Times New Roman"/>
                <w:sz w:val="20"/>
              </w:rPr>
            </w:pPr>
            <w:r w:rsidRPr="006414E6">
              <w:rPr>
                <w:rFonts w:cs="Times New Roman"/>
                <w:sz w:val="20"/>
              </w:rPr>
              <w:t>MTR-12</w:t>
            </w:r>
          </w:p>
        </w:tc>
        <w:tc>
          <w:tcPr>
            <w:tcW w:w="2832" w:type="dxa"/>
            <w:vAlign w:val="center"/>
          </w:tcPr>
          <w:p w14:paraId="38A0FB87" w14:textId="77777777" w:rsidR="00B37DF8" w:rsidRPr="006414E6" w:rsidRDefault="00B37DF8" w:rsidP="00B37DF8">
            <w:pPr>
              <w:spacing w:line="240" w:lineRule="auto"/>
              <w:jc w:val="left"/>
              <w:rPr>
                <w:rFonts w:cs="Times New Roman"/>
                <w:sz w:val="20"/>
              </w:rPr>
            </w:pPr>
            <w:r w:rsidRPr="006414E6">
              <w:rPr>
                <w:rFonts w:cs="Times New Roman"/>
                <w:sz w:val="20"/>
              </w:rPr>
              <w:t>Poticanje brodskog prometa na alternativna goriva</w:t>
            </w:r>
          </w:p>
        </w:tc>
        <w:tc>
          <w:tcPr>
            <w:tcW w:w="9217" w:type="dxa"/>
            <w:vAlign w:val="center"/>
          </w:tcPr>
          <w:p w14:paraId="12DE4289"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U skladu s Nacionalnim planom razvoja obalnog linijskog pomorskog prometa i obzirom da je Republika Hrvatska pomorska zemlja s razvijenim </w:t>
            </w:r>
            <w:proofErr w:type="spellStart"/>
            <w:r w:rsidRPr="006414E6">
              <w:rPr>
                <w:rFonts w:eastAsia="Times New Roman" w:cs="Times New Roman"/>
                <w:sz w:val="20"/>
                <w:lang w:eastAsia="hr-HR"/>
              </w:rPr>
              <w:t>dužobalnim</w:t>
            </w:r>
            <w:proofErr w:type="spellEnd"/>
            <w:r w:rsidRPr="006414E6">
              <w:rPr>
                <w:rFonts w:eastAsia="Times New Roman" w:cs="Times New Roman"/>
                <w:sz w:val="20"/>
                <w:lang w:eastAsia="hr-HR"/>
              </w:rPr>
              <w:t xml:space="preserve"> linijskim prometom, te pored toga ima plovne riječne puteve i jezera ovom mjerom bi se sufinancirali projekti postupnog prijelaza postojeće zastarjele brodske flote na alternativna i/ili hibridna rješenja i novogradnju. Brodovi koji koriste alternativna goriva u pravilu su skuplji od brodova koji koriste konvencionalna goriva pa ne postoji izraženi interes brodara ulagati u takve brodove. Stoga je u početnom razdoblju potrebno financijski podržati prenamjenu/izgradnju takvih brodova u mjeri u kojoj se izjednačava nabavna cijena odnosno stavlja takvog brodara u isti položaj kao i brodara koji koristi brodove s konvencionalnim gorivom. Ova se mjera nadovezuje na mjeru vezanu uz razvoj infrastrukture za alternativna </w:t>
            </w:r>
            <w:r w:rsidRPr="006414E6">
              <w:rPr>
                <w:rFonts w:eastAsia="Times New Roman" w:cs="Times New Roman"/>
                <w:sz w:val="20"/>
                <w:lang w:eastAsia="hr-HR"/>
              </w:rPr>
              <w:lastRenderedPageBreak/>
              <w:t xml:space="preserve">goriva u smislu  trajnih korisnika/potrošača na toj infrastrukturi, a istovremeno značajno utječe na potencijalno smanjenje onečišćenja mora, rijeka i jezera.  </w:t>
            </w:r>
          </w:p>
        </w:tc>
      </w:tr>
      <w:tr w:rsidR="00B37DF8" w:rsidRPr="006414E6" w14:paraId="6BAC7ACE" w14:textId="77777777" w:rsidTr="00177077">
        <w:trPr>
          <w:trHeight w:val="340"/>
        </w:trPr>
        <w:tc>
          <w:tcPr>
            <w:tcW w:w="1129" w:type="dxa"/>
            <w:vAlign w:val="center"/>
          </w:tcPr>
          <w:p w14:paraId="0D20414A"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MTR-13</w:t>
            </w:r>
          </w:p>
        </w:tc>
        <w:tc>
          <w:tcPr>
            <w:tcW w:w="2832" w:type="dxa"/>
            <w:vAlign w:val="center"/>
          </w:tcPr>
          <w:p w14:paraId="29757B71" w14:textId="77777777" w:rsidR="00B37DF8" w:rsidRPr="006414E6" w:rsidRDefault="00B37DF8" w:rsidP="00B37DF8">
            <w:pPr>
              <w:spacing w:line="240" w:lineRule="auto"/>
              <w:jc w:val="left"/>
              <w:rPr>
                <w:rFonts w:cs="Times New Roman"/>
                <w:sz w:val="20"/>
              </w:rPr>
            </w:pPr>
            <w:r w:rsidRPr="006414E6">
              <w:rPr>
                <w:rFonts w:cs="Times New Roman"/>
                <w:sz w:val="20"/>
              </w:rPr>
              <w:t>Plan razvoja tržišta naprednih biogoriva</w:t>
            </w:r>
          </w:p>
        </w:tc>
        <w:tc>
          <w:tcPr>
            <w:tcW w:w="9217" w:type="dxa"/>
            <w:vAlign w:val="center"/>
          </w:tcPr>
          <w:p w14:paraId="1B0D6370"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Povećanje udjela OIE u prometu do 2030. godine razvoj tržišta naprednih goriva i postizanje planiranog udjela naprednih goriva u neposrednoj potrošnji energije u prometu putem kriterija najmanjeg troška i najvećeg multiplikatora. Provedba mjere osniva se na izmjenama i dopunama relevantnih zakona i podzakonskih akata na temelju Direktive o promicanju uporabe energije iz obnovljivih izvora, a posebice uspostavi uvjeta za praćenje održivosti biogoriva i ušteda stakleničkih plinova.</w:t>
            </w:r>
          </w:p>
        </w:tc>
      </w:tr>
      <w:tr w:rsidR="00C81938" w:rsidRPr="006414E6" w14:paraId="5FA52BB2" w14:textId="77777777" w:rsidTr="00177077">
        <w:trPr>
          <w:trHeight w:val="340"/>
        </w:trPr>
        <w:tc>
          <w:tcPr>
            <w:tcW w:w="13178" w:type="dxa"/>
            <w:gridSpan w:val="3"/>
            <w:vAlign w:val="center"/>
          </w:tcPr>
          <w:p w14:paraId="52F016BD" w14:textId="77777777" w:rsidR="00C81938" w:rsidRPr="006414E6" w:rsidRDefault="00BE6504" w:rsidP="00817C16">
            <w:pPr>
              <w:spacing w:line="240" w:lineRule="auto"/>
              <w:rPr>
                <w:rFonts w:eastAsia="Times New Roman" w:cs="Times New Roman"/>
                <w:b/>
                <w:sz w:val="20"/>
                <w:lang w:eastAsia="hr-HR"/>
              </w:rPr>
            </w:pPr>
            <w:r w:rsidRPr="006414E6">
              <w:rPr>
                <w:rFonts w:eastAsia="Times New Roman" w:cs="Times New Roman"/>
                <w:b/>
                <w:sz w:val="20"/>
                <w:lang w:eastAsia="hr-HR"/>
              </w:rPr>
              <w:t>INDUSTRIJ</w:t>
            </w:r>
            <w:r w:rsidR="00C81938" w:rsidRPr="006414E6">
              <w:rPr>
                <w:rFonts w:eastAsia="Times New Roman" w:cs="Times New Roman"/>
                <w:b/>
                <w:sz w:val="20"/>
                <w:lang w:eastAsia="hr-HR"/>
              </w:rPr>
              <w:t>S</w:t>
            </w:r>
            <w:r w:rsidRPr="006414E6">
              <w:rPr>
                <w:rFonts w:eastAsia="Times New Roman" w:cs="Times New Roman"/>
                <w:b/>
                <w:sz w:val="20"/>
                <w:lang w:eastAsia="hr-HR"/>
              </w:rPr>
              <w:t>K</w:t>
            </w:r>
            <w:r w:rsidR="00C81938" w:rsidRPr="006414E6">
              <w:rPr>
                <w:rFonts w:eastAsia="Times New Roman" w:cs="Times New Roman"/>
                <w:b/>
                <w:sz w:val="20"/>
                <w:lang w:eastAsia="hr-HR"/>
              </w:rPr>
              <w:t>I PROCESI I UPORABA PROIZVODA</w:t>
            </w:r>
          </w:p>
        </w:tc>
      </w:tr>
      <w:tr w:rsidR="00B37DF8" w:rsidRPr="006414E6" w14:paraId="2452F71B" w14:textId="77777777" w:rsidTr="00177077">
        <w:trPr>
          <w:trHeight w:val="340"/>
        </w:trPr>
        <w:tc>
          <w:tcPr>
            <w:tcW w:w="1129" w:type="dxa"/>
            <w:vAlign w:val="center"/>
          </w:tcPr>
          <w:p w14:paraId="5E8A401A"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MIP-1</w:t>
            </w:r>
          </w:p>
        </w:tc>
        <w:tc>
          <w:tcPr>
            <w:tcW w:w="2832" w:type="dxa"/>
            <w:vAlign w:val="center"/>
          </w:tcPr>
          <w:p w14:paraId="78CA099F"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Smanjenje udjela </w:t>
            </w:r>
            <w:proofErr w:type="spellStart"/>
            <w:r w:rsidRPr="006414E6">
              <w:rPr>
                <w:rFonts w:eastAsia="Times New Roman" w:cs="Times New Roman"/>
                <w:sz w:val="20"/>
                <w:lang w:eastAsia="hr-HR"/>
              </w:rPr>
              <w:t>klinkera</w:t>
            </w:r>
            <w:proofErr w:type="spellEnd"/>
            <w:r w:rsidRPr="006414E6">
              <w:rPr>
                <w:rFonts w:eastAsia="Times New Roman" w:cs="Times New Roman"/>
                <w:sz w:val="20"/>
                <w:lang w:eastAsia="hr-HR"/>
              </w:rPr>
              <w:t xml:space="preserve"> u proizvodnji cementa</w:t>
            </w:r>
          </w:p>
        </w:tc>
        <w:tc>
          <w:tcPr>
            <w:tcW w:w="9217" w:type="dxa"/>
            <w:vAlign w:val="center"/>
          </w:tcPr>
          <w:p w14:paraId="79E01357"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Povećanje udjela mineralnih dodataka u cementu ovisno o sastavu sirovine, raspoloživosti dodataka odgovarajućeg sastava na tržištu te o zahtjevima tržišta za pojedinim vrstama cementa.</w:t>
            </w:r>
          </w:p>
        </w:tc>
      </w:tr>
      <w:tr w:rsidR="00B37DF8" w:rsidRPr="006414E6" w14:paraId="6AE09405" w14:textId="77777777" w:rsidTr="00177077">
        <w:trPr>
          <w:trHeight w:val="340"/>
        </w:trPr>
        <w:tc>
          <w:tcPr>
            <w:tcW w:w="1129" w:type="dxa"/>
            <w:vAlign w:val="center"/>
          </w:tcPr>
          <w:p w14:paraId="1DDE7C16"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MIP-2</w:t>
            </w:r>
          </w:p>
        </w:tc>
        <w:tc>
          <w:tcPr>
            <w:tcW w:w="2832" w:type="dxa"/>
            <w:vAlign w:val="center"/>
          </w:tcPr>
          <w:p w14:paraId="7B4B1116"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Ograničavanje emisija </w:t>
            </w:r>
            <w:proofErr w:type="spellStart"/>
            <w:r w:rsidRPr="006414E6">
              <w:rPr>
                <w:rFonts w:eastAsia="Times New Roman" w:cs="Times New Roman"/>
                <w:sz w:val="20"/>
                <w:lang w:eastAsia="hr-HR"/>
              </w:rPr>
              <w:t>fluoriranih</w:t>
            </w:r>
            <w:proofErr w:type="spellEnd"/>
            <w:r w:rsidRPr="006414E6">
              <w:rPr>
                <w:rFonts w:eastAsia="Times New Roman" w:cs="Times New Roman"/>
                <w:sz w:val="20"/>
                <w:lang w:eastAsia="hr-HR"/>
              </w:rPr>
              <w:t xml:space="preserve"> stakleničkih plinova </w:t>
            </w:r>
          </w:p>
        </w:tc>
        <w:tc>
          <w:tcPr>
            <w:tcW w:w="9217" w:type="dxa"/>
            <w:vAlign w:val="center"/>
          </w:tcPr>
          <w:p w14:paraId="09DB629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Provedba Uredbe (EU) br. 517/2014 u Republici Hrvatskoj regulirana je Zakonom o provedbi Uredbe (EU) br. 517/2014 Europskog parlamenta i Vijeća od 16. travnja 2014. o </w:t>
            </w:r>
            <w:proofErr w:type="spellStart"/>
            <w:r w:rsidRPr="006414E6">
              <w:rPr>
                <w:rFonts w:eastAsia="Times New Roman" w:cs="Times New Roman"/>
                <w:sz w:val="20"/>
                <w:lang w:eastAsia="hr-HR"/>
              </w:rPr>
              <w:t>fluoriranim</w:t>
            </w:r>
            <w:proofErr w:type="spellEnd"/>
            <w:r w:rsidRPr="006414E6">
              <w:rPr>
                <w:rFonts w:eastAsia="Times New Roman" w:cs="Times New Roman"/>
                <w:sz w:val="20"/>
                <w:lang w:eastAsia="hr-HR"/>
              </w:rPr>
              <w:t xml:space="preserve"> stakleničkim plinovima i stavljanju izvan snage Uredbe (EZ) br. 842/2006 (Narodne novine, br. 61/17, 118/18), koji je na snazi od 01.01.2019. godine.</w:t>
            </w:r>
          </w:p>
          <w:p w14:paraId="40612BF8"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Mjerom su definirane aktivnosti i postupci za sprječavanje emisija </w:t>
            </w:r>
            <w:proofErr w:type="spellStart"/>
            <w:r w:rsidRPr="006414E6">
              <w:rPr>
                <w:rFonts w:eastAsia="Times New Roman" w:cs="Times New Roman"/>
                <w:sz w:val="20"/>
                <w:lang w:eastAsia="hr-HR"/>
              </w:rPr>
              <w:t>fluoriranih</w:t>
            </w:r>
            <w:proofErr w:type="spellEnd"/>
            <w:r w:rsidRPr="006414E6">
              <w:rPr>
                <w:rFonts w:eastAsia="Times New Roman" w:cs="Times New Roman"/>
                <w:sz w:val="20"/>
                <w:lang w:eastAsia="hr-HR"/>
              </w:rPr>
              <w:t xml:space="preserve"> stakleničkih plinova, provođenje provjere propuštanja opreme, korištenje opreme sa sustavima za otkrivanje propuštanja, vođenje evidencije o opremi na kojoj je potrebno obavljati provjere propuštanja, prikupljanje </w:t>
            </w:r>
            <w:proofErr w:type="spellStart"/>
            <w:r w:rsidRPr="006414E6">
              <w:rPr>
                <w:rFonts w:eastAsia="Times New Roman" w:cs="Times New Roman"/>
                <w:sz w:val="20"/>
                <w:lang w:eastAsia="hr-HR"/>
              </w:rPr>
              <w:t>fluoriranih</w:t>
            </w:r>
            <w:proofErr w:type="spellEnd"/>
            <w:r w:rsidRPr="006414E6">
              <w:rPr>
                <w:rFonts w:eastAsia="Times New Roman" w:cs="Times New Roman"/>
                <w:sz w:val="20"/>
                <w:lang w:eastAsia="hr-HR"/>
              </w:rPr>
              <w:t xml:space="preserve"> stakleničkih plinova kako bi se osiguralo njihovo obnavljanje, oporaba ili uništavanje, razvoj sustava odgovornosti proizvođača za prikupljanje </w:t>
            </w:r>
            <w:proofErr w:type="spellStart"/>
            <w:r w:rsidRPr="006414E6">
              <w:rPr>
                <w:rFonts w:eastAsia="Times New Roman" w:cs="Times New Roman"/>
                <w:sz w:val="20"/>
                <w:lang w:eastAsia="hr-HR"/>
              </w:rPr>
              <w:t>fluoriranih</w:t>
            </w:r>
            <w:proofErr w:type="spellEnd"/>
            <w:r w:rsidRPr="006414E6">
              <w:rPr>
                <w:rFonts w:eastAsia="Times New Roman" w:cs="Times New Roman"/>
                <w:sz w:val="20"/>
                <w:lang w:eastAsia="hr-HR"/>
              </w:rPr>
              <w:t xml:space="preserve"> stakleničkih plinova i njihovo obnavljanje, oporabu ili uništavanje te primjena programa za osposobljavanje i certifikaciju.</w:t>
            </w:r>
          </w:p>
        </w:tc>
      </w:tr>
      <w:tr w:rsidR="00B37DF8" w:rsidRPr="006414E6" w14:paraId="703A9E16" w14:textId="77777777" w:rsidTr="00177077">
        <w:trPr>
          <w:trHeight w:val="340"/>
        </w:trPr>
        <w:tc>
          <w:tcPr>
            <w:tcW w:w="1129" w:type="dxa"/>
            <w:vAlign w:val="center"/>
          </w:tcPr>
          <w:p w14:paraId="449B763B"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MIP-3</w:t>
            </w:r>
          </w:p>
        </w:tc>
        <w:tc>
          <w:tcPr>
            <w:tcW w:w="2832" w:type="dxa"/>
            <w:vAlign w:val="center"/>
          </w:tcPr>
          <w:p w14:paraId="1B139D5D"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Postupno smanjenje količine </w:t>
            </w:r>
            <w:proofErr w:type="spellStart"/>
            <w:r w:rsidRPr="006414E6">
              <w:rPr>
                <w:rFonts w:eastAsia="Times New Roman" w:cs="Times New Roman"/>
                <w:sz w:val="20"/>
                <w:lang w:eastAsia="hr-HR"/>
              </w:rPr>
              <w:t>fluorougljikovodika</w:t>
            </w:r>
            <w:proofErr w:type="spellEnd"/>
            <w:r w:rsidRPr="006414E6">
              <w:rPr>
                <w:rFonts w:eastAsia="Times New Roman" w:cs="Times New Roman"/>
                <w:sz w:val="20"/>
                <w:lang w:eastAsia="hr-HR"/>
              </w:rPr>
              <w:t xml:space="preserve"> koja se može stavljati na tržište</w:t>
            </w:r>
          </w:p>
        </w:tc>
        <w:tc>
          <w:tcPr>
            <w:tcW w:w="9217" w:type="dxa"/>
            <w:vAlign w:val="center"/>
          </w:tcPr>
          <w:p w14:paraId="5A88A9C9"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Mjera se odnosi na postupno ograničavanje količine </w:t>
            </w:r>
            <w:proofErr w:type="spellStart"/>
            <w:r w:rsidRPr="006414E6">
              <w:rPr>
                <w:rFonts w:eastAsia="Times New Roman" w:cs="Times New Roman"/>
                <w:sz w:val="20"/>
                <w:lang w:eastAsia="hr-HR"/>
              </w:rPr>
              <w:t>fluorougljikovodika</w:t>
            </w:r>
            <w:proofErr w:type="spellEnd"/>
            <w:r w:rsidRPr="006414E6">
              <w:rPr>
                <w:rFonts w:eastAsia="Times New Roman" w:cs="Times New Roman"/>
                <w:sz w:val="20"/>
                <w:lang w:eastAsia="hr-HR"/>
              </w:rPr>
              <w:t xml:space="preserve"> dostupnih na tržištu EU do 2030. godine na 21% od ukupne količine </w:t>
            </w:r>
            <w:proofErr w:type="spellStart"/>
            <w:r w:rsidRPr="006414E6">
              <w:rPr>
                <w:rFonts w:eastAsia="Times New Roman" w:cs="Times New Roman"/>
                <w:sz w:val="20"/>
                <w:lang w:eastAsia="hr-HR"/>
              </w:rPr>
              <w:t>fluorougljikovodika</w:t>
            </w:r>
            <w:proofErr w:type="spellEnd"/>
            <w:r w:rsidRPr="006414E6">
              <w:rPr>
                <w:rFonts w:eastAsia="Times New Roman" w:cs="Times New Roman"/>
                <w:sz w:val="20"/>
                <w:lang w:eastAsia="hr-HR"/>
              </w:rPr>
              <w:t xml:space="preserve"> koji su stavljeni na tržište tijekom referentnog razdoblja od 2009. do 2012. godine., kako je utvrđeno Uredbom (EU) br. 517/2014.</w:t>
            </w:r>
          </w:p>
          <w:p w14:paraId="47E67C47"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Uredbom (EU) br. 517/2014 uvodi se sustav kvota za stavljanje </w:t>
            </w:r>
            <w:proofErr w:type="spellStart"/>
            <w:r w:rsidRPr="006414E6">
              <w:rPr>
                <w:rFonts w:eastAsia="Times New Roman" w:cs="Times New Roman"/>
                <w:sz w:val="20"/>
                <w:lang w:eastAsia="hr-HR"/>
              </w:rPr>
              <w:t>fluorougljikovodika</w:t>
            </w:r>
            <w:proofErr w:type="spellEnd"/>
            <w:r w:rsidRPr="006414E6">
              <w:rPr>
                <w:rFonts w:eastAsia="Times New Roman" w:cs="Times New Roman"/>
                <w:sz w:val="20"/>
                <w:lang w:eastAsia="hr-HR"/>
              </w:rPr>
              <w:t xml:space="preserve"> na tržište. Izračun referentnih vrijednosti i raspodjelu kvota potrebno je temeljiti na prijavljenim količinama </w:t>
            </w:r>
            <w:proofErr w:type="spellStart"/>
            <w:r w:rsidRPr="006414E6">
              <w:rPr>
                <w:rFonts w:eastAsia="Times New Roman" w:cs="Times New Roman"/>
                <w:sz w:val="20"/>
                <w:lang w:eastAsia="hr-HR"/>
              </w:rPr>
              <w:t>fluorougljikovodika</w:t>
            </w:r>
            <w:proofErr w:type="spellEnd"/>
            <w:r w:rsidRPr="006414E6">
              <w:rPr>
                <w:rFonts w:eastAsia="Times New Roman" w:cs="Times New Roman"/>
                <w:sz w:val="20"/>
                <w:lang w:eastAsia="hr-HR"/>
              </w:rPr>
              <w:t xml:space="preserve"> koji su stavljeni na tržište tijekom referentnog razdoblja od 2009. do 2012. godine. Kvote za stavljanje </w:t>
            </w:r>
            <w:proofErr w:type="spellStart"/>
            <w:r w:rsidRPr="006414E6">
              <w:rPr>
                <w:rFonts w:eastAsia="Times New Roman" w:cs="Times New Roman"/>
                <w:sz w:val="20"/>
                <w:lang w:eastAsia="hr-HR"/>
              </w:rPr>
              <w:t>fluorougljikovodika</w:t>
            </w:r>
            <w:proofErr w:type="spellEnd"/>
            <w:r w:rsidRPr="006414E6">
              <w:rPr>
                <w:rFonts w:eastAsia="Times New Roman" w:cs="Times New Roman"/>
                <w:sz w:val="20"/>
                <w:lang w:eastAsia="hr-HR"/>
              </w:rPr>
              <w:t xml:space="preserve"> na tržište dodjeljuju se za svakog proizvođača i uvoznika za svaku godinu, s početkom od 2015. godine, na temelju referentnih vrijednosti, primjenjujući definirane postotke za izračun maksimalne količine </w:t>
            </w:r>
            <w:proofErr w:type="spellStart"/>
            <w:r w:rsidRPr="006414E6">
              <w:rPr>
                <w:rFonts w:eastAsia="Times New Roman" w:cs="Times New Roman"/>
                <w:sz w:val="20"/>
                <w:lang w:eastAsia="hr-HR"/>
              </w:rPr>
              <w:t>fluorougljikovodika</w:t>
            </w:r>
            <w:proofErr w:type="spellEnd"/>
            <w:r w:rsidRPr="006414E6">
              <w:rPr>
                <w:rFonts w:eastAsia="Times New Roman" w:cs="Times New Roman"/>
                <w:sz w:val="20"/>
                <w:lang w:eastAsia="hr-HR"/>
              </w:rPr>
              <w:t xml:space="preserve"> za stavljanje na tržište te mehanizam dodjele.</w:t>
            </w:r>
          </w:p>
        </w:tc>
      </w:tr>
      <w:tr w:rsidR="00B37DF8" w:rsidRPr="006414E6" w14:paraId="271601A5" w14:textId="77777777" w:rsidTr="00177077">
        <w:trPr>
          <w:trHeight w:val="340"/>
        </w:trPr>
        <w:tc>
          <w:tcPr>
            <w:tcW w:w="1129" w:type="dxa"/>
            <w:vAlign w:val="center"/>
          </w:tcPr>
          <w:p w14:paraId="13CF9A38"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lastRenderedPageBreak/>
              <w:t>MIP-4</w:t>
            </w:r>
          </w:p>
        </w:tc>
        <w:tc>
          <w:tcPr>
            <w:tcW w:w="2832" w:type="dxa"/>
            <w:vAlign w:val="center"/>
          </w:tcPr>
          <w:p w14:paraId="1E5C234C"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Ograničenja i zabrana stavljanja na tržište određenih proizvoda i opreme</w:t>
            </w:r>
          </w:p>
        </w:tc>
        <w:tc>
          <w:tcPr>
            <w:tcW w:w="9217" w:type="dxa"/>
            <w:vAlign w:val="center"/>
          </w:tcPr>
          <w:p w14:paraId="4FC2E2FD"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Mjera se odnosi na ograničenja i zabranu stavljanja na tržište određenih proizvoda i opreme koji sadrže </w:t>
            </w:r>
            <w:proofErr w:type="spellStart"/>
            <w:r w:rsidRPr="006414E6">
              <w:rPr>
                <w:rFonts w:eastAsia="Times New Roman" w:cs="Times New Roman"/>
                <w:sz w:val="20"/>
                <w:lang w:eastAsia="hr-HR"/>
              </w:rPr>
              <w:t>fluorirane</w:t>
            </w:r>
            <w:proofErr w:type="spellEnd"/>
            <w:r w:rsidRPr="006414E6">
              <w:rPr>
                <w:rFonts w:eastAsia="Times New Roman" w:cs="Times New Roman"/>
                <w:sz w:val="20"/>
                <w:lang w:eastAsia="hr-HR"/>
              </w:rPr>
              <w:t xml:space="preserve"> stakleničke plinove, kako je utvrđeno Uredbom (EU) br. 517/2014.</w:t>
            </w:r>
          </w:p>
          <w:p w14:paraId="028AEF96" w14:textId="77777777" w:rsidR="00B37DF8" w:rsidRPr="006414E6" w:rsidRDefault="00B37DF8" w:rsidP="00817C16">
            <w:pPr>
              <w:spacing w:line="240" w:lineRule="auto"/>
              <w:rPr>
                <w:rFonts w:eastAsia="Times New Roman" w:cs="Times New Roman"/>
                <w:sz w:val="20"/>
                <w:lang w:eastAsia="hr-HR"/>
              </w:rPr>
            </w:pPr>
            <w:proofErr w:type="spellStart"/>
            <w:r w:rsidRPr="006414E6">
              <w:rPr>
                <w:rFonts w:eastAsia="Times New Roman" w:cs="Times New Roman"/>
                <w:sz w:val="20"/>
                <w:lang w:eastAsia="hr-HR"/>
              </w:rPr>
              <w:t>Fluorirani</w:t>
            </w:r>
            <w:proofErr w:type="spellEnd"/>
            <w:r w:rsidRPr="006414E6">
              <w:rPr>
                <w:rFonts w:eastAsia="Times New Roman" w:cs="Times New Roman"/>
                <w:sz w:val="20"/>
                <w:lang w:eastAsia="hr-HR"/>
              </w:rPr>
              <w:t xml:space="preserve"> staklenički plinovi s visokim stakleničkim potencijalom ograničeni su za upotrebu u novoj opremi za hlađenje i klimatizaciju, sustavima za gašenje požara, dodacima za potiskivanje pjena i aerosolima.</w:t>
            </w:r>
          </w:p>
        </w:tc>
      </w:tr>
      <w:tr w:rsidR="00B37DF8" w:rsidRPr="006414E6" w14:paraId="38C76FEC" w14:textId="77777777" w:rsidTr="00177077">
        <w:trPr>
          <w:trHeight w:val="340"/>
        </w:trPr>
        <w:tc>
          <w:tcPr>
            <w:tcW w:w="1129" w:type="dxa"/>
            <w:vAlign w:val="center"/>
          </w:tcPr>
          <w:p w14:paraId="1249DA9B"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MIP-5</w:t>
            </w:r>
          </w:p>
        </w:tc>
        <w:tc>
          <w:tcPr>
            <w:tcW w:w="2832" w:type="dxa"/>
            <w:vAlign w:val="center"/>
          </w:tcPr>
          <w:p w14:paraId="3654379D"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Smanjenje emisija </w:t>
            </w:r>
            <w:proofErr w:type="spellStart"/>
            <w:r w:rsidRPr="006414E6">
              <w:rPr>
                <w:rFonts w:eastAsia="Times New Roman" w:cs="Times New Roman"/>
                <w:sz w:val="20"/>
                <w:lang w:eastAsia="hr-HR"/>
              </w:rPr>
              <w:t>fluoriranih</w:t>
            </w:r>
            <w:proofErr w:type="spellEnd"/>
            <w:r w:rsidRPr="006414E6">
              <w:rPr>
                <w:rFonts w:eastAsia="Times New Roman" w:cs="Times New Roman"/>
                <w:sz w:val="20"/>
                <w:lang w:eastAsia="hr-HR"/>
              </w:rPr>
              <w:t xml:space="preserve"> stakleničkih plinova iz mobilnih sustava</w:t>
            </w:r>
            <w:r w:rsidRPr="006414E6">
              <w:rPr>
                <w:rFonts w:cs="Times New Roman"/>
                <w:sz w:val="20"/>
              </w:rPr>
              <w:t xml:space="preserve"> </w:t>
            </w:r>
            <w:r w:rsidRPr="006414E6">
              <w:rPr>
                <w:rFonts w:eastAsia="Times New Roman" w:cs="Times New Roman"/>
                <w:sz w:val="20"/>
                <w:lang w:eastAsia="hr-HR"/>
              </w:rPr>
              <w:t>za klimatiziranje</w:t>
            </w:r>
          </w:p>
        </w:tc>
        <w:tc>
          <w:tcPr>
            <w:tcW w:w="9217" w:type="dxa"/>
            <w:vAlign w:val="center"/>
          </w:tcPr>
          <w:p w14:paraId="57E64A91"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Direktiva 2006/40/EZ Europskog parlamenta i Vijeća od 17. svibnja 2006. o emisijama iz sustava za klimatizaciju u motornim vozilima i o izmjeni Direktive Vijeća 70/156/EEZ provedena je u tri faze. Posljednja faza stupila je na snagu 01.01.2017. godine ograničenjem mogućnosti naknadne ugradnje klimatizacijske opreme oblikovane da sadrži </w:t>
            </w:r>
            <w:proofErr w:type="spellStart"/>
            <w:r w:rsidRPr="006414E6">
              <w:rPr>
                <w:rFonts w:eastAsia="Times New Roman" w:cs="Times New Roman"/>
                <w:sz w:val="20"/>
                <w:lang w:eastAsia="hr-HR"/>
              </w:rPr>
              <w:t>fluorirane</w:t>
            </w:r>
            <w:proofErr w:type="spellEnd"/>
            <w:r w:rsidRPr="006414E6">
              <w:rPr>
                <w:rFonts w:eastAsia="Times New Roman" w:cs="Times New Roman"/>
                <w:sz w:val="20"/>
                <w:lang w:eastAsia="hr-HR"/>
              </w:rPr>
              <w:t xml:space="preserve"> stakleničke plinove s potencijalom globalnog zagrijavanja iznad 150 u motorna vozila i zabranom punjenja klimatizacijske opreme tim plinovima.</w:t>
            </w:r>
          </w:p>
        </w:tc>
      </w:tr>
      <w:tr w:rsidR="00C81938" w:rsidRPr="006414E6" w14:paraId="4537A823" w14:textId="77777777" w:rsidTr="00177077">
        <w:trPr>
          <w:trHeight w:val="340"/>
        </w:trPr>
        <w:tc>
          <w:tcPr>
            <w:tcW w:w="13178" w:type="dxa"/>
            <w:gridSpan w:val="3"/>
            <w:vAlign w:val="center"/>
          </w:tcPr>
          <w:p w14:paraId="561D8301" w14:textId="77777777" w:rsidR="00C81938" w:rsidRPr="006414E6" w:rsidRDefault="00C81938" w:rsidP="00817C16">
            <w:pPr>
              <w:spacing w:line="240" w:lineRule="auto"/>
              <w:rPr>
                <w:rFonts w:eastAsia="Times New Roman" w:cs="Times New Roman"/>
                <w:b/>
                <w:sz w:val="20"/>
                <w:lang w:eastAsia="hr-HR"/>
              </w:rPr>
            </w:pPr>
            <w:r w:rsidRPr="006414E6">
              <w:rPr>
                <w:rFonts w:cs="Times New Roman"/>
                <w:b/>
                <w:sz w:val="20"/>
              </w:rPr>
              <w:t>POLJOPRIVREDA</w:t>
            </w:r>
          </w:p>
        </w:tc>
      </w:tr>
      <w:tr w:rsidR="00B37DF8" w:rsidRPr="006414E6" w14:paraId="3B0AE48C" w14:textId="77777777" w:rsidTr="00177077">
        <w:trPr>
          <w:trHeight w:val="340"/>
        </w:trPr>
        <w:tc>
          <w:tcPr>
            <w:tcW w:w="1129" w:type="dxa"/>
            <w:vAlign w:val="center"/>
          </w:tcPr>
          <w:p w14:paraId="033A1A57"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MAG-1</w:t>
            </w:r>
          </w:p>
        </w:tc>
        <w:tc>
          <w:tcPr>
            <w:tcW w:w="2832" w:type="dxa"/>
            <w:vAlign w:val="center"/>
          </w:tcPr>
          <w:p w14:paraId="671123FD"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Promjena u prehrani goveda i svinja te kvaliteti stočne hrane</w:t>
            </w:r>
          </w:p>
        </w:tc>
        <w:tc>
          <w:tcPr>
            <w:tcW w:w="9217" w:type="dxa"/>
            <w:vAlign w:val="center"/>
          </w:tcPr>
          <w:p w14:paraId="179E9D72"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rPr>
              <w:t xml:space="preserve">Mjere koje se poduzimaju usmjerene su na regulaciju probavnih procesa (način i režim ishrane, odabir krmiva, upotrebu aditiva regulatora aktivnosti </w:t>
            </w:r>
            <w:proofErr w:type="spellStart"/>
            <w:r w:rsidRPr="006414E6">
              <w:rPr>
                <w:rFonts w:cs="Times New Roman"/>
                <w:sz w:val="20"/>
              </w:rPr>
              <w:t>mikropopulacije</w:t>
            </w:r>
            <w:proofErr w:type="spellEnd"/>
            <w:r w:rsidRPr="006414E6">
              <w:rPr>
                <w:rFonts w:cs="Times New Roman"/>
                <w:sz w:val="20"/>
              </w:rPr>
              <w:t>). U praksi se najčešće primjenjuje više mjera istovremeno.</w:t>
            </w:r>
          </w:p>
        </w:tc>
      </w:tr>
      <w:tr w:rsidR="00B37DF8" w:rsidRPr="006414E6" w14:paraId="2F8DE0CB" w14:textId="77777777" w:rsidTr="00177077">
        <w:trPr>
          <w:trHeight w:val="340"/>
        </w:trPr>
        <w:tc>
          <w:tcPr>
            <w:tcW w:w="1129" w:type="dxa"/>
            <w:vAlign w:val="center"/>
          </w:tcPr>
          <w:p w14:paraId="2BEEA94D"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MAG-2</w:t>
            </w:r>
          </w:p>
        </w:tc>
        <w:tc>
          <w:tcPr>
            <w:tcW w:w="2832" w:type="dxa"/>
            <w:vAlign w:val="center"/>
          </w:tcPr>
          <w:p w14:paraId="7DE1ABA9"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Poboljšanje stočarskih gospodarstava i sustava gospodarenja stajskim gnojem</w:t>
            </w:r>
          </w:p>
        </w:tc>
        <w:tc>
          <w:tcPr>
            <w:tcW w:w="9217" w:type="dxa"/>
            <w:vAlign w:val="center"/>
          </w:tcPr>
          <w:p w14:paraId="5583778B"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Poboljšanjem i promjenom postojećih sustava gospodarenja stajskim gnojem i  korištenjem najboljih raspoloživih tehnika moguće je smanjiti navedene emisije.</w:t>
            </w:r>
          </w:p>
        </w:tc>
      </w:tr>
      <w:tr w:rsidR="00B37DF8" w:rsidRPr="006414E6" w14:paraId="7E345FB6" w14:textId="77777777" w:rsidTr="00177077">
        <w:trPr>
          <w:trHeight w:val="340"/>
        </w:trPr>
        <w:tc>
          <w:tcPr>
            <w:tcW w:w="1129" w:type="dxa"/>
            <w:vAlign w:val="center"/>
          </w:tcPr>
          <w:p w14:paraId="70F5A8A8"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MAG-3</w:t>
            </w:r>
          </w:p>
        </w:tc>
        <w:tc>
          <w:tcPr>
            <w:tcW w:w="2832" w:type="dxa"/>
            <w:vAlign w:val="center"/>
          </w:tcPr>
          <w:p w14:paraId="1B5417DD"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Izmjena sustava uzgoja stoke </w:t>
            </w:r>
          </w:p>
        </w:tc>
        <w:tc>
          <w:tcPr>
            <w:tcW w:w="9217" w:type="dxa"/>
            <w:vAlign w:val="center"/>
          </w:tcPr>
          <w:p w14:paraId="0424433E"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rPr>
              <w:t>Mjere kojima se postižu neizravni učinci na smanjenje emisije stakleničkih plinova odnose se na mjere kojima se povećava intenzitet proizvodnje po životinji i u jedinici vremena.</w:t>
            </w:r>
          </w:p>
        </w:tc>
      </w:tr>
      <w:tr w:rsidR="00B37DF8" w:rsidRPr="006414E6" w14:paraId="795F6B5A" w14:textId="77777777" w:rsidTr="00177077">
        <w:trPr>
          <w:trHeight w:val="340"/>
        </w:trPr>
        <w:tc>
          <w:tcPr>
            <w:tcW w:w="1129" w:type="dxa"/>
            <w:vAlign w:val="center"/>
          </w:tcPr>
          <w:p w14:paraId="3A48C02E" w14:textId="77777777" w:rsidR="00B37DF8" w:rsidRPr="006414E6" w:rsidRDefault="00B37DF8" w:rsidP="00B37DF8">
            <w:pPr>
              <w:spacing w:line="240" w:lineRule="auto"/>
              <w:jc w:val="left"/>
              <w:rPr>
                <w:rFonts w:cs="Times New Roman"/>
                <w:sz w:val="20"/>
              </w:rPr>
            </w:pPr>
            <w:r w:rsidRPr="006414E6">
              <w:rPr>
                <w:rFonts w:cs="Times New Roman"/>
                <w:sz w:val="20"/>
              </w:rPr>
              <w:t>MAG-4</w:t>
            </w:r>
          </w:p>
        </w:tc>
        <w:tc>
          <w:tcPr>
            <w:tcW w:w="2832" w:type="dxa"/>
            <w:vAlign w:val="center"/>
          </w:tcPr>
          <w:p w14:paraId="14017051"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Anaerobna razgradnja stajskog gnoja i proizvodnja bioplina</w:t>
            </w:r>
          </w:p>
        </w:tc>
        <w:tc>
          <w:tcPr>
            <w:tcW w:w="9217" w:type="dxa"/>
            <w:vAlign w:val="center"/>
          </w:tcPr>
          <w:p w14:paraId="163E9178"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rPr>
              <w:t>Uvođenjem bioplinskih postrojenja ostvaruje se smanjenje emisije CH</w:t>
            </w:r>
            <w:r w:rsidRPr="006414E6">
              <w:rPr>
                <w:rFonts w:cs="Times New Roman"/>
                <w:sz w:val="20"/>
                <w:vertAlign w:val="subscript"/>
              </w:rPr>
              <w:t xml:space="preserve">4 </w:t>
            </w:r>
            <w:r w:rsidRPr="006414E6">
              <w:rPr>
                <w:rFonts w:cs="Times New Roman"/>
                <w:sz w:val="20"/>
              </w:rPr>
              <w:t>uslijed iskorištavanja stelje kao obnovljivog izvora i proizvodnju električne energije</w:t>
            </w:r>
          </w:p>
        </w:tc>
      </w:tr>
      <w:tr w:rsidR="00B37DF8" w:rsidRPr="006414E6" w14:paraId="75322A99" w14:textId="77777777" w:rsidTr="00177077">
        <w:trPr>
          <w:trHeight w:val="340"/>
        </w:trPr>
        <w:tc>
          <w:tcPr>
            <w:tcW w:w="1129" w:type="dxa"/>
            <w:vAlign w:val="center"/>
          </w:tcPr>
          <w:p w14:paraId="5CA655D4" w14:textId="77777777" w:rsidR="00B37DF8" w:rsidRPr="006414E6" w:rsidRDefault="00B37DF8" w:rsidP="00B37DF8">
            <w:pPr>
              <w:spacing w:line="240" w:lineRule="auto"/>
              <w:jc w:val="left"/>
              <w:rPr>
                <w:rFonts w:cs="Times New Roman"/>
                <w:sz w:val="20"/>
              </w:rPr>
            </w:pPr>
            <w:r w:rsidRPr="006414E6">
              <w:rPr>
                <w:rFonts w:cs="Times New Roman"/>
                <w:sz w:val="20"/>
              </w:rPr>
              <w:t>MAG-5</w:t>
            </w:r>
          </w:p>
        </w:tc>
        <w:tc>
          <w:tcPr>
            <w:tcW w:w="2832" w:type="dxa"/>
            <w:vAlign w:val="center"/>
          </w:tcPr>
          <w:p w14:paraId="743782D9"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Poboljšanje uzgojno-selekcijskog programa, zdravlja i dobrobiti životinja</w:t>
            </w:r>
          </w:p>
        </w:tc>
        <w:tc>
          <w:tcPr>
            <w:tcW w:w="9217" w:type="dxa"/>
            <w:vAlign w:val="center"/>
          </w:tcPr>
          <w:p w14:paraId="10A3C110"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rPr>
              <w:t xml:space="preserve">Cilj mjere je odrediti i </w:t>
            </w:r>
            <w:proofErr w:type="spellStart"/>
            <w:r w:rsidRPr="006414E6">
              <w:rPr>
                <w:rFonts w:cs="Times New Roman"/>
                <w:sz w:val="20"/>
              </w:rPr>
              <w:t>fenotipske</w:t>
            </w:r>
            <w:proofErr w:type="spellEnd"/>
            <w:r w:rsidRPr="006414E6">
              <w:rPr>
                <w:rFonts w:cs="Times New Roman"/>
                <w:sz w:val="20"/>
              </w:rPr>
              <w:t xml:space="preserve"> i genetske varijacije u predviđenoj emisiji CH4 i odrediti potencijal genetike za smanjenje emisija  CH</w:t>
            </w:r>
            <w:r w:rsidRPr="006414E6">
              <w:rPr>
                <w:rFonts w:cs="Times New Roman"/>
                <w:sz w:val="20"/>
                <w:vertAlign w:val="subscript"/>
              </w:rPr>
              <w:t>4</w:t>
            </w:r>
            <w:r w:rsidRPr="006414E6">
              <w:rPr>
                <w:rFonts w:cs="Times New Roman"/>
                <w:sz w:val="20"/>
              </w:rPr>
              <w:t xml:space="preserve"> kod  mliječnih krava, ali i povećani intenzitet proizvodnje.</w:t>
            </w:r>
          </w:p>
        </w:tc>
      </w:tr>
      <w:tr w:rsidR="00B37DF8" w:rsidRPr="006414E6" w14:paraId="32F3FD55" w14:textId="77777777" w:rsidTr="00177077">
        <w:trPr>
          <w:trHeight w:val="340"/>
        </w:trPr>
        <w:tc>
          <w:tcPr>
            <w:tcW w:w="1129" w:type="dxa"/>
            <w:vAlign w:val="center"/>
          </w:tcPr>
          <w:p w14:paraId="20991ABB" w14:textId="77777777" w:rsidR="00B37DF8" w:rsidRPr="006414E6" w:rsidRDefault="00B37DF8" w:rsidP="00B37DF8">
            <w:pPr>
              <w:spacing w:line="240" w:lineRule="auto"/>
              <w:jc w:val="left"/>
              <w:rPr>
                <w:rFonts w:cs="Times New Roman"/>
                <w:sz w:val="20"/>
              </w:rPr>
            </w:pPr>
            <w:r w:rsidRPr="006414E6">
              <w:rPr>
                <w:rFonts w:cs="Times New Roman"/>
                <w:sz w:val="20"/>
              </w:rPr>
              <w:t>MAG-6</w:t>
            </w:r>
          </w:p>
        </w:tc>
        <w:tc>
          <w:tcPr>
            <w:tcW w:w="2832" w:type="dxa"/>
            <w:vAlign w:val="center"/>
          </w:tcPr>
          <w:p w14:paraId="2CA3482F"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Unaprjeđivanje i promjena sustava obrade tla (reducirana obrada)</w:t>
            </w:r>
          </w:p>
        </w:tc>
        <w:tc>
          <w:tcPr>
            <w:tcW w:w="9217" w:type="dxa"/>
            <w:vAlign w:val="center"/>
          </w:tcPr>
          <w:p w14:paraId="0F14FB29" w14:textId="77777777" w:rsidR="00B37DF8" w:rsidRPr="006414E6" w:rsidRDefault="00B37DF8" w:rsidP="00817C16">
            <w:pPr>
              <w:shd w:val="clear" w:color="auto" w:fill="FFFFFF"/>
              <w:spacing w:line="240" w:lineRule="auto"/>
              <w:rPr>
                <w:rFonts w:eastAsia="MS Mincho" w:cs="Times New Roman"/>
                <w:sz w:val="20"/>
                <w:lang w:eastAsia="ja-JP"/>
              </w:rPr>
            </w:pPr>
            <w:r w:rsidRPr="006414E6">
              <w:rPr>
                <w:rFonts w:cs="Times New Roman"/>
                <w:sz w:val="20"/>
              </w:rPr>
              <w:t>Reducirana obrada tla predstavlja rezultat znanstvenih istraživanja i praktičnih provjera koji rezultiraju promjenom konvencionalnog sustava obrade tla kroz reduciranje dubine obrade, izostavljanje jednog ili više radnih zahvata, reduciranje frekvencije ili potpuno izostavljanje obrade, reduciranje površine tla koje se obrađuje te zadržavanje biljnih ostataka. Izravni utjecaj na emisiju stakleničkih plinova prvenstveno se odnosi na značajni utjecaj na sadržaj organskog ugljika u tlu te manji broja radnih sati strojeva.</w:t>
            </w:r>
          </w:p>
        </w:tc>
      </w:tr>
      <w:tr w:rsidR="00B37DF8" w:rsidRPr="006414E6" w14:paraId="73B4D0CF" w14:textId="77777777" w:rsidTr="00177077">
        <w:trPr>
          <w:trHeight w:val="340"/>
        </w:trPr>
        <w:tc>
          <w:tcPr>
            <w:tcW w:w="1129" w:type="dxa"/>
            <w:vAlign w:val="center"/>
          </w:tcPr>
          <w:p w14:paraId="554A6A83" w14:textId="77777777" w:rsidR="00B37DF8" w:rsidRPr="006414E6" w:rsidRDefault="00B37DF8" w:rsidP="00B37DF8">
            <w:pPr>
              <w:spacing w:line="240" w:lineRule="auto"/>
              <w:jc w:val="left"/>
              <w:rPr>
                <w:rFonts w:cs="Times New Roman"/>
                <w:sz w:val="20"/>
              </w:rPr>
            </w:pPr>
            <w:r w:rsidRPr="006414E6">
              <w:rPr>
                <w:rFonts w:cs="Times New Roman"/>
                <w:sz w:val="20"/>
              </w:rPr>
              <w:lastRenderedPageBreak/>
              <w:t>MAG-7</w:t>
            </w:r>
          </w:p>
        </w:tc>
        <w:tc>
          <w:tcPr>
            <w:tcW w:w="2832" w:type="dxa"/>
            <w:vAlign w:val="center"/>
          </w:tcPr>
          <w:p w14:paraId="22E50C1E"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Proširenje plodoreda s većim učešćem leguminoza</w:t>
            </w:r>
          </w:p>
        </w:tc>
        <w:tc>
          <w:tcPr>
            <w:tcW w:w="9217" w:type="dxa"/>
            <w:vAlign w:val="center"/>
          </w:tcPr>
          <w:p w14:paraId="480E9D49"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Sjetva </w:t>
            </w:r>
            <w:proofErr w:type="spellStart"/>
            <w:r w:rsidRPr="006414E6">
              <w:rPr>
                <w:rFonts w:eastAsia="Times New Roman" w:cs="Times New Roman"/>
                <w:sz w:val="20"/>
                <w:lang w:eastAsia="hr-HR"/>
              </w:rPr>
              <w:t>leguminoznih</w:t>
            </w:r>
            <w:proofErr w:type="spellEnd"/>
            <w:r w:rsidRPr="006414E6">
              <w:rPr>
                <w:rFonts w:eastAsia="Times New Roman" w:cs="Times New Roman"/>
                <w:sz w:val="20"/>
                <w:lang w:eastAsia="hr-HR"/>
              </w:rPr>
              <w:t xml:space="preserve"> usjeva veže atmosferski dušik, smanjuje se opasnost od onečišćenja podzemnih voda ,tlo se obogaćuje organskom tvari što ima višestruke pozitivne učinke na poboljšanje i održanje povoljnih fizikalnih, kemijskih i bioloških svojstava tla.</w:t>
            </w:r>
          </w:p>
        </w:tc>
      </w:tr>
      <w:tr w:rsidR="00B37DF8" w:rsidRPr="006414E6" w14:paraId="30252622" w14:textId="77777777" w:rsidTr="00177077">
        <w:trPr>
          <w:trHeight w:val="340"/>
        </w:trPr>
        <w:tc>
          <w:tcPr>
            <w:tcW w:w="1129" w:type="dxa"/>
            <w:vAlign w:val="center"/>
          </w:tcPr>
          <w:p w14:paraId="7ABB867D" w14:textId="77777777" w:rsidR="00B37DF8" w:rsidRPr="006414E6" w:rsidRDefault="00B37DF8" w:rsidP="00B37DF8">
            <w:pPr>
              <w:spacing w:line="240" w:lineRule="auto"/>
              <w:jc w:val="left"/>
              <w:rPr>
                <w:rFonts w:cs="Times New Roman"/>
                <w:sz w:val="20"/>
              </w:rPr>
            </w:pPr>
            <w:r w:rsidRPr="006414E6">
              <w:rPr>
                <w:rFonts w:cs="Times New Roman"/>
                <w:sz w:val="20"/>
              </w:rPr>
              <w:t>MAG-8</w:t>
            </w:r>
          </w:p>
        </w:tc>
        <w:tc>
          <w:tcPr>
            <w:tcW w:w="2832" w:type="dxa"/>
            <w:vAlign w:val="center"/>
          </w:tcPr>
          <w:p w14:paraId="07235BD4"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Intenziviranje plodoreda korištenjem </w:t>
            </w:r>
            <w:proofErr w:type="spellStart"/>
            <w:r w:rsidRPr="006414E6">
              <w:rPr>
                <w:rFonts w:eastAsia="Times New Roman" w:cs="Times New Roman"/>
                <w:sz w:val="20"/>
                <w:lang w:eastAsia="hr-HR"/>
              </w:rPr>
              <w:t>međuusjeva</w:t>
            </w:r>
            <w:proofErr w:type="spellEnd"/>
          </w:p>
        </w:tc>
        <w:tc>
          <w:tcPr>
            <w:tcW w:w="9217" w:type="dxa"/>
            <w:vAlign w:val="center"/>
          </w:tcPr>
          <w:p w14:paraId="72869593"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rPr>
              <w:t xml:space="preserve">Sjetvom </w:t>
            </w:r>
            <w:proofErr w:type="spellStart"/>
            <w:r w:rsidRPr="006414E6">
              <w:rPr>
                <w:rFonts w:cs="Times New Roman"/>
                <w:sz w:val="20"/>
              </w:rPr>
              <w:t>međuusjeva</w:t>
            </w:r>
            <w:proofErr w:type="spellEnd"/>
            <w:r w:rsidRPr="006414E6">
              <w:rPr>
                <w:rFonts w:cs="Times New Roman"/>
                <w:sz w:val="20"/>
              </w:rPr>
              <w:t xml:space="preserve"> koji se mogu  koristiti za hranidbu stoke ili zaorati za zelenu gnojidbu, iskoristiti će se preostala </w:t>
            </w:r>
            <w:proofErr w:type="spellStart"/>
            <w:r w:rsidRPr="006414E6">
              <w:rPr>
                <w:rFonts w:cs="Times New Roman"/>
                <w:sz w:val="20"/>
              </w:rPr>
              <w:t>hraniva</w:t>
            </w:r>
            <w:proofErr w:type="spellEnd"/>
            <w:r w:rsidRPr="006414E6">
              <w:rPr>
                <w:rFonts w:cs="Times New Roman"/>
                <w:sz w:val="20"/>
              </w:rPr>
              <w:t>, spriječiti daljnje isparavanje vode iz tla, smanjiti gubitak ugljika iz tla, spriječiti ispiranje dušika u podzemne vode te povećati organsku masu u tlu.</w:t>
            </w:r>
          </w:p>
        </w:tc>
      </w:tr>
      <w:tr w:rsidR="00B37DF8" w:rsidRPr="006414E6" w14:paraId="76BDAF77" w14:textId="77777777" w:rsidTr="00177077">
        <w:trPr>
          <w:trHeight w:val="340"/>
        </w:trPr>
        <w:tc>
          <w:tcPr>
            <w:tcW w:w="1129" w:type="dxa"/>
            <w:vAlign w:val="center"/>
          </w:tcPr>
          <w:p w14:paraId="1C34B867" w14:textId="77777777" w:rsidR="00B37DF8" w:rsidRPr="006414E6" w:rsidRDefault="00B37DF8" w:rsidP="00B37DF8">
            <w:pPr>
              <w:spacing w:line="240" w:lineRule="auto"/>
              <w:jc w:val="left"/>
              <w:rPr>
                <w:rFonts w:cs="Times New Roman"/>
                <w:sz w:val="20"/>
              </w:rPr>
            </w:pPr>
            <w:r w:rsidRPr="006414E6">
              <w:rPr>
                <w:rFonts w:cs="Times New Roman"/>
                <w:sz w:val="20"/>
              </w:rPr>
              <w:t>MAG-9</w:t>
            </w:r>
          </w:p>
        </w:tc>
        <w:tc>
          <w:tcPr>
            <w:tcW w:w="2832" w:type="dxa"/>
            <w:vAlign w:val="center"/>
          </w:tcPr>
          <w:p w14:paraId="2D92F6ED"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Poboljšanje metoda primjene mineralnih gnojiva</w:t>
            </w:r>
          </w:p>
        </w:tc>
        <w:tc>
          <w:tcPr>
            <w:tcW w:w="9217" w:type="dxa"/>
            <w:vAlign w:val="center"/>
          </w:tcPr>
          <w:p w14:paraId="7A179BB7"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Smanjenje potrošnje mineralnih gnojiva neizravna je korist iz ostalih mjera kojima se smanjuje potreba za njihovom primjenom, ali uz pravilnu </w:t>
            </w:r>
            <w:proofErr w:type="spellStart"/>
            <w:r w:rsidRPr="006414E6">
              <w:rPr>
                <w:rFonts w:eastAsia="Times New Roman" w:cs="Times New Roman"/>
                <w:sz w:val="20"/>
                <w:lang w:eastAsia="hr-HR"/>
              </w:rPr>
              <w:t>gnojidbenu</w:t>
            </w:r>
            <w:proofErr w:type="spellEnd"/>
            <w:r w:rsidRPr="006414E6">
              <w:rPr>
                <w:rFonts w:eastAsia="Times New Roman" w:cs="Times New Roman"/>
                <w:sz w:val="20"/>
                <w:lang w:eastAsia="hr-HR"/>
              </w:rPr>
              <w:t xml:space="preserve">  praksu .Primjenom </w:t>
            </w:r>
            <w:proofErr w:type="spellStart"/>
            <w:r w:rsidRPr="006414E6">
              <w:rPr>
                <w:rFonts w:eastAsia="Times New Roman" w:cs="Times New Roman"/>
                <w:sz w:val="20"/>
                <w:lang w:eastAsia="hr-HR"/>
              </w:rPr>
              <w:t>sporodjelujućih</w:t>
            </w:r>
            <w:proofErr w:type="spellEnd"/>
            <w:r w:rsidRPr="006414E6">
              <w:rPr>
                <w:rFonts w:eastAsia="Times New Roman" w:cs="Times New Roman"/>
                <w:sz w:val="20"/>
                <w:lang w:eastAsia="hr-HR"/>
              </w:rPr>
              <w:t xml:space="preserve"> gnojiva može se i izravno utjecati na ukupnu primijenjenu količinu mineralnih gnojiva.</w:t>
            </w:r>
          </w:p>
        </w:tc>
      </w:tr>
      <w:tr w:rsidR="00B37DF8" w:rsidRPr="006414E6" w14:paraId="52FB3A50" w14:textId="77777777" w:rsidTr="00177077">
        <w:trPr>
          <w:trHeight w:val="340"/>
        </w:trPr>
        <w:tc>
          <w:tcPr>
            <w:tcW w:w="1129" w:type="dxa"/>
            <w:vAlign w:val="center"/>
          </w:tcPr>
          <w:p w14:paraId="66016F53" w14:textId="77777777" w:rsidR="00B37DF8" w:rsidRPr="006414E6" w:rsidRDefault="00B37DF8" w:rsidP="00B37DF8">
            <w:pPr>
              <w:spacing w:line="240" w:lineRule="auto"/>
              <w:jc w:val="left"/>
              <w:rPr>
                <w:rFonts w:cs="Times New Roman"/>
                <w:sz w:val="20"/>
              </w:rPr>
            </w:pPr>
            <w:r w:rsidRPr="006414E6">
              <w:rPr>
                <w:rFonts w:cs="Times New Roman"/>
                <w:sz w:val="20"/>
              </w:rPr>
              <w:t>MAG-10</w:t>
            </w:r>
          </w:p>
        </w:tc>
        <w:tc>
          <w:tcPr>
            <w:tcW w:w="2832" w:type="dxa"/>
            <w:vAlign w:val="center"/>
          </w:tcPr>
          <w:p w14:paraId="6018B02C"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Poboljšanje metoda primjene organskih gnojiva </w:t>
            </w:r>
          </w:p>
        </w:tc>
        <w:tc>
          <w:tcPr>
            <w:tcW w:w="9217" w:type="dxa"/>
            <w:vAlign w:val="center"/>
          </w:tcPr>
          <w:p w14:paraId="2E2B6CD7"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Organska gnojiva su podrijetlom iz organskih izvora poput krutog stajskog gnoja ili </w:t>
            </w:r>
            <w:proofErr w:type="spellStart"/>
            <w:r w:rsidRPr="006414E6">
              <w:rPr>
                <w:rFonts w:eastAsia="Times New Roman" w:cs="Times New Roman"/>
                <w:sz w:val="20"/>
                <w:lang w:eastAsia="hr-HR"/>
              </w:rPr>
              <w:t>gnojovke</w:t>
            </w:r>
            <w:proofErr w:type="spellEnd"/>
            <w:r w:rsidRPr="006414E6">
              <w:rPr>
                <w:rFonts w:eastAsia="Times New Roman" w:cs="Times New Roman"/>
                <w:sz w:val="20"/>
                <w:lang w:eastAsia="hr-HR"/>
              </w:rPr>
              <w:t xml:space="preserve"> i biljnih, odnosno životinjskih ostataka, te jače potiču aktivnost mikroba tla u odnosu na mineralna gnojiva. K</w:t>
            </w:r>
            <w:r w:rsidRPr="006414E6">
              <w:rPr>
                <w:rFonts w:cs="Times New Roman"/>
                <w:bCs/>
                <w:sz w:val="20"/>
              </w:rPr>
              <w:t xml:space="preserve">orištenjem </w:t>
            </w:r>
            <w:proofErr w:type="spellStart"/>
            <w:r w:rsidRPr="006414E6">
              <w:rPr>
                <w:rFonts w:cs="Times New Roman"/>
                <w:bCs/>
                <w:sz w:val="20"/>
              </w:rPr>
              <w:t>injektora</w:t>
            </w:r>
            <w:proofErr w:type="spellEnd"/>
            <w:r w:rsidRPr="006414E6">
              <w:rPr>
                <w:rFonts w:cs="Times New Roman"/>
                <w:bCs/>
                <w:sz w:val="20"/>
              </w:rPr>
              <w:t xml:space="preserve"> za direktno ubrizgavanju u tlo smanjuje se gubitak dušika uslijed </w:t>
            </w:r>
            <w:proofErr w:type="spellStart"/>
            <w:r w:rsidRPr="006414E6">
              <w:rPr>
                <w:rFonts w:cs="Times New Roman"/>
                <w:bCs/>
                <w:sz w:val="20"/>
              </w:rPr>
              <w:t>volatizacije</w:t>
            </w:r>
            <w:proofErr w:type="spellEnd"/>
            <w:r w:rsidRPr="006414E6">
              <w:rPr>
                <w:rFonts w:cs="Times New Roman"/>
                <w:bCs/>
                <w:sz w:val="20"/>
              </w:rPr>
              <w:t xml:space="preserve"> </w:t>
            </w:r>
          </w:p>
        </w:tc>
      </w:tr>
      <w:tr w:rsidR="00B37DF8" w:rsidRPr="006414E6" w14:paraId="11145C90" w14:textId="77777777" w:rsidTr="00177077">
        <w:trPr>
          <w:trHeight w:val="340"/>
        </w:trPr>
        <w:tc>
          <w:tcPr>
            <w:tcW w:w="1129" w:type="dxa"/>
            <w:vAlign w:val="center"/>
          </w:tcPr>
          <w:p w14:paraId="0AF8F079" w14:textId="77777777" w:rsidR="00B37DF8" w:rsidRPr="006414E6" w:rsidRDefault="00B37DF8" w:rsidP="00B37DF8">
            <w:pPr>
              <w:spacing w:line="240" w:lineRule="auto"/>
              <w:jc w:val="left"/>
              <w:rPr>
                <w:rFonts w:cs="Times New Roman"/>
                <w:sz w:val="20"/>
              </w:rPr>
            </w:pPr>
            <w:r w:rsidRPr="006414E6">
              <w:rPr>
                <w:rFonts w:cs="Times New Roman"/>
                <w:sz w:val="20"/>
              </w:rPr>
              <w:t>MAG-11</w:t>
            </w:r>
          </w:p>
        </w:tc>
        <w:tc>
          <w:tcPr>
            <w:tcW w:w="2832" w:type="dxa"/>
            <w:vAlign w:val="center"/>
          </w:tcPr>
          <w:p w14:paraId="0B2E0A88" w14:textId="77777777" w:rsidR="00B37DF8" w:rsidRPr="006414E6" w:rsidRDefault="00B37DF8" w:rsidP="00B37DF8">
            <w:pPr>
              <w:spacing w:line="240" w:lineRule="auto"/>
              <w:jc w:val="left"/>
              <w:rPr>
                <w:rFonts w:eastAsia="Times New Roman" w:cs="Times New Roman"/>
                <w:sz w:val="20"/>
                <w:lang w:eastAsia="hr-HR"/>
              </w:rPr>
            </w:pPr>
            <w:proofErr w:type="spellStart"/>
            <w:r w:rsidRPr="006414E6">
              <w:rPr>
                <w:rFonts w:eastAsia="Times New Roman" w:cs="Times New Roman"/>
                <w:sz w:val="20"/>
                <w:lang w:eastAsia="hr-HR"/>
              </w:rPr>
              <w:t>Agrošumarstvo</w:t>
            </w:r>
            <w:proofErr w:type="spellEnd"/>
          </w:p>
        </w:tc>
        <w:tc>
          <w:tcPr>
            <w:tcW w:w="9217" w:type="dxa"/>
            <w:vAlign w:val="center"/>
          </w:tcPr>
          <w:p w14:paraId="0056BC35" w14:textId="77777777" w:rsidR="00B37DF8" w:rsidRPr="006414E6" w:rsidRDefault="00B37DF8" w:rsidP="00817C16">
            <w:pPr>
              <w:spacing w:line="240" w:lineRule="auto"/>
              <w:rPr>
                <w:rFonts w:cs="Times New Roman"/>
                <w:sz w:val="20"/>
              </w:rPr>
            </w:pPr>
            <w:proofErr w:type="spellStart"/>
            <w:r w:rsidRPr="006414E6">
              <w:rPr>
                <w:rFonts w:cs="Times New Roman"/>
                <w:sz w:val="20"/>
              </w:rPr>
              <w:t>Agrošumarstvo</w:t>
            </w:r>
            <w:proofErr w:type="spellEnd"/>
            <w:r w:rsidRPr="006414E6">
              <w:rPr>
                <w:rFonts w:cs="Times New Roman"/>
                <w:sz w:val="20"/>
              </w:rPr>
              <w:t xml:space="preserve"> je zajednički naziv za sustave gospodarenja zemljištem pri kojem se trajne drvenaste vrste integriraju s uzgojem usjeva i/ili životinja na istoj površinskoj jedinici. Pojedini </w:t>
            </w:r>
            <w:proofErr w:type="spellStart"/>
            <w:r w:rsidRPr="006414E6">
              <w:rPr>
                <w:rFonts w:cs="Times New Roman"/>
                <w:sz w:val="20"/>
              </w:rPr>
              <w:t>agrošumarski</w:t>
            </w:r>
            <w:proofErr w:type="spellEnd"/>
            <w:r w:rsidRPr="006414E6">
              <w:rPr>
                <w:rFonts w:cs="Times New Roman"/>
                <w:sz w:val="20"/>
              </w:rPr>
              <w:t xml:space="preserve"> sustavi (npr. </w:t>
            </w:r>
            <w:proofErr w:type="spellStart"/>
            <w:r w:rsidRPr="006414E6">
              <w:rPr>
                <w:rFonts w:cs="Times New Roman"/>
                <w:sz w:val="20"/>
              </w:rPr>
              <w:t>agrosilvakultura</w:t>
            </w:r>
            <w:proofErr w:type="spellEnd"/>
            <w:r w:rsidRPr="006414E6">
              <w:rPr>
                <w:rFonts w:cs="Times New Roman"/>
                <w:sz w:val="20"/>
              </w:rPr>
              <w:t xml:space="preserve">) su značajni odlivi ugljika. </w:t>
            </w:r>
          </w:p>
          <w:p w14:paraId="1A7EE498"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rPr>
              <w:t xml:space="preserve">Potrebno je  putem pokusa ustanoviti primjenjivost </w:t>
            </w:r>
            <w:proofErr w:type="spellStart"/>
            <w:r w:rsidRPr="006414E6">
              <w:rPr>
                <w:rFonts w:cs="Times New Roman"/>
                <w:sz w:val="20"/>
              </w:rPr>
              <w:t>agrošumarstva</w:t>
            </w:r>
            <w:proofErr w:type="spellEnd"/>
            <w:r w:rsidRPr="006414E6">
              <w:rPr>
                <w:rFonts w:cs="Times New Roman"/>
                <w:sz w:val="20"/>
              </w:rPr>
              <w:t xml:space="preserve"> u našim uvjetima s obzirom na različite oblike i podjele, ali i na različite potrebe.</w:t>
            </w:r>
          </w:p>
        </w:tc>
      </w:tr>
      <w:tr w:rsidR="00B37DF8" w:rsidRPr="006414E6" w14:paraId="3F779A21" w14:textId="77777777" w:rsidTr="00177077">
        <w:trPr>
          <w:trHeight w:val="340"/>
        </w:trPr>
        <w:tc>
          <w:tcPr>
            <w:tcW w:w="1129" w:type="dxa"/>
            <w:vAlign w:val="center"/>
          </w:tcPr>
          <w:p w14:paraId="552FAAC7" w14:textId="77777777" w:rsidR="00B37DF8" w:rsidRPr="006414E6" w:rsidRDefault="00B37DF8" w:rsidP="00B37DF8">
            <w:pPr>
              <w:spacing w:line="240" w:lineRule="auto"/>
              <w:jc w:val="left"/>
              <w:rPr>
                <w:rFonts w:cs="Times New Roman"/>
                <w:sz w:val="20"/>
              </w:rPr>
            </w:pPr>
            <w:r w:rsidRPr="006414E6">
              <w:rPr>
                <w:rFonts w:cs="Times New Roman"/>
                <w:sz w:val="20"/>
              </w:rPr>
              <w:t>MAG-12</w:t>
            </w:r>
          </w:p>
        </w:tc>
        <w:tc>
          <w:tcPr>
            <w:tcW w:w="2832" w:type="dxa"/>
            <w:vAlign w:val="center"/>
          </w:tcPr>
          <w:p w14:paraId="20B7759C" w14:textId="77777777" w:rsidR="00B37DF8" w:rsidRPr="006414E6" w:rsidRDefault="00B37DF8" w:rsidP="00B37DF8">
            <w:pPr>
              <w:spacing w:line="240" w:lineRule="auto"/>
              <w:jc w:val="left"/>
              <w:rPr>
                <w:rFonts w:eastAsia="Times New Roman" w:cs="Times New Roman"/>
                <w:sz w:val="20"/>
                <w:lang w:eastAsia="hr-HR"/>
              </w:rPr>
            </w:pPr>
            <w:proofErr w:type="spellStart"/>
            <w:r w:rsidRPr="006414E6">
              <w:rPr>
                <w:rFonts w:eastAsia="Times New Roman" w:cs="Times New Roman"/>
                <w:sz w:val="20"/>
                <w:lang w:eastAsia="hr-HR"/>
              </w:rPr>
              <w:t>Hidromelioracijski</w:t>
            </w:r>
            <w:proofErr w:type="spellEnd"/>
            <w:r w:rsidRPr="006414E6">
              <w:rPr>
                <w:rFonts w:eastAsia="Times New Roman" w:cs="Times New Roman"/>
                <w:sz w:val="20"/>
                <w:lang w:eastAsia="hr-HR"/>
              </w:rPr>
              <w:t xml:space="preserve"> zahvati i sustavi zaštite od nepogoda</w:t>
            </w:r>
          </w:p>
        </w:tc>
        <w:tc>
          <w:tcPr>
            <w:tcW w:w="9217" w:type="dxa"/>
            <w:vAlign w:val="center"/>
          </w:tcPr>
          <w:p w14:paraId="39279B25"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Uz kontroliranu primjenu mineralnih gnojiva, za smanjenje emisije nitrata važna je kontrolirana odvodnja, ponovno korištenje drenirane vode te korištenje vode odgovarajuće kvalitete.  Drenaža ima funkciju odvodnje suvišne količine vode. Također, promjena vodozračnih odnosa tla utječe i na aktivnost korisnih mikroorganizama</w:t>
            </w:r>
          </w:p>
        </w:tc>
      </w:tr>
      <w:tr w:rsidR="00B37DF8" w:rsidRPr="006414E6" w14:paraId="7E51D9B2" w14:textId="77777777" w:rsidTr="00177077">
        <w:trPr>
          <w:trHeight w:val="340"/>
        </w:trPr>
        <w:tc>
          <w:tcPr>
            <w:tcW w:w="1129" w:type="dxa"/>
            <w:vAlign w:val="center"/>
          </w:tcPr>
          <w:p w14:paraId="6A60CCF6" w14:textId="77777777" w:rsidR="00B37DF8" w:rsidRPr="006414E6" w:rsidRDefault="00B37DF8" w:rsidP="00B37DF8">
            <w:pPr>
              <w:spacing w:line="240" w:lineRule="auto"/>
              <w:jc w:val="left"/>
              <w:rPr>
                <w:rFonts w:cs="Times New Roman"/>
                <w:sz w:val="20"/>
              </w:rPr>
            </w:pPr>
            <w:r w:rsidRPr="006414E6">
              <w:rPr>
                <w:rFonts w:cs="Times New Roman"/>
                <w:sz w:val="20"/>
              </w:rPr>
              <w:t>MAG-13</w:t>
            </w:r>
          </w:p>
        </w:tc>
        <w:tc>
          <w:tcPr>
            <w:tcW w:w="2832" w:type="dxa"/>
            <w:vAlign w:val="center"/>
          </w:tcPr>
          <w:p w14:paraId="1EA3E591"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Uvođenje novih kultivara, sorti i kultura </w:t>
            </w:r>
          </w:p>
        </w:tc>
        <w:tc>
          <w:tcPr>
            <w:tcW w:w="9217" w:type="dxa"/>
            <w:vAlign w:val="center"/>
          </w:tcPr>
          <w:p w14:paraId="10AAAA3E"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Smanjenje primjene mineralnog dušika kroz primjenu novih kultivara sa povećanom otpornošću i smanjenom potrebom za </w:t>
            </w:r>
            <w:proofErr w:type="spellStart"/>
            <w:r w:rsidRPr="006414E6">
              <w:rPr>
                <w:rFonts w:eastAsia="Times New Roman" w:cs="Times New Roman"/>
                <w:sz w:val="20"/>
                <w:lang w:eastAsia="hr-HR"/>
              </w:rPr>
              <w:t>hranivima</w:t>
            </w:r>
            <w:proofErr w:type="spellEnd"/>
            <w:r w:rsidRPr="006414E6">
              <w:rPr>
                <w:rFonts w:eastAsia="Times New Roman" w:cs="Times New Roman"/>
                <w:sz w:val="20"/>
                <w:lang w:eastAsia="hr-HR"/>
              </w:rPr>
              <w:t xml:space="preserve">,  kao i specifičnih leguminoza koje imaju sposobnost simbiotskog odnosa s </w:t>
            </w:r>
            <w:proofErr w:type="spellStart"/>
            <w:r w:rsidRPr="006414E6">
              <w:rPr>
                <w:rFonts w:eastAsia="Times New Roman" w:cs="Times New Roman"/>
                <w:sz w:val="20"/>
                <w:lang w:eastAsia="hr-HR"/>
              </w:rPr>
              <w:t>kvržičnim</w:t>
            </w:r>
            <w:proofErr w:type="spellEnd"/>
            <w:r w:rsidRPr="006414E6">
              <w:rPr>
                <w:rFonts w:eastAsia="Times New Roman" w:cs="Times New Roman"/>
                <w:sz w:val="20"/>
                <w:lang w:eastAsia="hr-HR"/>
              </w:rPr>
              <w:t xml:space="preserve"> bakterijama.</w:t>
            </w:r>
          </w:p>
        </w:tc>
      </w:tr>
      <w:tr w:rsidR="00B37DF8" w:rsidRPr="006414E6" w14:paraId="75190827" w14:textId="77777777" w:rsidTr="00177077">
        <w:trPr>
          <w:trHeight w:val="340"/>
        </w:trPr>
        <w:tc>
          <w:tcPr>
            <w:tcW w:w="1129" w:type="dxa"/>
            <w:vAlign w:val="center"/>
          </w:tcPr>
          <w:p w14:paraId="25198551" w14:textId="77777777" w:rsidR="00B37DF8" w:rsidRPr="006414E6" w:rsidRDefault="00B37DF8" w:rsidP="00B37DF8">
            <w:pPr>
              <w:spacing w:line="240" w:lineRule="auto"/>
              <w:jc w:val="left"/>
              <w:rPr>
                <w:rFonts w:cs="Times New Roman"/>
                <w:sz w:val="20"/>
              </w:rPr>
            </w:pPr>
            <w:r w:rsidRPr="006414E6">
              <w:rPr>
                <w:rFonts w:cs="Times New Roman"/>
                <w:sz w:val="20"/>
              </w:rPr>
              <w:t>MAG-14</w:t>
            </w:r>
          </w:p>
        </w:tc>
        <w:tc>
          <w:tcPr>
            <w:tcW w:w="2832" w:type="dxa"/>
            <w:vAlign w:val="center"/>
          </w:tcPr>
          <w:p w14:paraId="5F1C2D72"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Promjena načina prehrane ljudi </w:t>
            </w:r>
          </w:p>
        </w:tc>
        <w:tc>
          <w:tcPr>
            <w:tcW w:w="9217" w:type="dxa"/>
            <w:vAlign w:val="center"/>
          </w:tcPr>
          <w:p w14:paraId="57085105"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Uzgoj žitarica za stočnu hranu proizvodi puno više stakleničkih plinova nego proizvodnja žitarica za ljudsku prehranu. Smanjivanjem utroška mesa (posebno crvenog) u prehrani u korist namirnica biljnog porijekla, mogu se ostvariti značajna smanjenja emisija, kao i ušteda vode.</w:t>
            </w:r>
          </w:p>
        </w:tc>
      </w:tr>
      <w:tr w:rsidR="00B37DF8" w:rsidRPr="006414E6" w14:paraId="03305913" w14:textId="77777777" w:rsidTr="00177077">
        <w:trPr>
          <w:trHeight w:val="340"/>
        </w:trPr>
        <w:tc>
          <w:tcPr>
            <w:tcW w:w="1129" w:type="dxa"/>
            <w:tcBorders>
              <w:bottom w:val="single" w:sz="4" w:space="0" w:color="000000"/>
            </w:tcBorders>
            <w:vAlign w:val="center"/>
          </w:tcPr>
          <w:p w14:paraId="5C5AAA1D"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MAG-15</w:t>
            </w:r>
          </w:p>
        </w:tc>
        <w:tc>
          <w:tcPr>
            <w:tcW w:w="2832" w:type="dxa"/>
            <w:tcBorders>
              <w:bottom w:val="single" w:sz="4" w:space="0" w:color="000000"/>
            </w:tcBorders>
            <w:vAlign w:val="center"/>
          </w:tcPr>
          <w:p w14:paraId="1D3D14BF"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Sakupljanje i obrada poljoprivrednih nasada i </w:t>
            </w:r>
            <w:r w:rsidRPr="006414E6">
              <w:rPr>
                <w:rFonts w:eastAsia="Times New Roman" w:cs="Times New Roman"/>
                <w:sz w:val="20"/>
                <w:lang w:eastAsia="hr-HR"/>
              </w:rPr>
              <w:lastRenderedPageBreak/>
              <w:t>ostataka za korištenje u energetske svrhe</w:t>
            </w:r>
          </w:p>
        </w:tc>
        <w:tc>
          <w:tcPr>
            <w:tcW w:w="9217" w:type="dxa"/>
            <w:tcBorders>
              <w:bottom w:val="single" w:sz="4" w:space="0" w:color="000000"/>
            </w:tcBorders>
            <w:vAlign w:val="center"/>
          </w:tcPr>
          <w:p w14:paraId="4B51A0AD" w14:textId="77777777" w:rsidR="00B37DF8" w:rsidRPr="006414E6" w:rsidRDefault="00B37DF8" w:rsidP="00817C16">
            <w:pPr>
              <w:spacing w:line="240" w:lineRule="auto"/>
              <w:rPr>
                <w:rFonts w:cs="Times New Roman"/>
                <w:sz w:val="20"/>
                <w:lang w:eastAsia="hr-HR"/>
              </w:rPr>
            </w:pPr>
            <w:r w:rsidRPr="006414E6">
              <w:rPr>
                <w:rFonts w:cs="Times New Roman"/>
                <w:sz w:val="20"/>
                <w:lang w:eastAsia="hr-HR"/>
              </w:rPr>
              <w:lastRenderedPageBreak/>
              <w:t xml:space="preserve">Energetsko iskorištavanje </w:t>
            </w:r>
            <w:proofErr w:type="spellStart"/>
            <w:r w:rsidRPr="006414E6">
              <w:rPr>
                <w:rFonts w:cs="Times New Roman"/>
                <w:sz w:val="20"/>
                <w:lang w:eastAsia="hr-HR"/>
              </w:rPr>
              <w:t>posliježetvenih</w:t>
            </w:r>
            <w:proofErr w:type="spellEnd"/>
            <w:r w:rsidRPr="006414E6">
              <w:rPr>
                <w:rFonts w:cs="Times New Roman"/>
                <w:sz w:val="20"/>
                <w:lang w:eastAsia="hr-HR"/>
              </w:rPr>
              <w:t xml:space="preserve"> ostataka (s naglaskom na ratarske) kultura jedan je od značajnijih načina proizvodnje energije iz biomase u RH. Ostali mogući izvori su ostaci zimske žetve gotovo svih </w:t>
            </w:r>
            <w:r w:rsidRPr="006414E6">
              <w:rPr>
                <w:rFonts w:cs="Times New Roman"/>
                <w:sz w:val="20"/>
                <w:lang w:eastAsia="hr-HR"/>
              </w:rPr>
              <w:lastRenderedPageBreak/>
              <w:t>hortikulturnih vrsta, kao i brzorastuće kulture za proizvodnju energije koje se sade/siju isključivo za proizvodnju biomase s ciljem njezine konverzije u energiju.</w:t>
            </w:r>
          </w:p>
          <w:p w14:paraId="158DFD05" w14:textId="77777777" w:rsidR="00B37DF8" w:rsidRPr="006414E6" w:rsidRDefault="00B37DF8" w:rsidP="00817C16">
            <w:pPr>
              <w:spacing w:line="240" w:lineRule="auto"/>
              <w:rPr>
                <w:rFonts w:eastAsia="Times New Roman" w:cs="Times New Roman"/>
                <w:sz w:val="20"/>
                <w:lang w:eastAsia="hr-HR"/>
              </w:rPr>
            </w:pPr>
            <w:r w:rsidRPr="006414E6">
              <w:rPr>
                <w:rFonts w:cs="Times New Roman"/>
                <w:sz w:val="20"/>
                <w:lang w:eastAsia="hr-HR"/>
              </w:rPr>
              <w:t xml:space="preserve">U cilju razvoja tržišta biomase, uspostavit će se sabirno-logistički centri za biomasu koristeći postojeću infrastrukturu (komunalna poduzeća, centre kompetencija, poslovne zone) kako bi se smanjio jedinični trošak proizvodnje proizvoda iz biomase te kapitalizirali inovacijski kapaciteti i neophodna oprema za inovativne proizvode iz biomase za </w:t>
            </w:r>
            <w:proofErr w:type="spellStart"/>
            <w:r w:rsidRPr="006414E6">
              <w:rPr>
                <w:rFonts w:cs="Times New Roman"/>
                <w:sz w:val="20"/>
                <w:lang w:eastAsia="hr-HR"/>
              </w:rPr>
              <w:t>bioekonomiju</w:t>
            </w:r>
            <w:proofErr w:type="spellEnd"/>
            <w:r w:rsidRPr="006414E6">
              <w:rPr>
                <w:rFonts w:cs="Times New Roman"/>
                <w:sz w:val="20"/>
                <w:lang w:eastAsia="hr-HR"/>
              </w:rPr>
              <w:t>. Sabirno-logistički centri imat će ulogu poveznice između poljoprivrednika koji posjeduje biomasu, prerade biomase u nove proizvode s većom dodanom vrijednosti, razvoja novih proizvoda te plasiranja tih novih proizvoda na tržište.</w:t>
            </w:r>
          </w:p>
        </w:tc>
      </w:tr>
      <w:tr w:rsidR="00C81938" w:rsidRPr="006414E6" w14:paraId="58119977" w14:textId="77777777" w:rsidTr="00177077">
        <w:trPr>
          <w:trHeight w:val="340"/>
        </w:trPr>
        <w:tc>
          <w:tcPr>
            <w:tcW w:w="13178" w:type="dxa"/>
            <w:gridSpan w:val="3"/>
            <w:tcBorders>
              <w:bottom w:val="single" w:sz="4" w:space="0" w:color="000000"/>
            </w:tcBorders>
            <w:vAlign w:val="center"/>
          </w:tcPr>
          <w:p w14:paraId="70D5E07A" w14:textId="77777777" w:rsidR="00C81938" w:rsidRPr="006414E6" w:rsidRDefault="00C81938" w:rsidP="00817C16">
            <w:pPr>
              <w:spacing w:line="240" w:lineRule="auto"/>
              <w:rPr>
                <w:rFonts w:cs="Times New Roman"/>
                <w:b/>
                <w:sz w:val="20"/>
                <w:lang w:eastAsia="hr-HR"/>
              </w:rPr>
            </w:pPr>
            <w:r w:rsidRPr="006414E6">
              <w:rPr>
                <w:rFonts w:cs="Times New Roman"/>
                <w:b/>
                <w:sz w:val="20"/>
              </w:rPr>
              <w:lastRenderedPageBreak/>
              <w:t>GOSPODARENJE OTPADOM</w:t>
            </w:r>
          </w:p>
        </w:tc>
      </w:tr>
      <w:tr w:rsidR="00B37DF8" w:rsidRPr="006414E6" w14:paraId="650CC46D" w14:textId="77777777" w:rsidTr="00177077">
        <w:trPr>
          <w:trHeight w:val="340"/>
        </w:trPr>
        <w:tc>
          <w:tcPr>
            <w:tcW w:w="1129" w:type="dxa"/>
            <w:vAlign w:val="center"/>
          </w:tcPr>
          <w:p w14:paraId="36393F6D"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MWM-1</w:t>
            </w:r>
          </w:p>
        </w:tc>
        <w:tc>
          <w:tcPr>
            <w:tcW w:w="2832" w:type="dxa"/>
            <w:vAlign w:val="center"/>
          </w:tcPr>
          <w:p w14:paraId="4D43003B" w14:textId="77777777" w:rsidR="00B37DF8" w:rsidRPr="006414E6" w:rsidRDefault="00B37DF8" w:rsidP="00B37DF8">
            <w:pPr>
              <w:spacing w:line="240" w:lineRule="auto"/>
              <w:jc w:val="left"/>
              <w:rPr>
                <w:rFonts w:cs="Times New Roman"/>
                <w:sz w:val="20"/>
              </w:rPr>
            </w:pPr>
            <w:r w:rsidRPr="006414E6">
              <w:rPr>
                <w:rFonts w:cs="Times New Roman"/>
                <w:sz w:val="20"/>
              </w:rPr>
              <w:t>Sprječavanje nastajanja i smanjivanje količine krutog otpada</w:t>
            </w:r>
          </w:p>
          <w:p w14:paraId="1E6CA3CA" w14:textId="77777777" w:rsidR="00B37DF8" w:rsidRPr="006414E6" w:rsidRDefault="00B37DF8" w:rsidP="00B37DF8">
            <w:pPr>
              <w:spacing w:line="240" w:lineRule="auto"/>
              <w:jc w:val="left"/>
              <w:rPr>
                <w:rFonts w:cs="Times New Roman"/>
                <w:sz w:val="20"/>
              </w:rPr>
            </w:pPr>
          </w:p>
        </w:tc>
        <w:tc>
          <w:tcPr>
            <w:tcW w:w="9217" w:type="dxa"/>
            <w:vAlign w:val="center"/>
          </w:tcPr>
          <w:p w14:paraId="48D43361" w14:textId="77777777" w:rsidR="00B37DF8" w:rsidRPr="006414E6" w:rsidRDefault="00B37DF8" w:rsidP="00817C16">
            <w:pPr>
              <w:spacing w:line="240" w:lineRule="auto"/>
              <w:rPr>
                <w:rFonts w:cs="Times New Roman"/>
                <w:sz w:val="20"/>
              </w:rPr>
            </w:pPr>
            <w:r w:rsidRPr="006414E6">
              <w:rPr>
                <w:rFonts w:cs="Times New Roman"/>
                <w:sz w:val="20"/>
              </w:rPr>
              <w:t>To je prvi po redu prioritet u gospodarenju otpadom, prema Zakonu o održivom gospodarenju otpadom (Narodne novine, br. 94/13, 73/17, 14/19). Sprječavanje nastajanja i smanjivanje količine otpada uključuje komunalni otpad, proizvodni otpad i mulj iz uređaja za pročišćavanje otpadnih voda.</w:t>
            </w:r>
          </w:p>
          <w:p w14:paraId="0FC3F685" w14:textId="7A357237" w:rsidR="00B37DF8" w:rsidRPr="006414E6" w:rsidRDefault="00B37DF8" w:rsidP="00817C16">
            <w:pPr>
              <w:spacing w:line="240" w:lineRule="auto"/>
              <w:rPr>
                <w:rFonts w:cs="Times New Roman"/>
                <w:sz w:val="20"/>
              </w:rPr>
            </w:pPr>
            <w:r w:rsidRPr="006414E6">
              <w:rPr>
                <w:rFonts w:cs="Times New Roman"/>
                <w:sz w:val="20"/>
              </w:rPr>
              <w:t xml:space="preserve">Ova mjera se treba postići </w:t>
            </w:r>
            <w:proofErr w:type="spellStart"/>
            <w:r w:rsidRPr="006414E6">
              <w:rPr>
                <w:rFonts w:cs="Times New Roman"/>
                <w:sz w:val="20"/>
              </w:rPr>
              <w:t>čistijom</w:t>
            </w:r>
            <w:proofErr w:type="spellEnd"/>
            <w:r w:rsidRPr="006414E6">
              <w:rPr>
                <w:rFonts w:cs="Times New Roman"/>
                <w:sz w:val="20"/>
              </w:rPr>
              <w:t xml:space="preserve"> proizvodnjom, odgojem i obrazovanjem, ekonomskim instrumentima, primjenom propisa u gospodarenju otpadom i ulaganjem u suvremene tehnologije. Sukladno zakonu definirani su kvantitativni ciljevi i rokovi za smanjenje ukupne količine odloženog otpada na neusklađena odlagališta. Odlaganje otpada na neusklađena odlagališta u </w:t>
            </w:r>
            <w:r w:rsidR="00CC1EAB" w:rsidRPr="006414E6">
              <w:rPr>
                <w:rFonts w:eastAsia="Times New Roman" w:cs="Times New Roman"/>
                <w:sz w:val="20"/>
                <w:lang w:eastAsia="hr-HR"/>
              </w:rPr>
              <w:t>Republici Hrvatskoj</w:t>
            </w:r>
            <w:r w:rsidRPr="006414E6">
              <w:rPr>
                <w:rFonts w:cs="Times New Roman"/>
                <w:sz w:val="20"/>
              </w:rPr>
              <w:t xml:space="preserve"> zabranjeno je nakon 31. prosinca 2017. godine. </w:t>
            </w:r>
          </w:p>
          <w:p w14:paraId="6BD4FD78" w14:textId="77777777" w:rsidR="00B37DF8" w:rsidRPr="006414E6" w:rsidRDefault="00B37DF8" w:rsidP="00817C16">
            <w:pPr>
              <w:spacing w:line="240" w:lineRule="auto"/>
              <w:rPr>
                <w:rFonts w:cs="Times New Roman"/>
                <w:sz w:val="20"/>
              </w:rPr>
            </w:pPr>
            <w:r w:rsidRPr="006414E6">
              <w:rPr>
                <w:rFonts w:cs="Times New Roman"/>
                <w:sz w:val="20"/>
              </w:rPr>
              <w:t>Prema Direktivi (EU) 2018/850 Europskog parlamenta i Vijeća od 30. svibnja 2018. o izmjeni Direktive 1999/31/EZ o odlagalištima otpada, države članice trebale bi poduzeti potrebne mjere da se do 2035. godine količina odloženog komunalnog otpada smanji na 10% ukupne količine (po masi) proizvedenog komunalnog otpada ili manje. Hrvatska je dobila mogućnost odgode od pet godina za ispunjavanje navedenog cilja jer je među državama članicama koje su 2013. godine odlagale više od 60% komunalnog otpada na odlagalištima. Sukladno tome, Hrvatska mora poduzeti potrebne mjere da se do 2035. godine količina komunalnog otpada koji se odlaže smanji na 25% ukupne količine (po masi) nastalog komunalnog otpada ili manje.</w:t>
            </w:r>
          </w:p>
        </w:tc>
      </w:tr>
      <w:tr w:rsidR="00B37DF8" w:rsidRPr="006414E6" w14:paraId="0B0985A7" w14:textId="77777777" w:rsidTr="00177077">
        <w:trPr>
          <w:trHeight w:val="340"/>
        </w:trPr>
        <w:tc>
          <w:tcPr>
            <w:tcW w:w="1129" w:type="dxa"/>
            <w:vAlign w:val="center"/>
          </w:tcPr>
          <w:p w14:paraId="35D86FBA"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MWM-2</w:t>
            </w:r>
          </w:p>
        </w:tc>
        <w:tc>
          <w:tcPr>
            <w:tcW w:w="2832" w:type="dxa"/>
            <w:vAlign w:val="center"/>
          </w:tcPr>
          <w:p w14:paraId="4B42FC26" w14:textId="77777777" w:rsidR="00B37DF8" w:rsidRPr="006414E6" w:rsidRDefault="00B37DF8" w:rsidP="00B37DF8">
            <w:pPr>
              <w:spacing w:line="240" w:lineRule="auto"/>
              <w:jc w:val="left"/>
              <w:rPr>
                <w:rFonts w:cs="Times New Roman"/>
                <w:sz w:val="20"/>
              </w:rPr>
            </w:pPr>
            <w:r w:rsidRPr="006414E6">
              <w:rPr>
                <w:rFonts w:cs="Times New Roman"/>
                <w:sz w:val="20"/>
              </w:rPr>
              <w:t>Povećanje količine odvojeno skupljenog i recikliranog krutog otpada</w:t>
            </w:r>
          </w:p>
        </w:tc>
        <w:tc>
          <w:tcPr>
            <w:tcW w:w="9217" w:type="dxa"/>
            <w:vAlign w:val="center"/>
          </w:tcPr>
          <w:p w14:paraId="63D025E1" w14:textId="77777777" w:rsidR="00B37DF8" w:rsidRPr="006414E6" w:rsidRDefault="00B37DF8" w:rsidP="00817C16">
            <w:pPr>
              <w:spacing w:line="240" w:lineRule="auto"/>
              <w:rPr>
                <w:rFonts w:cs="Times New Roman"/>
                <w:sz w:val="20"/>
              </w:rPr>
            </w:pPr>
            <w:r w:rsidRPr="006414E6">
              <w:rPr>
                <w:rFonts w:cs="Times New Roman"/>
                <w:sz w:val="20"/>
              </w:rPr>
              <w:t>Kvantitativni ciljevi i rokovi za povećanje količine odvojeno skupljenog i recikliranog otpada osim Zakonom o održivom gospodarenju otpadom definirani su i Planom gospodarenja otpadom Republike Hrvatske za razdoblje 2017. - 2022. godine (Narodne novine, br. 3/17). Do 2020. godine potrebno je osigurati pripremu za ponovnu uporabu i recikliranje sljedećih otpadnih materijala: papir, metal, plastika i staklo iz kućanstva, a po mogućnosti i iz drugih izvora ako su ti tokovi otpada slični otpadu iz kućanstva, u minimalnom udjelu od 50% mase otpada.</w:t>
            </w:r>
          </w:p>
          <w:p w14:paraId="434A0E0B" w14:textId="77777777" w:rsidR="00B37DF8" w:rsidRPr="006414E6" w:rsidRDefault="00B37DF8" w:rsidP="00817C16">
            <w:pPr>
              <w:spacing w:line="240" w:lineRule="auto"/>
              <w:rPr>
                <w:rFonts w:cs="Times New Roman"/>
                <w:sz w:val="20"/>
              </w:rPr>
            </w:pPr>
            <w:r w:rsidRPr="006414E6">
              <w:rPr>
                <w:rFonts w:cs="Times New Roman"/>
                <w:sz w:val="20"/>
              </w:rPr>
              <w:t xml:space="preserve">Prema Direktivi (EU) 2018/851 Europskog parlamenta i Vijeća od 30. svibnja 2018. o izmjeni Direktive 2008/98/EZ o otpadu, države članice trebale bi poduzeti potrebne mjere da se priprema za ponovnu uporabu i </w:t>
            </w:r>
            <w:r w:rsidRPr="006414E6">
              <w:rPr>
                <w:rFonts w:cs="Times New Roman"/>
                <w:sz w:val="20"/>
              </w:rPr>
              <w:lastRenderedPageBreak/>
              <w:t>recikliranje komunalnog otpada poveća na najmanje 55% mase do 2025. godine, 60% mase do 2030. godine i 65% mase do 2035. godine. Hrvatska je dobila mogućnost odgode od pet godina za ispunjavanje navedenih ciljeva jer je među državama članicama koje su 2013. godine reciklirale manje od 20% komunalnog otpada. Sukladno tome, Hrvatska mora poduzeti potrebne mjere za povećanje pripreme za ponovnu uporabu i recikliranje komunalnog otpada na najmanje 50% do 2025. godine, 55% do 2030. godine i 60% do 2035. godine.</w:t>
            </w:r>
          </w:p>
        </w:tc>
      </w:tr>
      <w:tr w:rsidR="00B37DF8" w:rsidRPr="006414E6" w14:paraId="36706BCC" w14:textId="77777777" w:rsidTr="00177077">
        <w:trPr>
          <w:trHeight w:val="340"/>
        </w:trPr>
        <w:tc>
          <w:tcPr>
            <w:tcW w:w="1129" w:type="dxa"/>
            <w:vAlign w:val="center"/>
          </w:tcPr>
          <w:p w14:paraId="0759205A"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lastRenderedPageBreak/>
              <w:t>MWM-3</w:t>
            </w:r>
          </w:p>
        </w:tc>
        <w:tc>
          <w:tcPr>
            <w:tcW w:w="2832" w:type="dxa"/>
            <w:vAlign w:val="center"/>
          </w:tcPr>
          <w:p w14:paraId="013AD785" w14:textId="77777777" w:rsidR="00B37DF8" w:rsidRPr="006414E6" w:rsidRDefault="00B37DF8" w:rsidP="00B37DF8">
            <w:pPr>
              <w:spacing w:line="240" w:lineRule="auto"/>
              <w:jc w:val="left"/>
              <w:rPr>
                <w:rFonts w:cs="Times New Roman"/>
                <w:sz w:val="20"/>
              </w:rPr>
            </w:pPr>
            <w:r w:rsidRPr="006414E6">
              <w:rPr>
                <w:rFonts w:cs="Times New Roman"/>
                <w:sz w:val="20"/>
              </w:rPr>
              <w:t>Osiguravanje sustava obrade i korištenja odlagališnog plina</w:t>
            </w:r>
          </w:p>
        </w:tc>
        <w:tc>
          <w:tcPr>
            <w:tcW w:w="9217" w:type="dxa"/>
            <w:vAlign w:val="center"/>
          </w:tcPr>
          <w:p w14:paraId="496AACFB" w14:textId="77777777" w:rsidR="00B37DF8" w:rsidRPr="006414E6" w:rsidRDefault="00B37DF8" w:rsidP="00817C16">
            <w:pPr>
              <w:spacing w:line="240" w:lineRule="auto"/>
              <w:rPr>
                <w:rFonts w:cs="Times New Roman"/>
                <w:sz w:val="20"/>
              </w:rPr>
            </w:pPr>
            <w:r w:rsidRPr="006414E6">
              <w:rPr>
                <w:rFonts w:cs="Times New Roman"/>
                <w:sz w:val="20"/>
              </w:rPr>
              <w:t>Pravilnikom o načinima i uvjetima odlaganja otpada, kategorijama i uvjetima rada za odlagališta otpada (Narodne novine, br. 114/15, 103/18, 56/19) i Pravilnikom o gospodarenju otpadom (Narodne novine, br. 117/17) propisani su strogi tehnički uvjeti rada za odlagališta otpada, kojima se smanjuju moguće štetne posljedice odlagališta na okoliš. Na odlagalištu na kojemu nastaje odlagališni plin potrebno je osigurati sustav sakupljanja plina koji se mora obraditi i koristiti. Ako se sakupljeni odlagališni plinovi ne mogu upotrijebiti za dobivanje energije, treba ih spaliti na području odlagališta i spriječiti emisiju metana u atmosferu.</w:t>
            </w:r>
          </w:p>
          <w:p w14:paraId="1C7B04B6" w14:textId="77777777" w:rsidR="00B37DF8" w:rsidRPr="006414E6" w:rsidRDefault="00B37DF8" w:rsidP="00817C16">
            <w:pPr>
              <w:spacing w:line="240" w:lineRule="auto"/>
              <w:rPr>
                <w:rFonts w:cs="Times New Roman"/>
                <w:sz w:val="20"/>
              </w:rPr>
            </w:pPr>
            <w:r w:rsidRPr="006414E6">
              <w:rPr>
                <w:rFonts w:cs="Times New Roman"/>
                <w:sz w:val="20"/>
              </w:rPr>
              <w:t>Primjena obvezujućih ciljeva vezanih uz smanjenje odlaganja i recikliranje otpada, opisanih u mjerama Sprječavanje nastajanja i smanjivanje količine krutog otpada i Povećanje količine odvojeno skupljenog i recikliranog krutog otpada, utječe na količinu nastalog odlagališnog plina.</w:t>
            </w:r>
          </w:p>
        </w:tc>
      </w:tr>
      <w:tr w:rsidR="00B37DF8" w:rsidRPr="006414E6" w14:paraId="5BDF3888" w14:textId="77777777" w:rsidTr="00177077">
        <w:trPr>
          <w:trHeight w:val="340"/>
        </w:trPr>
        <w:tc>
          <w:tcPr>
            <w:tcW w:w="1129" w:type="dxa"/>
            <w:vAlign w:val="center"/>
          </w:tcPr>
          <w:p w14:paraId="11E434FF"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MWM-4</w:t>
            </w:r>
          </w:p>
        </w:tc>
        <w:tc>
          <w:tcPr>
            <w:tcW w:w="2832" w:type="dxa"/>
            <w:vAlign w:val="center"/>
          </w:tcPr>
          <w:p w14:paraId="7AD1E3D7" w14:textId="77777777" w:rsidR="00B37DF8" w:rsidRPr="006414E6" w:rsidRDefault="00B37DF8" w:rsidP="00B37DF8">
            <w:pPr>
              <w:spacing w:line="240" w:lineRule="auto"/>
              <w:jc w:val="left"/>
              <w:rPr>
                <w:rFonts w:cs="Times New Roman"/>
                <w:sz w:val="20"/>
              </w:rPr>
            </w:pPr>
            <w:r w:rsidRPr="006414E6">
              <w:rPr>
                <w:rFonts w:cs="Times New Roman"/>
                <w:sz w:val="20"/>
              </w:rPr>
              <w:t>Smanjenje količine odloženog biorazgradivog otpada</w:t>
            </w:r>
          </w:p>
        </w:tc>
        <w:tc>
          <w:tcPr>
            <w:tcW w:w="9217" w:type="dxa"/>
            <w:vAlign w:val="center"/>
          </w:tcPr>
          <w:p w14:paraId="611E9AB3" w14:textId="77777777" w:rsidR="00B37DF8" w:rsidRPr="006414E6" w:rsidRDefault="00B37DF8" w:rsidP="00817C16">
            <w:pPr>
              <w:spacing w:line="240" w:lineRule="auto"/>
              <w:rPr>
                <w:rFonts w:cs="Times New Roman"/>
                <w:sz w:val="20"/>
              </w:rPr>
            </w:pPr>
            <w:r w:rsidRPr="006414E6">
              <w:rPr>
                <w:rFonts w:cs="Times New Roman"/>
                <w:sz w:val="20"/>
              </w:rPr>
              <w:t>Cilj ove mjere je smanjiti količinu biorazgradive frakcije otpada koja se odlaže na odlagališta, čime se smanjuje emisija metana nastalog anaerobnim procesima razgradnje otpada.</w:t>
            </w:r>
          </w:p>
          <w:p w14:paraId="6E21BEEF" w14:textId="77777777" w:rsidR="00B37DF8" w:rsidRPr="006414E6" w:rsidRDefault="00B37DF8" w:rsidP="00817C16">
            <w:pPr>
              <w:spacing w:line="240" w:lineRule="auto"/>
              <w:rPr>
                <w:rFonts w:cs="Times New Roman"/>
                <w:sz w:val="20"/>
              </w:rPr>
            </w:pPr>
            <w:r w:rsidRPr="006414E6">
              <w:rPr>
                <w:rFonts w:cs="Times New Roman"/>
                <w:sz w:val="20"/>
              </w:rPr>
              <w:t xml:space="preserve">Sukladno Zakonu o održivom gospodarenju otpadom utvrđeni su kvantitativni ciljevi koji se odnose na smanjenje udjela biorazgradivog komunalnog otpada koji se odlaže na odlagališta. Do kraja 2020. godine udio biorazgradivog komunalnog otpada koji se odlaže na odlagališta mora se smanjiti na 35% </w:t>
            </w:r>
            <w:proofErr w:type="spellStart"/>
            <w:r w:rsidRPr="006414E6">
              <w:rPr>
                <w:rFonts w:cs="Times New Roman"/>
                <w:sz w:val="20"/>
              </w:rPr>
              <w:t>masenog</w:t>
            </w:r>
            <w:proofErr w:type="spellEnd"/>
            <w:r w:rsidRPr="006414E6">
              <w:rPr>
                <w:rFonts w:cs="Times New Roman"/>
                <w:sz w:val="20"/>
              </w:rPr>
              <w:t xml:space="preserve"> udjela biorazgradivog komunalnog otpada koji je proizveden 1997. godine.</w:t>
            </w:r>
          </w:p>
          <w:p w14:paraId="1FA6C4F9" w14:textId="77777777" w:rsidR="00B37DF8" w:rsidRPr="006414E6" w:rsidRDefault="00B37DF8" w:rsidP="00817C16">
            <w:pPr>
              <w:spacing w:line="240" w:lineRule="auto"/>
              <w:rPr>
                <w:rFonts w:cs="Times New Roman"/>
                <w:sz w:val="20"/>
              </w:rPr>
            </w:pPr>
            <w:r w:rsidRPr="006414E6">
              <w:rPr>
                <w:rFonts w:cs="Times New Roman"/>
                <w:sz w:val="20"/>
              </w:rPr>
              <w:t>Primjena obvezujućih ciljeva vezanih uz smanjenje odlaganja i recikliranje otpada, opisanih u mjerama Sprječavanje nastajanja i smanjivanje količine krutog otpada i Povećanje količine odvojeno skupljenog i recikliranog krutog otpada, utječe na smanjenje količine odloženog biorazgradivog otpada.</w:t>
            </w:r>
          </w:p>
        </w:tc>
      </w:tr>
      <w:tr w:rsidR="00B37DF8" w:rsidRPr="006414E6" w14:paraId="0378DCC6" w14:textId="77777777" w:rsidTr="00177077">
        <w:trPr>
          <w:trHeight w:val="340"/>
        </w:trPr>
        <w:tc>
          <w:tcPr>
            <w:tcW w:w="1129" w:type="dxa"/>
            <w:vAlign w:val="center"/>
          </w:tcPr>
          <w:p w14:paraId="1D889C77"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MWM-5</w:t>
            </w:r>
          </w:p>
        </w:tc>
        <w:tc>
          <w:tcPr>
            <w:tcW w:w="2832" w:type="dxa"/>
            <w:vAlign w:val="center"/>
          </w:tcPr>
          <w:p w14:paraId="1CE739A7" w14:textId="77777777" w:rsidR="00B37DF8" w:rsidRPr="006414E6" w:rsidRDefault="00B37DF8" w:rsidP="00B37DF8">
            <w:pPr>
              <w:spacing w:line="240" w:lineRule="auto"/>
              <w:jc w:val="left"/>
              <w:rPr>
                <w:rFonts w:cs="Times New Roman"/>
                <w:sz w:val="20"/>
              </w:rPr>
            </w:pPr>
            <w:r w:rsidRPr="006414E6">
              <w:rPr>
                <w:rFonts w:cs="Times New Roman"/>
                <w:sz w:val="20"/>
              </w:rPr>
              <w:t xml:space="preserve">Korištenje bioplina za proizvodnju </w:t>
            </w:r>
            <w:proofErr w:type="spellStart"/>
            <w:r w:rsidRPr="006414E6">
              <w:rPr>
                <w:rFonts w:cs="Times New Roman"/>
                <w:sz w:val="20"/>
              </w:rPr>
              <w:t>biometana</w:t>
            </w:r>
            <w:proofErr w:type="spellEnd"/>
            <w:r w:rsidRPr="006414E6">
              <w:rPr>
                <w:rFonts w:cs="Times New Roman"/>
                <w:sz w:val="20"/>
              </w:rPr>
              <w:t>, električne energije i topline</w:t>
            </w:r>
          </w:p>
        </w:tc>
        <w:tc>
          <w:tcPr>
            <w:tcW w:w="9217" w:type="dxa"/>
            <w:vAlign w:val="center"/>
          </w:tcPr>
          <w:p w14:paraId="6D9B8CE3" w14:textId="77777777" w:rsidR="00B37DF8" w:rsidRPr="006414E6" w:rsidRDefault="00B37DF8" w:rsidP="00817C16">
            <w:pPr>
              <w:spacing w:line="240" w:lineRule="auto"/>
              <w:rPr>
                <w:rFonts w:cs="Times New Roman"/>
                <w:sz w:val="20"/>
              </w:rPr>
            </w:pPr>
            <w:r w:rsidRPr="006414E6">
              <w:rPr>
                <w:rFonts w:cs="Times New Roman"/>
                <w:sz w:val="20"/>
              </w:rPr>
              <w:t>Mjera je povezana s mjerom poticanja korištenja obnovljivih izvora energije za proizvodnju električne energije i topline te obveze korištenja obnovljivih izvora energije u prometu. Potencijal smanjenja emisije CH4 (nastalog anaerobnom razgradnjom biorazgradive frakcije otpada) uključen je u mjeru Smanjenje količine odloženog biorazgradivog otpada. Potencijal smanjenja emisije CO2 koji se može ostvariti primjenom ove mjere bilancira se u sektoru Energetika.</w:t>
            </w:r>
          </w:p>
        </w:tc>
      </w:tr>
      <w:tr w:rsidR="00C81938" w:rsidRPr="006414E6" w14:paraId="4AC65649" w14:textId="77777777" w:rsidTr="00177077">
        <w:trPr>
          <w:trHeight w:val="340"/>
        </w:trPr>
        <w:tc>
          <w:tcPr>
            <w:tcW w:w="13178" w:type="dxa"/>
            <w:gridSpan w:val="3"/>
            <w:vAlign w:val="center"/>
          </w:tcPr>
          <w:p w14:paraId="4EBA5898" w14:textId="77777777" w:rsidR="00C81938" w:rsidRPr="006414E6" w:rsidRDefault="00C81938" w:rsidP="00817C16">
            <w:pPr>
              <w:spacing w:line="240" w:lineRule="auto"/>
              <w:rPr>
                <w:rFonts w:cs="Times New Roman"/>
                <w:b/>
                <w:sz w:val="20"/>
              </w:rPr>
            </w:pPr>
            <w:r w:rsidRPr="006414E6">
              <w:rPr>
                <w:rFonts w:cs="Times New Roman"/>
                <w:b/>
                <w:sz w:val="20"/>
              </w:rPr>
              <w:t xml:space="preserve">KORIŠTENJE ZEMLJIŠTA, PRENAMJENA ZEMLJIŠTA I ŠUMARSTVO (LULUCF) </w:t>
            </w:r>
          </w:p>
          <w:p w14:paraId="5DE58FB1" w14:textId="77777777" w:rsidR="00C81938" w:rsidRPr="006414E6" w:rsidRDefault="00C81938" w:rsidP="00817C16">
            <w:pPr>
              <w:spacing w:line="240" w:lineRule="auto"/>
              <w:rPr>
                <w:rFonts w:cs="Times New Roman"/>
                <w:b/>
                <w:sz w:val="20"/>
              </w:rPr>
            </w:pPr>
            <w:r w:rsidRPr="006414E6">
              <w:rPr>
                <w:rFonts w:cs="Times New Roman"/>
                <w:b/>
                <w:sz w:val="20"/>
              </w:rPr>
              <w:t>TE POVEZANE AKTIVNOSTI</w:t>
            </w:r>
          </w:p>
        </w:tc>
      </w:tr>
      <w:tr w:rsidR="00B37DF8" w:rsidRPr="006414E6" w14:paraId="10F971C8" w14:textId="77777777" w:rsidTr="00177077">
        <w:trPr>
          <w:trHeight w:val="340"/>
        </w:trPr>
        <w:tc>
          <w:tcPr>
            <w:tcW w:w="1129" w:type="dxa"/>
            <w:vAlign w:val="center"/>
          </w:tcPr>
          <w:p w14:paraId="35E91852"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lastRenderedPageBreak/>
              <w:t>MLF-1</w:t>
            </w:r>
          </w:p>
        </w:tc>
        <w:tc>
          <w:tcPr>
            <w:tcW w:w="2832" w:type="dxa"/>
            <w:vAlign w:val="center"/>
          </w:tcPr>
          <w:p w14:paraId="4A56C78C"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Izrada Strategije upravljanja zemljištem Republike Hrvatske</w:t>
            </w:r>
          </w:p>
        </w:tc>
        <w:tc>
          <w:tcPr>
            <w:tcW w:w="9217" w:type="dxa"/>
            <w:vAlign w:val="center"/>
          </w:tcPr>
          <w:p w14:paraId="7E3223D1"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Do 2027. godine potrebno je izraditi Strategiju upravljanja zemljištem RH. Za razvoj iste nužno je provesti projekte kojima se:</w:t>
            </w:r>
          </w:p>
          <w:p w14:paraId="64950096" w14:textId="77777777" w:rsidR="00B37DF8" w:rsidRPr="006414E6" w:rsidRDefault="00B37DF8" w:rsidP="003A2F37">
            <w:pPr>
              <w:numPr>
                <w:ilvl w:val="0"/>
                <w:numId w:val="66"/>
              </w:numPr>
              <w:spacing w:line="240" w:lineRule="auto"/>
              <w:rPr>
                <w:rFonts w:eastAsia="Times New Roman" w:cs="Times New Roman"/>
                <w:sz w:val="20"/>
                <w:lang w:eastAsia="hr-HR"/>
              </w:rPr>
            </w:pPr>
            <w:r w:rsidRPr="006414E6">
              <w:rPr>
                <w:rFonts w:eastAsia="Times New Roman" w:cs="Times New Roman"/>
                <w:sz w:val="20"/>
                <w:lang w:eastAsia="hr-HR"/>
              </w:rPr>
              <w:t xml:space="preserve">Uspostavlja jedinstveni informacijski sustav zemljišta u Republici Hrvatskoj ili utvrditi površine pojedine LULUCF kategorije zemljišta upotrebom prostorno točno utvrđenih podataka, za svaku kategoriju zemljišta te za svaku vrste prenamjene zemljišta iz jedne kategorije zemljišta u drugu </w:t>
            </w:r>
          </w:p>
          <w:p w14:paraId="4344577A" w14:textId="77777777" w:rsidR="00B37DF8" w:rsidRPr="006414E6" w:rsidRDefault="00B37DF8" w:rsidP="003A2F37">
            <w:pPr>
              <w:numPr>
                <w:ilvl w:val="0"/>
                <w:numId w:val="66"/>
              </w:numPr>
              <w:spacing w:line="240" w:lineRule="auto"/>
              <w:rPr>
                <w:rFonts w:eastAsia="Times New Roman" w:cs="Times New Roman"/>
                <w:sz w:val="20"/>
                <w:lang w:eastAsia="hr-HR"/>
              </w:rPr>
            </w:pPr>
            <w:r w:rsidRPr="006414E6">
              <w:rPr>
                <w:rFonts w:eastAsia="Times New Roman" w:cs="Times New Roman"/>
                <w:sz w:val="20"/>
                <w:lang w:eastAsia="hr-HR"/>
              </w:rPr>
              <w:t xml:space="preserve">Provodi analiza svih LULUCF kategorija zemljišta u ovisnosti o pokrovu, uporabi zemljišta te praksama gospodarenja koje se na svakom zemljištu koriste  i s time povezanim emisijama/odlivima radi razmatranja potencijala svakog od </w:t>
            </w:r>
            <w:proofErr w:type="spellStart"/>
            <w:r w:rsidRPr="006414E6">
              <w:rPr>
                <w:rFonts w:eastAsia="Times New Roman" w:cs="Times New Roman"/>
                <w:sz w:val="20"/>
                <w:lang w:eastAsia="hr-HR"/>
              </w:rPr>
              <w:t>pohraništa</w:t>
            </w:r>
            <w:proofErr w:type="spellEnd"/>
            <w:r w:rsidRPr="006414E6">
              <w:rPr>
                <w:rFonts w:eastAsia="Times New Roman" w:cs="Times New Roman"/>
                <w:sz w:val="20"/>
                <w:lang w:eastAsia="hr-HR"/>
              </w:rPr>
              <w:t xml:space="preserve"> unutar svake </w:t>
            </w:r>
            <w:proofErr w:type="spellStart"/>
            <w:r w:rsidRPr="006414E6">
              <w:rPr>
                <w:rFonts w:eastAsia="Times New Roman" w:cs="Times New Roman"/>
                <w:sz w:val="20"/>
                <w:lang w:eastAsia="hr-HR"/>
              </w:rPr>
              <w:t>LULUCF</w:t>
            </w:r>
            <w:proofErr w:type="spellEnd"/>
            <w:r w:rsidRPr="006414E6">
              <w:rPr>
                <w:rFonts w:eastAsia="Times New Roman" w:cs="Times New Roman"/>
                <w:sz w:val="20"/>
                <w:lang w:eastAsia="hr-HR"/>
              </w:rPr>
              <w:t xml:space="preserve"> kategorije zemljišta za smanjenje emisija i povećanje odliva stakleničkih plinova</w:t>
            </w:r>
          </w:p>
          <w:p w14:paraId="2FDCCD1F" w14:textId="77777777" w:rsidR="00B37DF8" w:rsidRPr="006414E6" w:rsidRDefault="00B37DF8" w:rsidP="003A2F37">
            <w:pPr>
              <w:numPr>
                <w:ilvl w:val="0"/>
                <w:numId w:val="66"/>
              </w:numPr>
              <w:spacing w:line="240" w:lineRule="auto"/>
              <w:rPr>
                <w:rFonts w:eastAsia="Times New Roman" w:cs="Times New Roman"/>
                <w:sz w:val="20"/>
                <w:lang w:eastAsia="hr-HR"/>
              </w:rPr>
            </w:pPr>
            <w:r w:rsidRPr="006414E6">
              <w:rPr>
                <w:rFonts w:eastAsia="Times New Roman" w:cs="Times New Roman"/>
                <w:sz w:val="20"/>
                <w:lang w:eastAsia="hr-HR"/>
              </w:rPr>
              <w:t xml:space="preserve">Izraditi detaljne projekcije razvoja budućih emisija/odliva u LULUCF sektoru po provedbi više navedene analize </w:t>
            </w:r>
          </w:p>
          <w:p w14:paraId="7F8C2A40" w14:textId="6F6BB076"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Izračun emisija/odliva u LULUCF sektoru, te navedeni projekti trebaju činiti osnovu za planiranje pokrova, uporabe i načina gospodarenja LULUCF kategorijama zemljišta za svako od </w:t>
            </w:r>
            <w:proofErr w:type="spellStart"/>
            <w:r w:rsidRPr="006414E6">
              <w:rPr>
                <w:rFonts w:eastAsia="Times New Roman" w:cs="Times New Roman"/>
                <w:sz w:val="20"/>
                <w:lang w:eastAsia="hr-HR"/>
              </w:rPr>
              <w:t>pohraništa</w:t>
            </w:r>
            <w:proofErr w:type="spellEnd"/>
            <w:r w:rsidRPr="006414E6">
              <w:rPr>
                <w:rFonts w:eastAsia="Times New Roman" w:cs="Times New Roman"/>
                <w:sz w:val="20"/>
                <w:lang w:eastAsia="hr-HR"/>
              </w:rPr>
              <w:t xml:space="preserve"> radi razvoja Strategije upravljanja zemljištem te kako bi se pravilno definirale mjere koje će se na pojedinoj kategoriji zemljišta provoditi</w:t>
            </w:r>
            <w:r w:rsidR="00A235F6" w:rsidRPr="006414E6">
              <w:rPr>
                <w:rFonts w:eastAsia="Times New Roman" w:cs="Times New Roman"/>
                <w:sz w:val="20"/>
                <w:lang w:eastAsia="hr-HR"/>
              </w:rPr>
              <w:t>,</w:t>
            </w:r>
            <w:r w:rsidRPr="006414E6">
              <w:rPr>
                <w:rFonts w:eastAsia="Times New Roman" w:cs="Times New Roman"/>
                <w:sz w:val="20"/>
                <w:lang w:eastAsia="hr-HR"/>
              </w:rPr>
              <w:t xml:space="preserve"> a kojima će se smanjivati emisije</w:t>
            </w:r>
            <w:r w:rsidR="00A235F6" w:rsidRPr="006414E6">
              <w:rPr>
                <w:rFonts w:eastAsia="Times New Roman" w:cs="Times New Roman"/>
                <w:sz w:val="20"/>
                <w:lang w:eastAsia="hr-HR"/>
              </w:rPr>
              <w:t xml:space="preserve"> i </w:t>
            </w:r>
            <w:r w:rsidRPr="006414E6">
              <w:rPr>
                <w:rFonts w:eastAsia="Times New Roman" w:cs="Times New Roman"/>
                <w:sz w:val="20"/>
                <w:lang w:eastAsia="hr-HR"/>
              </w:rPr>
              <w:t xml:space="preserve"> povećavati odlivi stakleničkih plinova u RH. Unaprjeđenje i definiranje mjera zaštite šuma od požara treba činiti sastavni dio ove strategije.</w:t>
            </w:r>
          </w:p>
          <w:p w14:paraId="44B5E405" w14:textId="224B1747" w:rsidR="00A235F6" w:rsidRPr="006414E6" w:rsidRDefault="00A235F6" w:rsidP="00817C16">
            <w:pPr>
              <w:spacing w:line="240" w:lineRule="auto"/>
              <w:rPr>
                <w:rFonts w:eastAsia="Times New Roman" w:cs="Times New Roman"/>
                <w:sz w:val="20"/>
                <w:lang w:eastAsia="hr-HR"/>
              </w:rPr>
            </w:pPr>
            <w:r w:rsidRPr="006414E6">
              <w:rPr>
                <w:rFonts w:eastAsia="Times New Roman" w:cs="Times New Roman"/>
                <w:sz w:val="20"/>
                <w:lang w:eastAsia="hr-HR"/>
              </w:rPr>
              <w:t>Birati tehnologije i načine izvođenja (OIE, golf igrališta i slično) koje omogućuju nakon korištenja povrat zemljišta osnovnoj poljoprivrednoj ili šumskoj namjeni, te gdje god je to moguće koristiti institut ,,nepotpunog izvlaštenja tj. prava služnosti“.</w:t>
            </w:r>
          </w:p>
        </w:tc>
      </w:tr>
      <w:tr w:rsidR="00B37DF8" w:rsidRPr="006414E6" w14:paraId="0CA3B227" w14:textId="77777777" w:rsidTr="00177077">
        <w:trPr>
          <w:trHeight w:val="340"/>
        </w:trPr>
        <w:tc>
          <w:tcPr>
            <w:tcW w:w="1129" w:type="dxa"/>
            <w:vAlign w:val="center"/>
          </w:tcPr>
          <w:p w14:paraId="4C8EB097"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MLF-2</w:t>
            </w:r>
          </w:p>
        </w:tc>
        <w:tc>
          <w:tcPr>
            <w:tcW w:w="2832" w:type="dxa"/>
            <w:vAlign w:val="center"/>
          </w:tcPr>
          <w:p w14:paraId="19196DC5" w14:textId="77777777" w:rsidR="00B37DF8" w:rsidRPr="006414E6" w:rsidRDefault="00B37DF8" w:rsidP="00B37DF8">
            <w:pPr>
              <w:spacing w:line="240" w:lineRule="auto"/>
              <w:jc w:val="left"/>
              <w:rPr>
                <w:rFonts w:eastAsia="Times New Roman" w:cs="Times New Roman"/>
                <w:b/>
                <w:bCs/>
                <w:sz w:val="20"/>
                <w:lang w:eastAsia="hr-HR"/>
              </w:rPr>
            </w:pPr>
            <w:r w:rsidRPr="006414E6">
              <w:rPr>
                <w:rFonts w:eastAsia="Times New Roman" w:cs="Times New Roman"/>
                <w:sz w:val="20"/>
                <w:lang w:eastAsia="hr-HR"/>
              </w:rPr>
              <w:t>Akumulacija ugljika na površinama postojećih šuma</w:t>
            </w:r>
          </w:p>
        </w:tc>
        <w:tc>
          <w:tcPr>
            <w:tcW w:w="9217" w:type="dxa"/>
            <w:vAlign w:val="center"/>
          </w:tcPr>
          <w:p w14:paraId="7F94DB08" w14:textId="115D867F" w:rsidR="00B37DF8" w:rsidRPr="006414E6" w:rsidRDefault="00B37DF8" w:rsidP="00817C16">
            <w:pPr>
              <w:spacing w:line="240" w:lineRule="auto"/>
              <w:rPr>
                <w:rFonts w:eastAsia="Times New Roman" w:cs="Times New Roman"/>
                <w:b/>
                <w:bCs/>
                <w:sz w:val="20"/>
                <w:lang w:eastAsia="hr-HR"/>
              </w:rPr>
            </w:pPr>
            <w:r w:rsidRPr="006414E6">
              <w:rPr>
                <w:rFonts w:eastAsia="Times New Roman" w:cs="Times New Roman"/>
                <w:sz w:val="20"/>
                <w:lang w:eastAsia="hr-HR"/>
              </w:rPr>
              <w:t xml:space="preserve">Provedba aktivnosti kojima se doprinosi povećanju sadržaja zalihe ugljika u šumama posebice u </w:t>
            </w:r>
            <w:proofErr w:type="spellStart"/>
            <w:r w:rsidRPr="006414E6">
              <w:rPr>
                <w:rFonts w:eastAsia="Times New Roman" w:cs="Times New Roman"/>
                <w:sz w:val="20"/>
                <w:lang w:eastAsia="hr-HR"/>
              </w:rPr>
              <w:t>pohraništu</w:t>
            </w:r>
            <w:proofErr w:type="spellEnd"/>
            <w:r w:rsidRPr="006414E6">
              <w:rPr>
                <w:rFonts w:eastAsia="Times New Roman" w:cs="Times New Roman"/>
                <w:sz w:val="20"/>
                <w:lang w:eastAsia="hr-HR"/>
              </w:rPr>
              <w:t xml:space="preserve"> biomase i provedbom kojih se osiguravaju uklanjanja u pojedinom razdoblju većima od onih definiranih referentnom razinom za šume (FRL). Ove aktivnosti su npr. obnova šuma, prevođenje sastojina u viši uzgojni oblik, odabir vrsta za popunjavanje i dr. Održavanjem odliva većeg od onoga definiranog po FRL-u osigurava se i povećanje emisijskih jedinica koje je moguće prenijeti u sektore izvan ETS-a. Održavanjem odliva većeg od onoga definiranog po FRL-u osigurava se i korištenje fleksibilnih mehanizama. U daljnjem razdoblju potrebna je ocjena učinkovitosti provedenih mjera i aktivnosti iz Programa ruralnog </w:t>
            </w:r>
            <w:r w:rsidR="0021090A" w:rsidRPr="006414E6">
              <w:rPr>
                <w:rFonts w:eastAsia="Times New Roman" w:cs="Times New Roman"/>
                <w:sz w:val="20"/>
                <w:lang w:eastAsia="hr-HR"/>
              </w:rPr>
              <w:t xml:space="preserve">razvoja Republike Hrvatske za razdoblje 2014. – 2020. </w:t>
            </w:r>
            <w:r w:rsidRPr="006414E6">
              <w:rPr>
                <w:rFonts w:eastAsia="Times New Roman" w:cs="Times New Roman"/>
                <w:sz w:val="20"/>
                <w:lang w:eastAsia="hr-HR"/>
              </w:rPr>
              <w:t>na smanjenje/zadržavanje emisija i povećanje/zadržavanje odliva stakleničkih plinova i izrada novih smjernica za daljnje gospodarenje u šumarskom i poljoprivrednom sektoru uz primjenu mjera za ublaženje i prilagodbu na klimatske promjene. Potrebno je promovirati gospodarenje kategorijama zemljišta koje su korisne za klimu i okoliš, te izraditi smjernice daljnjeg razvoja temeljem znanja i iskustava stečenih provedbom ove mjere.</w:t>
            </w:r>
          </w:p>
        </w:tc>
      </w:tr>
      <w:tr w:rsidR="00B37DF8" w:rsidRPr="006414E6" w14:paraId="0B441087" w14:textId="77777777" w:rsidTr="00177077">
        <w:trPr>
          <w:trHeight w:val="340"/>
        </w:trPr>
        <w:tc>
          <w:tcPr>
            <w:tcW w:w="1129" w:type="dxa"/>
            <w:vAlign w:val="center"/>
          </w:tcPr>
          <w:p w14:paraId="7EF63989"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lastRenderedPageBreak/>
              <w:t>MLF-3</w:t>
            </w:r>
          </w:p>
        </w:tc>
        <w:tc>
          <w:tcPr>
            <w:tcW w:w="2832" w:type="dxa"/>
            <w:vAlign w:val="center"/>
          </w:tcPr>
          <w:p w14:paraId="470A45E3"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Provedba radova pošumljavanja</w:t>
            </w:r>
          </w:p>
        </w:tc>
        <w:tc>
          <w:tcPr>
            <w:tcW w:w="9217" w:type="dxa"/>
            <w:vAlign w:val="center"/>
          </w:tcPr>
          <w:p w14:paraId="7027FEE3" w14:textId="1EB4E112" w:rsidR="000B4E5C" w:rsidRPr="006414E6" w:rsidRDefault="000B4E5C" w:rsidP="00817C16">
            <w:pPr>
              <w:spacing w:line="240" w:lineRule="auto"/>
              <w:rPr>
                <w:rFonts w:eastAsia="Times New Roman" w:cs="Times New Roman"/>
                <w:sz w:val="20"/>
                <w:lang w:eastAsia="hr-HR"/>
              </w:rPr>
            </w:pPr>
            <w:bookmarkStart w:id="386" w:name="_Hlk37925195"/>
            <w:r w:rsidRPr="006414E6">
              <w:rPr>
                <w:rFonts w:eastAsia="Times New Roman" w:cs="Times New Roman"/>
                <w:sz w:val="20"/>
                <w:lang w:eastAsia="hr-HR"/>
              </w:rPr>
              <w:t xml:space="preserve">Pošumljavanje na površinama koje nisu šumske (u smislu IPCC metodologije), predstavlja aktivnost koja generira ponore. Republika Hrvatska zbog propisa iz područja zaštite prirode kojima se osigurava očuvanje prirodnih stanišnih tipova od interesa za Europsku uniju na cijelom svom teritoriju, nije u mogućnosti raspolagati svim površinama travnjaka (prema nacionalnom propisu: neobraslog proizvodnog šumskog zemljišta) za potrebe pošumljavanja. S obzirom da u Republici Hrvatskoj postoje poljoprivredne površine na kojima se ne odvija proizvodnja i koje su dugi niz godina zapuštene, prilikom izrade Strategije upravljanja zemljištem problem ovih površina mora biti odgovarajuće adresiran. Potrebno je ocijeniti opravdanost prenamjene ovih površina u šumske površine provedbom pošumljavanja. Ovdje treba uzeti u obzir da prilikom obračunavanja ponora na prenamijenjenim površinama zbog pošumljavanja ne postoji ograničenje u primjeni količine ponora, te da se ovi ponori uzimaju u potpunosti u obzir kod obračunavanja. Potreba je i ocjena učinaka pošumljavanja dodatnog neobraslog, proizvodnog šumskog zemljišta na ispunjavanje obaveza </w:t>
            </w:r>
            <w:r w:rsidR="00CC1EAB" w:rsidRPr="006414E6">
              <w:rPr>
                <w:rFonts w:eastAsia="Times New Roman" w:cs="Times New Roman"/>
                <w:sz w:val="20"/>
                <w:lang w:eastAsia="hr-HR"/>
              </w:rPr>
              <w:t>Republike Hrvatske</w:t>
            </w:r>
            <w:r w:rsidRPr="006414E6">
              <w:rPr>
                <w:rFonts w:eastAsia="Times New Roman" w:cs="Times New Roman"/>
                <w:sz w:val="20"/>
                <w:lang w:eastAsia="hr-HR"/>
              </w:rPr>
              <w:t xml:space="preserve"> povezanih s korištenjem obnovljivih izvora energije. Potrebno je izraditi smjernice daljnjeg razvoja temeljem znanja i iskustava stečenih provedbom aktivnosti pošumljavanja. U slučaju uvođenja mjere pošumljavanja na zapuštenom poljoprivrednom zemljištu, mjera će zahtijevati jačanje sjemenarstva i rasadničarske službe u šumarskom sektoru i uzgoj sadnog materijala potrebnog za provedbu ovih radova.</w:t>
            </w:r>
          </w:p>
          <w:bookmarkEnd w:id="386"/>
          <w:p w14:paraId="496A3A1C" w14:textId="07AD7179" w:rsidR="00B37DF8" w:rsidRPr="006414E6" w:rsidRDefault="00B37DF8" w:rsidP="00817C16">
            <w:pPr>
              <w:spacing w:line="240" w:lineRule="auto"/>
              <w:rPr>
                <w:rFonts w:eastAsia="Times New Roman" w:cs="Times New Roman"/>
                <w:sz w:val="20"/>
                <w:lang w:eastAsia="hr-HR"/>
              </w:rPr>
            </w:pPr>
          </w:p>
        </w:tc>
      </w:tr>
      <w:tr w:rsidR="00B37DF8" w:rsidRPr="006414E6" w14:paraId="1298E6A0" w14:textId="77777777" w:rsidTr="00177077">
        <w:trPr>
          <w:trHeight w:val="340"/>
        </w:trPr>
        <w:tc>
          <w:tcPr>
            <w:tcW w:w="1129" w:type="dxa"/>
            <w:vAlign w:val="center"/>
          </w:tcPr>
          <w:p w14:paraId="4D3AC20A"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MLF-4</w:t>
            </w:r>
          </w:p>
        </w:tc>
        <w:tc>
          <w:tcPr>
            <w:tcW w:w="2832" w:type="dxa"/>
            <w:vAlign w:val="center"/>
          </w:tcPr>
          <w:p w14:paraId="6232DFE8"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Proizvodnja i uporaba drva i drvnih proizvoda </w:t>
            </w:r>
          </w:p>
        </w:tc>
        <w:tc>
          <w:tcPr>
            <w:tcW w:w="9217" w:type="dxa"/>
            <w:vAlign w:val="center"/>
          </w:tcPr>
          <w:p w14:paraId="54C4C529"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Harmonizacijom dostupnih podataka i statističkih izvješća, te novim istraživanjima usuglasiti informacije kojima se raspolaže za potrebe različitih izvještavanja prema međunarodnim organizacijama u cilju što točnijeg, transparentnijeg i kvalitetnog izvješćivanja, ali i stvaranja harmoniziranih podloga za donošenje srednjoročnih i dugoročnih strategija u šumarskom i drvoprerađivačkom sektoru. Podrazumijeva se mapiranje šumarske i drvne industrijske proizvodnje. Poticati korištenje drvnih proizvoda u tradicionalnim i novim proizvodima u cilju povećavanja odliva i smanjenja emisija stakleničkih plinova u </w:t>
            </w:r>
            <w:proofErr w:type="spellStart"/>
            <w:r w:rsidRPr="006414E6">
              <w:rPr>
                <w:rFonts w:eastAsia="Times New Roman" w:cs="Times New Roman"/>
                <w:sz w:val="20"/>
                <w:lang w:eastAsia="hr-HR"/>
              </w:rPr>
              <w:t>pohraništu</w:t>
            </w:r>
            <w:proofErr w:type="spellEnd"/>
            <w:r w:rsidRPr="006414E6">
              <w:rPr>
                <w:rFonts w:eastAsia="Times New Roman" w:cs="Times New Roman"/>
                <w:sz w:val="20"/>
                <w:lang w:eastAsia="hr-HR"/>
              </w:rPr>
              <w:t xml:space="preserve"> drvnih proizvoda. Navedeno zahtjeva i regulacija izvoza neobrađenog i </w:t>
            </w:r>
            <w:proofErr w:type="spellStart"/>
            <w:r w:rsidRPr="006414E6">
              <w:rPr>
                <w:rFonts w:eastAsia="Times New Roman" w:cs="Times New Roman"/>
                <w:sz w:val="20"/>
                <w:lang w:eastAsia="hr-HR"/>
              </w:rPr>
              <w:t>poluobrađenog</w:t>
            </w:r>
            <w:proofErr w:type="spellEnd"/>
            <w:r w:rsidRPr="006414E6">
              <w:rPr>
                <w:rFonts w:eastAsia="Times New Roman" w:cs="Times New Roman"/>
                <w:sz w:val="20"/>
                <w:lang w:eastAsia="hr-HR"/>
              </w:rPr>
              <w:t xml:space="preserve"> drva što potiče razvoj domaće drvne industrije, a regulacija izvoza energetskog drva povećava udio proizvodnje energije iz obnovljivih izvora čime se ispunjavaju preuzete međunarodne obveze. Potrebno je promovirati aktivnosti kojima se generiraju odlivi  te koje osiguravaju da se drvni proizvodi i drvo za energetske svrhe koriste na načine koji doprinose ispunjavanju oba cilja EU do 2030. godine (smanjenju emisija i povećanju udjela obnovljivih izvora u ukupnoj potrošnji energije) te su korisne za klimu i okoliš. Potrebno je izraditi smjernice daljnjeg razvoja temeljem znanja i iskustava stečenih provedbom ove mjere.</w:t>
            </w:r>
          </w:p>
          <w:p w14:paraId="1BCC95BB" w14:textId="77777777" w:rsidR="00C37D83" w:rsidRPr="006414E6" w:rsidRDefault="00C37D83"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 </w:t>
            </w:r>
          </w:p>
        </w:tc>
      </w:tr>
      <w:tr w:rsidR="00B37DF8" w:rsidRPr="006414E6" w14:paraId="6107FE91" w14:textId="77777777" w:rsidTr="00177077">
        <w:trPr>
          <w:trHeight w:val="340"/>
        </w:trPr>
        <w:tc>
          <w:tcPr>
            <w:tcW w:w="1129" w:type="dxa"/>
            <w:vAlign w:val="center"/>
          </w:tcPr>
          <w:p w14:paraId="0ED44ABD"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MLF-5</w:t>
            </w:r>
          </w:p>
        </w:tc>
        <w:tc>
          <w:tcPr>
            <w:tcW w:w="2832" w:type="dxa"/>
            <w:vAlign w:val="center"/>
          </w:tcPr>
          <w:p w14:paraId="0143FA7F"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Gospodarenje poljoprivrednim zemljištem</w:t>
            </w:r>
          </w:p>
        </w:tc>
        <w:tc>
          <w:tcPr>
            <w:tcW w:w="9217" w:type="dxa"/>
            <w:vAlign w:val="center"/>
          </w:tcPr>
          <w:p w14:paraId="27ED98B4"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Provedbom aktivnosti u gospodarenju površinama za poljoprivrednu proizvodnju na način koji doprinosi smanjenju emisijskog faktora od interesa je za  obiteljska poljoprivredna gospodarstava s obzirom da je CAP uredbama EK-a visina poticaja veća ukoliko je emisijski faktor zbog načina gospodarenja ovim površinama niži. </w:t>
            </w:r>
            <w:r w:rsidRPr="006414E6">
              <w:rPr>
                <w:rFonts w:eastAsia="Times New Roman" w:cs="Times New Roman"/>
                <w:sz w:val="20"/>
                <w:lang w:eastAsia="hr-HR"/>
              </w:rPr>
              <w:lastRenderedPageBreak/>
              <w:t xml:space="preserve">Prakse gospodarenja ovim površinama koje mogu imati utjecaja na emisije i odlive u primjerice u </w:t>
            </w:r>
            <w:proofErr w:type="spellStart"/>
            <w:r w:rsidRPr="006414E6">
              <w:rPr>
                <w:rFonts w:eastAsia="Times New Roman" w:cs="Times New Roman"/>
                <w:sz w:val="20"/>
                <w:lang w:eastAsia="hr-HR"/>
              </w:rPr>
              <w:t>pohraništu</w:t>
            </w:r>
            <w:proofErr w:type="spellEnd"/>
            <w:r w:rsidRPr="006414E6">
              <w:rPr>
                <w:rFonts w:eastAsia="Times New Roman" w:cs="Times New Roman"/>
                <w:sz w:val="20"/>
                <w:lang w:eastAsia="hr-HR"/>
              </w:rPr>
              <w:t xml:space="preserve"> tla su: načini obrade tla, životni vijek nasada/usjeva (rotacijsko razdoblje) i tip usjeva/nasada, primjena gnojiva, gospodarenje ostacima, kontrola erozije, primjena sustava navodnjavanja i dr.). Potrebno je promovirati aktivnosti na način koristan za klimu i okoliš, te izraditi smjernice daljnjeg razvoja temeljem znanja i iskustava stečenih provedbom ove mjere.</w:t>
            </w:r>
          </w:p>
        </w:tc>
      </w:tr>
      <w:tr w:rsidR="00B37DF8" w:rsidRPr="006414E6" w14:paraId="32815594" w14:textId="77777777" w:rsidTr="00177077">
        <w:trPr>
          <w:trHeight w:val="340"/>
        </w:trPr>
        <w:tc>
          <w:tcPr>
            <w:tcW w:w="1129" w:type="dxa"/>
            <w:vAlign w:val="center"/>
          </w:tcPr>
          <w:p w14:paraId="0ABDE977"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lastRenderedPageBreak/>
              <w:t>MLF-6</w:t>
            </w:r>
          </w:p>
        </w:tc>
        <w:tc>
          <w:tcPr>
            <w:tcW w:w="2832" w:type="dxa"/>
            <w:vAlign w:val="center"/>
          </w:tcPr>
          <w:p w14:paraId="32B241DD"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Gospodarenje pašnjacima</w:t>
            </w:r>
          </w:p>
        </w:tc>
        <w:tc>
          <w:tcPr>
            <w:tcW w:w="9217" w:type="dxa"/>
            <w:vAlign w:val="center"/>
          </w:tcPr>
          <w:p w14:paraId="7B9587A2"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Provedbom aktivnosti u gospodarenju pašnjacima na način koji doprinosi smanjenju emisijskog faktora od interesa je za  obiteljska poljoprivredna gospodarstva s obzirom da je CAP uredbama EK-a visina poticaja veća ukoliko je emisijski faktor zbog načina gospodarenja ovim površinama niži. Potrebno je promovirati aktivnosti na način koristan za klimu i okoliš, te izraditi smjernice daljnjeg razvoja temeljem znanja i iskustava stečenih provedbom ove mjere.</w:t>
            </w:r>
          </w:p>
        </w:tc>
      </w:tr>
      <w:tr w:rsidR="00B37DF8" w:rsidRPr="006414E6" w14:paraId="3ACC18E0" w14:textId="77777777" w:rsidTr="00177077">
        <w:trPr>
          <w:trHeight w:val="340"/>
        </w:trPr>
        <w:tc>
          <w:tcPr>
            <w:tcW w:w="1129" w:type="dxa"/>
            <w:vAlign w:val="center"/>
          </w:tcPr>
          <w:p w14:paraId="26BCCED5" w14:textId="77777777" w:rsidR="00B37DF8" w:rsidRPr="006414E6" w:rsidRDefault="00B37DF8" w:rsidP="00B37DF8">
            <w:pPr>
              <w:spacing w:line="240" w:lineRule="auto"/>
              <w:jc w:val="left"/>
              <w:rPr>
                <w:rFonts w:eastAsia="Times New Roman" w:cs="Times New Roman"/>
                <w:sz w:val="20"/>
                <w:lang w:eastAsia="hr-HR"/>
              </w:rPr>
            </w:pPr>
            <w:r w:rsidRPr="006414E6">
              <w:rPr>
                <w:rFonts w:cs="Times New Roman"/>
                <w:sz w:val="20"/>
              </w:rPr>
              <w:t>MLF-7</w:t>
            </w:r>
          </w:p>
        </w:tc>
        <w:tc>
          <w:tcPr>
            <w:tcW w:w="2832" w:type="dxa"/>
            <w:vAlign w:val="center"/>
          </w:tcPr>
          <w:p w14:paraId="34578078" w14:textId="77777777" w:rsidR="00B37DF8" w:rsidRPr="006414E6" w:rsidRDefault="00B37DF8" w:rsidP="00B37DF8">
            <w:pPr>
              <w:spacing w:line="240" w:lineRule="auto"/>
              <w:jc w:val="left"/>
              <w:rPr>
                <w:rFonts w:eastAsia="Times New Roman" w:cs="Times New Roman"/>
                <w:sz w:val="20"/>
                <w:lang w:eastAsia="hr-HR"/>
              </w:rPr>
            </w:pPr>
            <w:r w:rsidRPr="006414E6">
              <w:rPr>
                <w:rFonts w:eastAsia="Times New Roman" w:cs="Times New Roman"/>
                <w:sz w:val="20"/>
                <w:lang w:eastAsia="hr-HR"/>
              </w:rPr>
              <w:t xml:space="preserve">Provedba tehničkih projekata i znanstvenih istraživanja u LULUCF sektoru </w:t>
            </w:r>
          </w:p>
        </w:tc>
        <w:tc>
          <w:tcPr>
            <w:tcW w:w="9217" w:type="dxa"/>
            <w:vAlign w:val="center"/>
          </w:tcPr>
          <w:p w14:paraId="1BE85330" w14:textId="77777777" w:rsidR="00B37DF8" w:rsidRPr="006414E6" w:rsidRDefault="00B37DF8" w:rsidP="00817C16">
            <w:pPr>
              <w:spacing w:line="240" w:lineRule="auto"/>
              <w:rPr>
                <w:rFonts w:eastAsia="Times New Roman" w:cs="Times New Roman"/>
                <w:sz w:val="20"/>
                <w:lang w:eastAsia="hr-HR"/>
              </w:rPr>
            </w:pPr>
            <w:r w:rsidRPr="006414E6">
              <w:rPr>
                <w:rFonts w:eastAsia="Times New Roman" w:cs="Times New Roman"/>
                <w:sz w:val="20"/>
                <w:lang w:eastAsia="hr-HR"/>
              </w:rPr>
              <w:t xml:space="preserve">U razdoblju do 2030. i 2050. godinu nužno je osigurati financijska sredstva za provedbu tehničkih i znanstvenih projekata u LULUCF sektoru. Znanstvenim projektima treba se omogućiti razvoj različitih modela za potrebe prelaska na višu razinu </w:t>
            </w:r>
            <w:proofErr w:type="spellStart"/>
            <w:r w:rsidRPr="006414E6">
              <w:rPr>
                <w:rFonts w:eastAsia="Times New Roman" w:cs="Times New Roman"/>
                <w:sz w:val="20"/>
                <w:lang w:eastAsia="hr-HR"/>
              </w:rPr>
              <w:t>IPCC</w:t>
            </w:r>
            <w:proofErr w:type="spellEnd"/>
            <w:r w:rsidRPr="006414E6">
              <w:rPr>
                <w:rFonts w:eastAsia="Times New Roman" w:cs="Times New Roman"/>
                <w:sz w:val="20"/>
                <w:lang w:eastAsia="hr-HR"/>
              </w:rPr>
              <w:t xml:space="preserve"> metodologije (</w:t>
            </w:r>
            <w:proofErr w:type="spellStart"/>
            <w:r w:rsidRPr="006414E6">
              <w:rPr>
                <w:rFonts w:eastAsia="Times New Roman" w:cs="Times New Roman"/>
                <w:sz w:val="20"/>
                <w:lang w:eastAsia="hr-HR"/>
              </w:rPr>
              <w:t>Tier</w:t>
            </w:r>
            <w:proofErr w:type="spellEnd"/>
            <w:r w:rsidRPr="006414E6">
              <w:rPr>
                <w:rFonts w:eastAsia="Times New Roman" w:cs="Times New Roman"/>
                <w:sz w:val="20"/>
                <w:lang w:eastAsia="hr-HR"/>
              </w:rPr>
              <w:t xml:space="preserve"> 3) s ciljem što točnijeg utvrđivanja emisija/odliva stakleničkih plinova i posljedično planiranja mjera za smanjenje emisija i povećanje odliva. </w:t>
            </w:r>
          </w:p>
        </w:tc>
      </w:tr>
    </w:tbl>
    <w:p w14:paraId="200138B0" w14:textId="2B08B188" w:rsidR="00CA0D11" w:rsidRPr="006414E6" w:rsidRDefault="00CA0D11" w:rsidP="009966EC">
      <w:pPr>
        <w:pStyle w:val="Naslov2"/>
        <w:ind w:left="0"/>
      </w:pPr>
      <w:bookmarkStart w:id="387" w:name="_Toc23768208"/>
      <w:bookmarkEnd w:id="387"/>
    </w:p>
    <w:sectPr w:rsidR="00CA0D11" w:rsidRPr="006414E6" w:rsidSect="00177077">
      <w:pgSz w:w="16838" w:h="11906" w:orient="landscape"/>
      <w:pgMar w:top="1418" w:right="1418" w:bottom="1418" w:left="1701" w:header="624"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5E6C2" w14:textId="77777777" w:rsidR="00BA6891" w:rsidRDefault="00BA6891" w:rsidP="00E27E7A">
      <w:r>
        <w:separator/>
      </w:r>
    </w:p>
  </w:endnote>
  <w:endnote w:type="continuationSeparator" w:id="0">
    <w:p w14:paraId="65DB9E1E" w14:textId="77777777" w:rsidR="00BA6891" w:rsidRDefault="00BA6891" w:rsidP="00E27E7A">
      <w:r>
        <w:continuationSeparator/>
      </w:r>
    </w:p>
  </w:endnote>
  <w:endnote w:type="continuationNotice" w:id="1">
    <w:p w14:paraId="033C2318" w14:textId="77777777" w:rsidR="00BA6891" w:rsidRDefault="00BA68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imes-NewRoman">
    <w:altName w:val="Times New Roman"/>
    <w:charset w:val="00"/>
    <w:family w:val="roman"/>
    <w:pitch w:val="default"/>
  </w:font>
  <w:font w:name="Minion Pro Cond">
    <w:altName w:val="Times New Roman"/>
    <w:panose1 w:val="00000000000000000000"/>
    <w:charset w:val="00"/>
    <w:family w:val="roman"/>
    <w:notTrueType/>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Univers">
    <w:charset w:val="00"/>
    <w:family w:val="swiss"/>
    <w:pitch w:val="variable"/>
    <w:sig w:usb0="80000287" w:usb1="00000000" w:usb2="00000000" w:usb3="00000000" w:csb0="0000000F" w:csb1="00000000"/>
  </w:font>
  <w:font w:name="GarmdITC Bk BT">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NewBskvll BT">
    <w:altName w:val="Times New Roman"/>
    <w:panose1 w:val="00000000000000000000"/>
    <w:charset w:val="00"/>
    <w:family w:val="roman"/>
    <w:notTrueType/>
    <w:pitch w:val="default"/>
  </w:font>
  <w:font w:name="EUAlbertina">
    <w:altName w:val="Cambria"/>
    <w:panose1 w:val="00000000000000000000"/>
    <w:charset w:val="00"/>
    <w:family w:val="roman"/>
    <w:notTrueType/>
    <w:pitch w:val="default"/>
    <w:sig w:usb0="00000003" w:usb1="08070000" w:usb2="00000010" w:usb3="00000000" w:csb0="00020001" w:csb1="00000000"/>
  </w:font>
  <w:font w:name="Consolas">
    <w:panose1 w:val="020B0609020204030204"/>
    <w:charset w:val="EE"/>
    <w:family w:val="modern"/>
    <w:pitch w:val="fixed"/>
    <w:sig w:usb0="E00006FF" w:usb1="0000FCFF" w:usb2="00000001" w:usb3="00000000" w:csb0="0000019F" w:csb1="00000000"/>
  </w:font>
  <w:font w:name="Times">
    <w:panose1 w:val="02020603050405020304"/>
    <w:charset w:val="00"/>
    <w:family w:val="roman"/>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1C3B0" w14:textId="77777777" w:rsidR="00BA6891" w:rsidRDefault="00BA6891" w:rsidP="00E27E7A">
      <w:r>
        <w:separator/>
      </w:r>
    </w:p>
  </w:footnote>
  <w:footnote w:type="continuationSeparator" w:id="0">
    <w:p w14:paraId="2F5B657B" w14:textId="77777777" w:rsidR="00BA6891" w:rsidRDefault="00BA6891" w:rsidP="00E27E7A">
      <w:r>
        <w:continuationSeparator/>
      </w:r>
    </w:p>
  </w:footnote>
  <w:footnote w:type="continuationNotice" w:id="1">
    <w:p w14:paraId="1D421E33" w14:textId="77777777" w:rsidR="00BA6891" w:rsidRDefault="00BA68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D277F" w14:textId="2398DFD8" w:rsidR="00177077" w:rsidRDefault="00177077">
    <w:pPr>
      <w:pStyle w:val="Header"/>
      <w:jc w:val="center"/>
    </w:pPr>
  </w:p>
  <w:p w14:paraId="18B0FDB1" w14:textId="77777777" w:rsidR="00177077" w:rsidRPr="00B11469" w:rsidRDefault="00177077" w:rsidP="00B114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618E"/>
    <w:multiLevelType w:val="hybridMultilevel"/>
    <w:tmpl w:val="98F09AF6"/>
    <w:lvl w:ilvl="0" w:tplc="A44C9490">
      <w:start w:val="1"/>
      <w:numFmt w:val="bullet"/>
      <w:lvlText w:val="•"/>
      <w:lvlJc w:val="left"/>
      <w:pPr>
        <w:ind w:left="720" w:hanging="360"/>
      </w:pPr>
      <w:rPr>
        <w:rFonts w:ascii="Calibri" w:hAnsi="Calibri" w:hint="default"/>
        <w:b w:val="0"/>
        <w:i w:val="0"/>
        <w:sz w:val="22"/>
      </w:rPr>
    </w:lvl>
    <w:lvl w:ilvl="1" w:tplc="A44C9490">
      <w:start w:val="1"/>
      <w:numFmt w:val="bullet"/>
      <w:lvlText w:val="•"/>
      <w:lvlJc w:val="left"/>
      <w:pPr>
        <w:ind w:left="1440" w:hanging="360"/>
      </w:pPr>
      <w:rPr>
        <w:rFonts w:ascii="Calibri" w:hAnsi="Calibri" w:hint="default"/>
        <w:b w:val="0"/>
        <w:i w:val="0"/>
        <w:sz w:val="2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837020"/>
    <w:multiLevelType w:val="hybridMultilevel"/>
    <w:tmpl w:val="85A47DF0"/>
    <w:name w:val="test_list_multilvl62"/>
    <w:lvl w:ilvl="0" w:tplc="6A8ACBFA">
      <w:start w:val="1"/>
      <w:numFmt w:val="decimal"/>
      <w:lvlText w:val="%1."/>
      <w:lvlJc w:val="left"/>
      <w:pPr>
        <w:ind w:left="720" w:hanging="360"/>
      </w:pPr>
      <w:rPr>
        <w:rFonts w:ascii="Segoe UI" w:hAnsi="Segoe U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3B01913"/>
    <w:multiLevelType w:val="hybridMultilevel"/>
    <w:tmpl w:val="374CCB2A"/>
    <w:lvl w:ilvl="0" w:tplc="D0BC3CAE">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381256"/>
    <w:multiLevelType w:val="hybridMultilevel"/>
    <w:tmpl w:val="59D231EA"/>
    <w:lvl w:ilvl="0" w:tplc="A44C9490">
      <w:start w:val="1"/>
      <w:numFmt w:val="bullet"/>
      <w:lvlText w:val="•"/>
      <w:lvlJc w:val="left"/>
      <w:pPr>
        <w:ind w:left="720" w:hanging="360"/>
      </w:pPr>
      <w:rPr>
        <w:rFonts w:ascii="Calibri" w:hAnsi="Calibri"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04927A17"/>
    <w:multiLevelType w:val="hybridMultilevel"/>
    <w:tmpl w:val="2682B77E"/>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5E261C5"/>
    <w:multiLevelType w:val="hybridMultilevel"/>
    <w:tmpl w:val="2F7C34D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6CF69A0"/>
    <w:multiLevelType w:val="hybridMultilevel"/>
    <w:tmpl w:val="D610B156"/>
    <w:lvl w:ilvl="0" w:tplc="041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BC548C"/>
    <w:multiLevelType w:val="multilevel"/>
    <w:tmpl w:val="FF7E1472"/>
    <w:name w:val="test_list_multilvl63"/>
    <w:styleLink w:val="naslovimultilvl"/>
    <w:lvl w:ilvl="0">
      <w:start w:val="1"/>
      <w:numFmt w:val="decimal"/>
      <w:lvlText w:val="%1."/>
      <w:lvlJc w:val="left"/>
      <w:pPr>
        <w:ind w:left="567" w:hanging="567"/>
      </w:pPr>
      <w:rPr>
        <w:rFonts w:ascii="Segoe UI" w:hAnsi="Segoe UI" w:hint="default"/>
        <w:color w:val="003F71"/>
        <w:sz w:val="40"/>
      </w:rPr>
    </w:lvl>
    <w:lvl w:ilvl="1">
      <w:start w:val="1"/>
      <w:numFmt w:val="decimal"/>
      <w:lvlText w:val="%1.%2."/>
      <w:lvlJc w:val="left"/>
      <w:pPr>
        <w:ind w:left="567" w:hanging="567"/>
      </w:pPr>
      <w:rPr>
        <w:rFonts w:ascii="Segoe UI" w:hAnsi="Segoe UI" w:hint="default"/>
        <w:color w:val="003F71"/>
        <w:sz w:val="28"/>
      </w:rPr>
    </w:lvl>
    <w:lvl w:ilvl="2">
      <w:start w:val="1"/>
      <w:numFmt w:val="decimal"/>
      <w:lvlText w:val="%1.%2.%3."/>
      <w:lvlJc w:val="left"/>
      <w:pPr>
        <w:ind w:left="737" w:hanging="737"/>
      </w:pPr>
      <w:rPr>
        <w:rFonts w:ascii="Segoe UI" w:hAnsi="Segoe UI" w:hint="default"/>
        <w:color w:val="003F71"/>
        <w:sz w:val="24"/>
      </w:rPr>
    </w:lvl>
    <w:lvl w:ilvl="3">
      <w:start w:val="1"/>
      <w:numFmt w:val="decimal"/>
      <w:lvlText w:val="%1.%2.%3.%4."/>
      <w:lvlJc w:val="left"/>
      <w:pPr>
        <w:ind w:left="1730" w:hanging="737"/>
      </w:pPr>
      <w:rPr>
        <w:rFonts w:ascii="Segoe UI" w:hAnsi="Segoe UI" w:hint="default"/>
        <w:color w:val="003F71"/>
        <w:sz w:val="20"/>
      </w:rPr>
    </w:lvl>
    <w:lvl w:ilvl="4">
      <w:start w:val="1"/>
      <w:numFmt w:val="decimal"/>
      <w:lvlText w:val="%1.%2.%3.%4.%5."/>
      <w:lvlJc w:val="left"/>
      <w:pPr>
        <w:ind w:left="4394" w:hanging="794"/>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8" w15:restartNumberingAfterBreak="0">
    <w:nsid w:val="090240D1"/>
    <w:multiLevelType w:val="hybridMultilevel"/>
    <w:tmpl w:val="B638FFE2"/>
    <w:name w:val="test_list_multilvl62523225"/>
    <w:lvl w:ilvl="0" w:tplc="3ECA30A8">
      <w:start w:val="1"/>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B783AFB"/>
    <w:multiLevelType w:val="hybridMultilevel"/>
    <w:tmpl w:val="E140F960"/>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C467E7E"/>
    <w:multiLevelType w:val="hybridMultilevel"/>
    <w:tmpl w:val="C240BEEC"/>
    <w:lvl w:ilvl="0" w:tplc="A44C9490">
      <w:start w:val="1"/>
      <w:numFmt w:val="bullet"/>
      <w:lvlText w:val="•"/>
      <w:lvlJc w:val="left"/>
      <w:pPr>
        <w:ind w:left="720" w:hanging="360"/>
      </w:pPr>
      <w:rPr>
        <w:rFonts w:ascii="Calibri" w:hAnsi="Calibri"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EE63905"/>
    <w:multiLevelType w:val="hybridMultilevel"/>
    <w:tmpl w:val="4B8A7928"/>
    <w:name w:val="test_list_multilvl62523222"/>
    <w:lvl w:ilvl="0" w:tplc="041A000F">
      <w:start w:val="1"/>
      <w:numFmt w:val="decimal"/>
      <w:lvlText w:val="%1."/>
      <w:lvlJc w:val="left"/>
      <w:pPr>
        <w:ind w:left="720" w:hanging="360"/>
      </w:pPr>
      <w:rPr>
        <w:rFonts w:hint="default"/>
        <w:sz w:val="2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0F4D3A0A"/>
    <w:multiLevelType w:val="hybridMultilevel"/>
    <w:tmpl w:val="817C0784"/>
    <w:lvl w:ilvl="0" w:tplc="041A0001">
      <w:start w:val="1"/>
      <w:numFmt w:val="bullet"/>
      <w:lvlText w:val=""/>
      <w:lvlJc w:val="left"/>
      <w:pPr>
        <w:ind w:left="720" w:hanging="360"/>
      </w:pPr>
      <w:rPr>
        <w:rFonts w:ascii="Symbol" w:hAnsi="Symbol" w:hint="default"/>
      </w:rPr>
    </w:lvl>
    <w:lvl w:ilvl="1" w:tplc="A44C9490">
      <w:start w:val="1"/>
      <w:numFmt w:val="bullet"/>
      <w:lvlText w:val="•"/>
      <w:lvlJc w:val="left"/>
      <w:pPr>
        <w:ind w:left="1440" w:hanging="360"/>
      </w:pPr>
      <w:rPr>
        <w:rFonts w:ascii="Calibri" w:hAnsi="Calibri" w:hint="default"/>
        <w:b w:val="0"/>
        <w:i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4D1608"/>
    <w:multiLevelType w:val="hybridMultilevel"/>
    <w:tmpl w:val="D3342DC2"/>
    <w:lvl w:ilvl="0" w:tplc="A44C9490">
      <w:start w:val="1"/>
      <w:numFmt w:val="bullet"/>
      <w:lvlText w:val="•"/>
      <w:lvlJc w:val="left"/>
      <w:pPr>
        <w:ind w:left="720" w:hanging="360"/>
      </w:pPr>
      <w:rPr>
        <w:rFonts w:ascii="Calibri" w:hAnsi="Calibri"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05422A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083270C"/>
    <w:multiLevelType w:val="hybridMultilevel"/>
    <w:tmpl w:val="49780804"/>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0A0782A"/>
    <w:multiLevelType w:val="hybridMultilevel"/>
    <w:tmpl w:val="51AA574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0B356A5"/>
    <w:multiLevelType w:val="hybridMultilevel"/>
    <w:tmpl w:val="62A274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12A3C8A"/>
    <w:multiLevelType w:val="multilevel"/>
    <w:tmpl w:val="4F68DBDA"/>
    <w:name w:val="test_list_multilvl625222"/>
    <w:numStyleLink w:val="popis"/>
  </w:abstractNum>
  <w:abstractNum w:abstractNumId="19" w15:restartNumberingAfterBreak="0">
    <w:nsid w:val="118E3533"/>
    <w:multiLevelType w:val="hybridMultilevel"/>
    <w:tmpl w:val="4A5AE4FA"/>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1E23D6C"/>
    <w:multiLevelType w:val="hybridMultilevel"/>
    <w:tmpl w:val="23D0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F212E2"/>
    <w:multiLevelType w:val="hybridMultilevel"/>
    <w:tmpl w:val="469AFF4A"/>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3265BA2"/>
    <w:multiLevelType w:val="hybridMultilevel"/>
    <w:tmpl w:val="4B50897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55173D4"/>
    <w:multiLevelType w:val="hybridMultilevel"/>
    <w:tmpl w:val="CDDADB1A"/>
    <w:lvl w:ilvl="0" w:tplc="A44C9490">
      <w:start w:val="1"/>
      <w:numFmt w:val="bullet"/>
      <w:lvlText w:val="•"/>
      <w:lvlJc w:val="left"/>
      <w:pPr>
        <w:ind w:left="1440" w:hanging="360"/>
      </w:pPr>
      <w:rPr>
        <w:rFonts w:ascii="Calibri" w:hAnsi="Calibri" w:hint="default"/>
        <w:b w:val="0"/>
        <w:i w:val="0"/>
        <w:sz w:val="22"/>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4" w15:restartNumberingAfterBreak="0">
    <w:nsid w:val="15E80AB0"/>
    <w:multiLevelType w:val="hybridMultilevel"/>
    <w:tmpl w:val="580A1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15617A"/>
    <w:multiLevelType w:val="multilevel"/>
    <w:tmpl w:val="BAF60150"/>
    <w:lvl w:ilvl="0">
      <w:start w:val="1"/>
      <w:numFmt w:val="bullet"/>
      <w:lvlText w:val="•"/>
      <w:lvlJc w:val="left"/>
      <w:pPr>
        <w:ind w:left="720" w:hanging="360"/>
      </w:pPr>
      <w:rPr>
        <w:rFonts w:ascii="Calibri" w:hAnsi="Calibri" w:hint="default"/>
        <w:b w:val="0"/>
        <w:i w:val="0"/>
        <w:sz w:val="22"/>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15:restartNumberingAfterBreak="0">
    <w:nsid w:val="181D42A8"/>
    <w:multiLevelType w:val="hybridMultilevel"/>
    <w:tmpl w:val="993AC8A0"/>
    <w:lvl w:ilvl="0" w:tplc="A44C9490">
      <w:start w:val="1"/>
      <w:numFmt w:val="bullet"/>
      <w:lvlText w:val="•"/>
      <w:lvlJc w:val="left"/>
      <w:pPr>
        <w:ind w:left="720" w:hanging="360"/>
      </w:pPr>
      <w:rPr>
        <w:rFonts w:ascii="Calibri" w:hAnsi="Calibri" w:hint="default"/>
        <w:b w:val="0"/>
        <w:i w:val="0"/>
        <w:sz w:val="22"/>
      </w:rPr>
    </w:lvl>
    <w:lvl w:ilvl="1" w:tplc="A44C9490">
      <w:start w:val="1"/>
      <w:numFmt w:val="bullet"/>
      <w:lvlText w:val="•"/>
      <w:lvlJc w:val="left"/>
      <w:pPr>
        <w:ind w:left="1440" w:hanging="360"/>
      </w:pPr>
      <w:rPr>
        <w:rFonts w:ascii="Calibri" w:hAnsi="Calibri" w:hint="default"/>
        <w:b w:val="0"/>
        <w:i w:val="0"/>
        <w:color w:val="auto"/>
        <w:sz w:val="2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AD17DF6"/>
    <w:multiLevelType w:val="hybridMultilevel"/>
    <w:tmpl w:val="3184F392"/>
    <w:lvl w:ilvl="0" w:tplc="A44C9490">
      <w:start w:val="1"/>
      <w:numFmt w:val="bullet"/>
      <w:lvlText w:val="•"/>
      <w:lvlJc w:val="left"/>
      <w:pPr>
        <w:ind w:left="720" w:hanging="360"/>
      </w:pPr>
      <w:rPr>
        <w:rFonts w:ascii="Calibri" w:hAnsi="Calibri"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15:restartNumberingAfterBreak="0">
    <w:nsid w:val="1C022880"/>
    <w:multiLevelType w:val="hybridMultilevel"/>
    <w:tmpl w:val="CD6068CA"/>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D027C7A"/>
    <w:multiLevelType w:val="hybridMultilevel"/>
    <w:tmpl w:val="50ECD8A2"/>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1E6B2B74"/>
    <w:multiLevelType w:val="hybridMultilevel"/>
    <w:tmpl w:val="7E949A3E"/>
    <w:lvl w:ilvl="0" w:tplc="A44C9490">
      <w:start w:val="1"/>
      <w:numFmt w:val="bullet"/>
      <w:lvlText w:val="•"/>
      <w:lvlJc w:val="left"/>
      <w:pPr>
        <w:ind w:left="720" w:hanging="360"/>
      </w:pPr>
      <w:rPr>
        <w:rFonts w:ascii="Calibri" w:hAnsi="Calibri"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EF85707"/>
    <w:multiLevelType w:val="hybridMultilevel"/>
    <w:tmpl w:val="E97A9870"/>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FA064C8"/>
    <w:multiLevelType w:val="hybridMultilevel"/>
    <w:tmpl w:val="50903438"/>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2A25367"/>
    <w:multiLevelType w:val="multilevel"/>
    <w:tmpl w:val="FF7E1472"/>
    <w:name w:val="test_list_multilvl4"/>
    <w:numStyleLink w:val="naslovimultilvl"/>
  </w:abstractNum>
  <w:abstractNum w:abstractNumId="34" w15:restartNumberingAfterBreak="0">
    <w:nsid w:val="24D24BDA"/>
    <w:multiLevelType w:val="multilevel"/>
    <w:tmpl w:val="EEDAC59A"/>
    <w:name w:val="test_list_multilvl6252322"/>
    <w:lvl w:ilvl="0">
      <w:start w:val="1"/>
      <w:numFmt w:val="decimal"/>
      <w:lvlText w:val="%1."/>
      <w:lvlJc w:val="left"/>
      <w:pPr>
        <w:ind w:left="567" w:hanging="567"/>
      </w:pPr>
      <w:rPr>
        <w:rFonts w:ascii="Segoe UI" w:hAnsi="Segoe UI" w:hint="default"/>
        <w:color w:val="003F71"/>
        <w:sz w:val="40"/>
      </w:rPr>
    </w:lvl>
    <w:lvl w:ilvl="1">
      <w:start w:val="1"/>
      <w:numFmt w:val="decimal"/>
      <w:lvlText w:val="%1.%2."/>
      <w:lvlJc w:val="left"/>
      <w:pPr>
        <w:ind w:left="567" w:hanging="567"/>
      </w:pPr>
      <w:rPr>
        <w:rFonts w:ascii="Segoe UI" w:hAnsi="Segoe UI" w:hint="default"/>
        <w:color w:val="003F71"/>
        <w:sz w:val="28"/>
      </w:rPr>
    </w:lvl>
    <w:lvl w:ilvl="2">
      <w:start w:val="1"/>
      <w:numFmt w:val="decimal"/>
      <w:lvlText w:val="%1.%2.%3."/>
      <w:lvlJc w:val="left"/>
      <w:pPr>
        <w:ind w:left="737" w:hanging="737"/>
      </w:pPr>
      <w:rPr>
        <w:rFonts w:ascii="Segoe UI" w:hAnsi="Segoe UI" w:hint="default"/>
        <w:color w:val="003F71"/>
        <w:sz w:val="24"/>
      </w:rPr>
    </w:lvl>
    <w:lvl w:ilvl="3">
      <w:start w:val="1"/>
      <w:numFmt w:val="decimal"/>
      <w:lvlText w:val="%1.%2.%3.%4."/>
      <w:lvlJc w:val="left"/>
      <w:pPr>
        <w:ind w:left="1730" w:hanging="737"/>
      </w:pPr>
      <w:rPr>
        <w:rFonts w:ascii="Segoe UI" w:hAnsi="Segoe UI" w:hint="default"/>
        <w:color w:val="003F71"/>
        <w:sz w:val="20"/>
      </w:rPr>
    </w:lvl>
    <w:lvl w:ilvl="4">
      <w:start w:val="1"/>
      <w:numFmt w:val="decimal"/>
      <w:lvlText w:val="%1.%2.%3.%4.%5."/>
      <w:lvlJc w:val="left"/>
      <w:pPr>
        <w:ind w:left="4394" w:hanging="794"/>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35" w15:restartNumberingAfterBreak="0">
    <w:nsid w:val="24E11325"/>
    <w:multiLevelType w:val="hybridMultilevel"/>
    <w:tmpl w:val="675E14AA"/>
    <w:lvl w:ilvl="0" w:tplc="42ECB738">
      <w:start w:val="1"/>
      <w:numFmt w:val="bullet"/>
      <w:lvlText w:val="–"/>
      <w:lvlJc w:val="left"/>
      <w:pPr>
        <w:ind w:left="1080" w:hanging="360"/>
      </w:pPr>
      <w:rPr>
        <w:rFonts w:ascii="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15:restartNumberingAfterBreak="0">
    <w:nsid w:val="259B6F82"/>
    <w:multiLevelType w:val="hybridMultilevel"/>
    <w:tmpl w:val="5E508F92"/>
    <w:lvl w:ilvl="0" w:tplc="041A0001">
      <w:start w:val="1"/>
      <w:numFmt w:val="bullet"/>
      <w:lvlText w:val=""/>
      <w:lvlJc w:val="left"/>
      <w:pPr>
        <w:ind w:left="720" w:hanging="360"/>
      </w:pPr>
      <w:rPr>
        <w:rFonts w:ascii="Symbol" w:hAnsi="Symbol" w:hint="default"/>
      </w:rPr>
    </w:lvl>
    <w:lvl w:ilvl="1" w:tplc="A44C9490">
      <w:start w:val="1"/>
      <w:numFmt w:val="bullet"/>
      <w:lvlText w:val="•"/>
      <w:lvlJc w:val="left"/>
      <w:pPr>
        <w:ind w:left="1440" w:hanging="360"/>
      </w:pPr>
      <w:rPr>
        <w:rFonts w:ascii="Calibri" w:hAnsi="Calibri" w:hint="default"/>
        <w:b w:val="0"/>
        <w:i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BC650F"/>
    <w:multiLevelType w:val="hybridMultilevel"/>
    <w:tmpl w:val="90769F74"/>
    <w:lvl w:ilvl="0" w:tplc="A44C9490">
      <w:start w:val="1"/>
      <w:numFmt w:val="bullet"/>
      <w:lvlText w:val="•"/>
      <w:lvlJc w:val="left"/>
      <w:pPr>
        <w:ind w:left="720" w:hanging="360"/>
      </w:pPr>
      <w:rPr>
        <w:rFonts w:ascii="Calibri" w:hAnsi="Calibri"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657155F"/>
    <w:multiLevelType w:val="hybridMultilevel"/>
    <w:tmpl w:val="0586241C"/>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65D7562"/>
    <w:multiLevelType w:val="hybridMultilevel"/>
    <w:tmpl w:val="EDBC0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6B36951"/>
    <w:multiLevelType w:val="hybridMultilevel"/>
    <w:tmpl w:val="20CCB23C"/>
    <w:lvl w:ilvl="0" w:tplc="041A0001">
      <w:start w:val="1"/>
      <w:numFmt w:val="bullet"/>
      <w:lvlText w:val=""/>
      <w:lvlJc w:val="left"/>
      <w:pPr>
        <w:ind w:left="720" w:hanging="360"/>
      </w:pPr>
      <w:rPr>
        <w:rFonts w:ascii="Symbol" w:hAnsi="Symbol"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6C92948"/>
    <w:multiLevelType w:val="hybridMultilevel"/>
    <w:tmpl w:val="DA708720"/>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288C2DAC"/>
    <w:multiLevelType w:val="hybridMultilevel"/>
    <w:tmpl w:val="BB56564A"/>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8C00587"/>
    <w:multiLevelType w:val="hybridMultilevel"/>
    <w:tmpl w:val="588C81F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9363470"/>
    <w:multiLevelType w:val="hybridMultilevel"/>
    <w:tmpl w:val="E1480F1E"/>
    <w:lvl w:ilvl="0" w:tplc="A44C9490">
      <w:start w:val="1"/>
      <w:numFmt w:val="bullet"/>
      <w:lvlText w:val="•"/>
      <w:lvlJc w:val="left"/>
      <w:pPr>
        <w:ind w:left="1080" w:hanging="360"/>
      </w:pPr>
      <w:rPr>
        <w:rFonts w:ascii="Calibri" w:hAnsi="Calibri" w:hint="default"/>
        <w:b w:val="0"/>
        <w:i w:val="0"/>
        <w:sz w:val="22"/>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5" w15:restartNumberingAfterBreak="0">
    <w:nsid w:val="2C237B9E"/>
    <w:multiLevelType w:val="hybridMultilevel"/>
    <w:tmpl w:val="3D684784"/>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C54538D"/>
    <w:multiLevelType w:val="hybridMultilevel"/>
    <w:tmpl w:val="2B08568E"/>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2FE93EE4"/>
    <w:multiLevelType w:val="hybridMultilevel"/>
    <w:tmpl w:val="FDDEE2FC"/>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0CE127C"/>
    <w:multiLevelType w:val="hybridMultilevel"/>
    <w:tmpl w:val="A1C8F418"/>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1A004B6"/>
    <w:multiLevelType w:val="multilevel"/>
    <w:tmpl w:val="FF7E1472"/>
    <w:name w:val="test_list_multilvl5"/>
    <w:numStyleLink w:val="naslovimultilvl"/>
  </w:abstractNum>
  <w:abstractNum w:abstractNumId="50" w15:restartNumberingAfterBreak="0">
    <w:nsid w:val="31D751CB"/>
    <w:multiLevelType w:val="hybridMultilevel"/>
    <w:tmpl w:val="22043430"/>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4293D74"/>
    <w:multiLevelType w:val="hybridMultilevel"/>
    <w:tmpl w:val="7C38E2D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55C5BAB"/>
    <w:multiLevelType w:val="hybridMultilevel"/>
    <w:tmpl w:val="07047D04"/>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7225461"/>
    <w:multiLevelType w:val="multilevel"/>
    <w:tmpl w:val="FF7E1472"/>
    <w:name w:val="test_list_multilvl2"/>
    <w:numStyleLink w:val="naslovimultilvl"/>
  </w:abstractNum>
  <w:abstractNum w:abstractNumId="54" w15:restartNumberingAfterBreak="0">
    <w:nsid w:val="3724298F"/>
    <w:multiLevelType w:val="hybridMultilevel"/>
    <w:tmpl w:val="0E52C01E"/>
    <w:name w:val="test_list_multilvl6252322422222"/>
    <w:lvl w:ilvl="0" w:tplc="3ECA30A8">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377D772E"/>
    <w:multiLevelType w:val="hybridMultilevel"/>
    <w:tmpl w:val="F5B01EBE"/>
    <w:name w:val="test_list_multilvl6"/>
    <w:lvl w:ilvl="0" w:tplc="6A8ACBFA">
      <w:start w:val="1"/>
      <w:numFmt w:val="decimal"/>
      <w:lvlText w:val="%1."/>
      <w:lvlJc w:val="left"/>
      <w:pPr>
        <w:ind w:left="720" w:hanging="360"/>
      </w:pPr>
      <w:rPr>
        <w:rFonts w:ascii="Segoe UI" w:hAnsi="Segoe U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39116E35"/>
    <w:multiLevelType w:val="hybridMultilevel"/>
    <w:tmpl w:val="792891EE"/>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3A297F86"/>
    <w:multiLevelType w:val="hybridMultilevel"/>
    <w:tmpl w:val="3A2AAE8A"/>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3BCE20F7"/>
    <w:multiLevelType w:val="hybridMultilevel"/>
    <w:tmpl w:val="C1EABF20"/>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3C5307E3"/>
    <w:multiLevelType w:val="hybridMultilevel"/>
    <w:tmpl w:val="89C49B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60" w15:restartNumberingAfterBreak="0">
    <w:nsid w:val="3EA44A9E"/>
    <w:multiLevelType w:val="hybridMultilevel"/>
    <w:tmpl w:val="A7225A22"/>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F65432A"/>
    <w:multiLevelType w:val="hybridMultilevel"/>
    <w:tmpl w:val="C4407CEA"/>
    <w:name w:val="test_list_multilvl625232242"/>
    <w:lvl w:ilvl="0" w:tplc="3ECA30A8">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40EF5B5A"/>
    <w:multiLevelType w:val="hybridMultilevel"/>
    <w:tmpl w:val="949C8BF0"/>
    <w:lvl w:ilvl="0" w:tplc="A44C9490">
      <w:start w:val="1"/>
      <w:numFmt w:val="bullet"/>
      <w:lvlText w:val="•"/>
      <w:lvlJc w:val="left"/>
      <w:pPr>
        <w:ind w:left="1428" w:hanging="360"/>
      </w:pPr>
      <w:rPr>
        <w:rFonts w:ascii="Calibri" w:hAnsi="Calibri" w:hint="default"/>
        <w:b w:val="0"/>
        <w:i w:val="0"/>
        <w:sz w:val="22"/>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63" w15:restartNumberingAfterBreak="0">
    <w:nsid w:val="41B74F9F"/>
    <w:multiLevelType w:val="hybridMultilevel"/>
    <w:tmpl w:val="AEDA8080"/>
    <w:name w:val="test_list_multilvl622"/>
    <w:lvl w:ilvl="0" w:tplc="6A8ACBFA">
      <w:start w:val="1"/>
      <w:numFmt w:val="decimal"/>
      <w:lvlText w:val="%1."/>
      <w:lvlJc w:val="left"/>
      <w:pPr>
        <w:ind w:left="720" w:hanging="360"/>
      </w:pPr>
      <w:rPr>
        <w:rFonts w:ascii="Segoe UI" w:hAnsi="Segoe U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442B63FF"/>
    <w:multiLevelType w:val="hybridMultilevel"/>
    <w:tmpl w:val="10CCA0C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5" w15:restartNumberingAfterBreak="0">
    <w:nsid w:val="44D859CE"/>
    <w:multiLevelType w:val="hybridMultilevel"/>
    <w:tmpl w:val="FDB6CC74"/>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45330347"/>
    <w:multiLevelType w:val="hybridMultilevel"/>
    <w:tmpl w:val="DAFCBA00"/>
    <w:lvl w:ilvl="0" w:tplc="041A0001">
      <w:start w:val="1"/>
      <w:numFmt w:val="bullet"/>
      <w:lvlText w:val=""/>
      <w:lvlJc w:val="left"/>
      <w:pPr>
        <w:ind w:left="720" w:hanging="360"/>
      </w:pPr>
      <w:rPr>
        <w:rFonts w:ascii="Symbol" w:hAnsi="Symbol" w:hint="default"/>
      </w:rPr>
    </w:lvl>
    <w:lvl w:ilvl="1" w:tplc="A44C9490">
      <w:start w:val="1"/>
      <w:numFmt w:val="bullet"/>
      <w:lvlText w:val="•"/>
      <w:lvlJc w:val="left"/>
      <w:pPr>
        <w:ind w:left="1440" w:hanging="360"/>
      </w:pPr>
      <w:rPr>
        <w:rFonts w:ascii="Calibri" w:hAnsi="Calibri" w:hint="default"/>
        <w:b w:val="0"/>
        <w:i w:val="0"/>
        <w:sz w:val="2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45B150BE"/>
    <w:multiLevelType w:val="multilevel"/>
    <w:tmpl w:val="4F68DBDA"/>
    <w:name w:val="test_list_multilvl625232222"/>
    <w:numStyleLink w:val="popis"/>
  </w:abstractNum>
  <w:abstractNum w:abstractNumId="68" w15:restartNumberingAfterBreak="0">
    <w:nsid w:val="462A7841"/>
    <w:multiLevelType w:val="hybridMultilevel"/>
    <w:tmpl w:val="4036B3A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47EC6DF9"/>
    <w:multiLevelType w:val="multilevel"/>
    <w:tmpl w:val="4F68DBDA"/>
    <w:name w:val="test_list_multilvl6252"/>
    <w:styleLink w:val="popis"/>
    <w:lvl w:ilvl="0">
      <w:start w:val="1"/>
      <w:numFmt w:val="decimal"/>
      <w:lvlText w:val="%1."/>
      <w:lvlJc w:val="left"/>
      <w:pPr>
        <w:ind w:left="567" w:hanging="567"/>
      </w:pPr>
      <w:rPr>
        <w:caps w:val="0"/>
        <w:smallCaps w:val="0"/>
        <w:strike w:val="0"/>
        <w:dstrike w:val="0"/>
        <w:vanish w:val="0"/>
        <w:vertAlign w:val="baseline"/>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Restart w:val="0"/>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0" w15:restartNumberingAfterBreak="0">
    <w:nsid w:val="489A0E76"/>
    <w:multiLevelType w:val="multilevel"/>
    <w:tmpl w:val="1AB4DF4E"/>
    <w:lvl w:ilvl="0">
      <w:start w:val="2"/>
      <w:numFmt w:val="decimal"/>
      <w:pStyle w:val="NASLOV14"/>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92F4708"/>
    <w:multiLevelType w:val="hybridMultilevel"/>
    <w:tmpl w:val="D276B542"/>
    <w:lvl w:ilvl="0" w:tplc="041A0001">
      <w:start w:val="1"/>
      <w:numFmt w:val="bullet"/>
      <w:lvlText w:val=""/>
      <w:lvlJc w:val="left"/>
      <w:pPr>
        <w:ind w:left="720" w:hanging="360"/>
      </w:pPr>
      <w:rPr>
        <w:rFonts w:ascii="Symbol" w:hAnsi="Symbol" w:hint="default"/>
      </w:rPr>
    </w:lvl>
    <w:lvl w:ilvl="1" w:tplc="D7CA12D4">
      <w:numFmt w:val="bullet"/>
      <w:lvlText w:val="–"/>
      <w:lvlJc w:val="left"/>
      <w:pPr>
        <w:ind w:left="1785" w:hanging="705"/>
      </w:pPr>
      <w:rPr>
        <w:rFonts w:ascii="Times New Roman" w:eastAsiaTheme="minorHAnsi" w:hAnsi="Times New Roman"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2" w15:restartNumberingAfterBreak="0">
    <w:nsid w:val="49922CFC"/>
    <w:multiLevelType w:val="hybridMultilevel"/>
    <w:tmpl w:val="7B12F24E"/>
    <w:name w:val="test_list_multilvl6232"/>
    <w:lvl w:ilvl="0" w:tplc="38B627F4">
      <w:start w:val="1"/>
      <w:numFmt w:val="decimal"/>
      <w:lvlText w:val="%1."/>
      <w:lvlJc w:val="left"/>
      <w:pPr>
        <w:ind w:left="1440" w:hanging="360"/>
      </w:pPr>
      <w:rPr>
        <w:rFonts w:ascii="Segoe UI" w:hAnsi="Segoe UI"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73" w15:restartNumberingAfterBreak="0">
    <w:nsid w:val="49E0563A"/>
    <w:multiLevelType w:val="hybridMultilevel"/>
    <w:tmpl w:val="680ACA84"/>
    <w:name w:val="test_list_multilvl62523223"/>
    <w:lvl w:ilvl="0" w:tplc="3ECA30A8">
      <w:start w:val="1"/>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4B4B3D11"/>
    <w:multiLevelType w:val="multilevel"/>
    <w:tmpl w:val="99B083C6"/>
    <w:name w:val="test_list_multilvl3"/>
    <w:lvl w:ilvl="0">
      <w:start w:val="1"/>
      <w:numFmt w:val="decimal"/>
      <w:lvlText w:val="%1."/>
      <w:lvlJc w:val="left"/>
      <w:pPr>
        <w:ind w:left="567" w:hanging="567"/>
      </w:pPr>
      <w:rPr>
        <w:rFonts w:ascii="Segoe UI" w:hAnsi="Segoe UI" w:hint="default"/>
        <w:color w:val="003F71"/>
        <w:sz w:val="40"/>
      </w:rPr>
    </w:lvl>
    <w:lvl w:ilvl="1">
      <w:start w:val="1"/>
      <w:numFmt w:val="decimal"/>
      <w:lvlText w:val="%1.%2."/>
      <w:lvlJc w:val="left"/>
      <w:pPr>
        <w:ind w:left="2952" w:hanging="432"/>
      </w:pPr>
      <w:rPr>
        <w:rFonts w:ascii="Segoe UI" w:hAnsi="Segoe UI" w:hint="default"/>
        <w:color w:val="003F71"/>
        <w:sz w:val="28"/>
      </w:rPr>
    </w:lvl>
    <w:lvl w:ilvl="2">
      <w:start w:val="1"/>
      <w:numFmt w:val="decimal"/>
      <w:lvlText w:val="%1.%2.%3."/>
      <w:lvlJc w:val="left"/>
      <w:pPr>
        <w:ind w:left="3384" w:hanging="504"/>
      </w:pPr>
      <w:rPr>
        <w:rFonts w:ascii="Segoe UI" w:hAnsi="Segoe UI" w:hint="default"/>
        <w:color w:val="003F71"/>
        <w:sz w:val="24"/>
      </w:rPr>
    </w:lvl>
    <w:lvl w:ilvl="3">
      <w:start w:val="1"/>
      <w:numFmt w:val="decimal"/>
      <w:lvlText w:val="%1.%2.%3.%4."/>
      <w:lvlJc w:val="left"/>
      <w:pPr>
        <w:ind w:left="3888" w:hanging="656"/>
      </w:pPr>
      <w:rPr>
        <w:rFonts w:ascii="Segoe UI" w:hAnsi="Segoe UI" w:hint="default"/>
        <w:color w:val="003F71"/>
        <w:sz w:val="20"/>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75" w15:restartNumberingAfterBreak="0">
    <w:nsid w:val="4BCD2B30"/>
    <w:multiLevelType w:val="multilevel"/>
    <w:tmpl w:val="041A001D"/>
    <w:name w:val="test_list_multilvl62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4C7B4958"/>
    <w:multiLevelType w:val="hybridMultilevel"/>
    <w:tmpl w:val="0C9C35A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7" w15:restartNumberingAfterBreak="0">
    <w:nsid w:val="4C8A7DF2"/>
    <w:multiLevelType w:val="hybridMultilevel"/>
    <w:tmpl w:val="C1322392"/>
    <w:lvl w:ilvl="0" w:tplc="ED2AE17A">
      <w:start w:val="1"/>
      <w:numFmt w:val="decimal"/>
      <w:lvlText w:val="%1."/>
      <w:lvlJc w:val="left"/>
      <w:pPr>
        <w:ind w:left="720" w:hanging="360"/>
      </w:pPr>
      <w:rPr>
        <w:rFonts w:hint="default"/>
      </w:rPr>
    </w:lvl>
    <w:lvl w:ilvl="1" w:tplc="0D442FB2">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4D410871"/>
    <w:multiLevelType w:val="hybridMultilevel"/>
    <w:tmpl w:val="07FE185E"/>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4D5C14E1"/>
    <w:multiLevelType w:val="hybridMultilevel"/>
    <w:tmpl w:val="3D8C926C"/>
    <w:name w:val="test_list_multilvl625232242222"/>
    <w:lvl w:ilvl="0" w:tplc="3ECA30A8">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4DDA5DC2"/>
    <w:multiLevelType w:val="hybridMultilevel"/>
    <w:tmpl w:val="5CDE3AFE"/>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F716D0C"/>
    <w:multiLevelType w:val="hybridMultilevel"/>
    <w:tmpl w:val="647442EE"/>
    <w:lvl w:ilvl="0" w:tplc="A44C9490">
      <w:start w:val="1"/>
      <w:numFmt w:val="bullet"/>
      <w:lvlText w:val="•"/>
      <w:lvlJc w:val="left"/>
      <w:pPr>
        <w:ind w:left="720" w:hanging="360"/>
      </w:pPr>
      <w:rPr>
        <w:rFonts w:ascii="Calibri" w:hAnsi="Calibri" w:hint="default"/>
        <w:b w:val="0"/>
        <w:i w:val="0"/>
        <w:sz w:val="22"/>
      </w:rPr>
    </w:lvl>
    <w:lvl w:ilvl="1" w:tplc="A44C9490">
      <w:start w:val="1"/>
      <w:numFmt w:val="bullet"/>
      <w:lvlText w:val="•"/>
      <w:lvlJc w:val="left"/>
      <w:pPr>
        <w:ind w:left="1440" w:hanging="360"/>
      </w:pPr>
      <w:rPr>
        <w:rFonts w:ascii="Calibri" w:hAnsi="Calibri" w:hint="default"/>
        <w:b w:val="0"/>
        <w:i w:val="0"/>
        <w:sz w:val="2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50447F03"/>
    <w:multiLevelType w:val="hybridMultilevel"/>
    <w:tmpl w:val="F75C3178"/>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52043AE4"/>
    <w:multiLevelType w:val="multilevel"/>
    <w:tmpl w:val="09A67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31F0138"/>
    <w:multiLevelType w:val="hybridMultilevel"/>
    <w:tmpl w:val="CFD83DF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55515D1B"/>
    <w:multiLevelType w:val="multilevel"/>
    <w:tmpl w:val="FF7E1472"/>
    <w:name w:val="test_list_multilvl633"/>
    <w:numStyleLink w:val="naslovimultilvl"/>
  </w:abstractNum>
  <w:abstractNum w:abstractNumId="86" w15:restartNumberingAfterBreak="0">
    <w:nsid w:val="57494EF0"/>
    <w:multiLevelType w:val="hybridMultilevel"/>
    <w:tmpl w:val="1E5889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7" w15:restartNumberingAfterBreak="0">
    <w:nsid w:val="58D40F73"/>
    <w:multiLevelType w:val="hybridMultilevel"/>
    <w:tmpl w:val="9EF21582"/>
    <w:name w:val="test_list_multilvl62523224222222"/>
    <w:lvl w:ilvl="0" w:tplc="3ECA30A8">
      <w:start w:val="1"/>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58DA5E83"/>
    <w:multiLevelType w:val="hybridMultilevel"/>
    <w:tmpl w:val="19B6B6FA"/>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59473F85"/>
    <w:multiLevelType w:val="multilevel"/>
    <w:tmpl w:val="4F68DBDA"/>
    <w:name w:val="test_list_multilvl62522"/>
    <w:numStyleLink w:val="popis"/>
  </w:abstractNum>
  <w:abstractNum w:abstractNumId="90" w15:restartNumberingAfterBreak="0">
    <w:nsid w:val="5A146B8C"/>
    <w:multiLevelType w:val="hybridMultilevel"/>
    <w:tmpl w:val="3F42521A"/>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5B47059E"/>
    <w:multiLevelType w:val="hybridMultilevel"/>
    <w:tmpl w:val="A97C833E"/>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5BCD18F2"/>
    <w:multiLevelType w:val="multilevel"/>
    <w:tmpl w:val="FF7E1472"/>
    <w:name w:val="test_list_multilvl632"/>
    <w:numStyleLink w:val="naslovimultilvl"/>
  </w:abstractNum>
  <w:abstractNum w:abstractNumId="93" w15:restartNumberingAfterBreak="0">
    <w:nsid w:val="5C810D87"/>
    <w:multiLevelType w:val="hybridMultilevel"/>
    <w:tmpl w:val="6A1AD072"/>
    <w:name w:val="test_list_multilvl625232242222222"/>
    <w:lvl w:ilvl="0" w:tplc="3ECA30A8">
      <w:start w:val="1"/>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5DFE2210"/>
    <w:multiLevelType w:val="hybridMultilevel"/>
    <w:tmpl w:val="0C9284CA"/>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5E9241FF"/>
    <w:multiLevelType w:val="hybridMultilevel"/>
    <w:tmpl w:val="11008B20"/>
    <w:lvl w:ilvl="0" w:tplc="42ECB738">
      <w:start w:val="1"/>
      <w:numFmt w:val="bullet"/>
      <w:lvlText w:val="–"/>
      <w:lvlJc w:val="left"/>
      <w:pPr>
        <w:ind w:left="720" w:hanging="360"/>
      </w:pPr>
      <w:rPr>
        <w:rFonts w:ascii="Times New Roman" w:hAnsi="Times New Roman" w:cs="Times New Roman"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EC4404C"/>
    <w:multiLevelType w:val="multilevel"/>
    <w:tmpl w:val="D02E2FEC"/>
    <w:lvl w:ilvl="0">
      <w:start w:val="1"/>
      <w:numFmt w:val="upperRoman"/>
      <w:pStyle w:val="Naslov4"/>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797"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7" w15:restartNumberingAfterBreak="0">
    <w:nsid w:val="5F83713F"/>
    <w:multiLevelType w:val="multilevel"/>
    <w:tmpl w:val="FF7E1472"/>
    <w:name w:val="test_list_multilvl624"/>
    <w:numStyleLink w:val="naslovimultilvl"/>
  </w:abstractNum>
  <w:abstractNum w:abstractNumId="98" w15:restartNumberingAfterBreak="0">
    <w:nsid w:val="5FC8421D"/>
    <w:multiLevelType w:val="hybridMultilevel"/>
    <w:tmpl w:val="4692B03E"/>
    <w:lvl w:ilvl="0" w:tplc="041A0001">
      <w:start w:val="1"/>
      <w:numFmt w:val="bullet"/>
      <w:lvlText w:val=""/>
      <w:lvlJc w:val="left"/>
      <w:pPr>
        <w:ind w:left="720" w:hanging="360"/>
      </w:pPr>
      <w:rPr>
        <w:rFonts w:ascii="Symbol" w:hAnsi="Symbol" w:hint="default"/>
      </w:rPr>
    </w:lvl>
    <w:lvl w:ilvl="1" w:tplc="A44C9490">
      <w:start w:val="1"/>
      <w:numFmt w:val="bullet"/>
      <w:lvlText w:val="•"/>
      <w:lvlJc w:val="left"/>
      <w:pPr>
        <w:ind w:left="1440" w:hanging="360"/>
      </w:pPr>
      <w:rPr>
        <w:rFonts w:ascii="Calibri" w:hAnsi="Calibri" w:hint="default"/>
        <w:b w:val="0"/>
        <w:i w:val="0"/>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0323149"/>
    <w:multiLevelType w:val="hybridMultilevel"/>
    <w:tmpl w:val="F84297D0"/>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619F64CD"/>
    <w:multiLevelType w:val="hybridMultilevel"/>
    <w:tmpl w:val="9CA2719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658F60EB"/>
    <w:multiLevelType w:val="hybridMultilevel"/>
    <w:tmpl w:val="E5128DA0"/>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65B92D51"/>
    <w:multiLevelType w:val="hybridMultilevel"/>
    <w:tmpl w:val="765C37A0"/>
    <w:lvl w:ilvl="0" w:tplc="A44C9490">
      <w:start w:val="1"/>
      <w:numFmt w:val="bullet"/>
      <w:lvlText w:val="•"/>
      <w:lvlJc w:val="left"/>
      <w:pPr>
        <w:ind w:left="1077" w:hanging="360"/>
      </w:pPr>
      <w:rPr>
        <w:rFonts w:ascii="Calibri" w:hAnsi="Calibri" w:hint="default"/>
        <w:b w:val="0"/>
        <w:i w:val="0"/>
        <w:sz w:val="22"/>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103" w15:restartNumberingAfterBreak="0">
    <w:nsid w:val="687A6D4B"/>
    <w:multiLevelType w:val="hybridMultilevel"/>
    <w:tmpl w:val="3B12AC10"/>
    <w:name w:val="test_list_multilvl623"/>
    <w:lvl w:ilvl="0" w:tplc="04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6B653D77"/>
    <w:multiLevelType w:val="hybridMultilevel"/>
    <w:tmpl w:val="62389490"/>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6D6473D9"/>
    <w:multiLevelType w:val="hybridMultilevel"/>
    <w:tmpl w:val="43CEA104"/>
    <w:name w:val="test_list_multilvl62523224"/>
    <w:lvl w:ilvl="0" w:tplc="3ECA30A8">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6D79043F"/>
    <w:multiLevelType w:val="hybridMultilevel"/>
    <w:tmpl w:val="1736D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1AE01EC"/>
    <w:multiLevelType w:val="multilevel"/>
    <w:tmpl w:val="30C68CB0"/>
    <w:name w:val="test_list_multilvl6252"/>
    <w:lvl w:ilvl="0">
      <w:start w:val="1"/>
      <w:numFmt w:val="decimal"/>
      <w:lvlText w:val="%1."/>
      <w:lvlJc w:val="left"/>
      <w:pPr>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Restart w:val="0"/>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8" w15:restartNumberingAfterBreak="0">
    <w:nsid w:val="73D21862"/>
    <w:multiLevelType w:val="hybridMultilevel"/>
    <w:tmpl w:val="16FC096E"/>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74E421E8"/>
    <w:multiLevelType w:val="hybridMultilevel"/>
    <w:tmpl w:val="F5B00D24"/>
    <w:name w:val="test_list_multilvl62523224222"/>
    <w:lvl w:ilvl="0" w:tplc="3ECA30A8">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754E0297"/>
    <w:multiLevelType w:val="hybridMultilevel"/>
    <w:tmpl w:val="0F2EDCF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75970419"/>
    <w:multiLevelType w:val="hybridMultilevel"/>
    <w:tmpl w:val="DD6AA556"/>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772A5B6C"/>
    <w:multiLevelType w:val="multilevel"/>
    <w:tmpl w:val="4F68DBDA"/>
    <w:name w:val="test_list_multilvl6252322222"/>
    <w:numStyleLink w:val="popis"/>
  </w:abstractNum>
  <w:abstractNum w:abstractNumId="113" w15:restartNumberingAfterBreak="0">
    <w:nsid w:val="77402DAE"/>
    <w:multiLevelType w:val="hybridMultilevel"/>
    <w:tmpl w:val="56B49C54"/>
    <w:name w:val="test_list_multilvl6252322422"/>
    <w:lvl w:ilvl="0" w:tplc="3ECA30A8">
      <w:start w:val="1"/>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78B57819"/>
    <w:multiLevelType w:val="hybridMultilevel"/>
    <w:tmpl w:val="55C85B1C"/>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7AEC0EE5"/>
    <w:multiLevelType w:val="hybridMultilevel"/>
    <w:tmpl w:val="1C5A0E82"/>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7B2B0262"/>
    <w:multiLevelType w:val="hybridMultilevel"/>
    <w:tmpl w:val="2CA080B6"/>
    <w:lvl w:ilvl="0" w:tplc="A44C9490">
      <w:start w:val="1"/>
      <w:numFmt w:val="bullet"/>
      <w:lvlText w:val="•"/>
      <w:lvlJc w:val="left"/>
      <w:pPr>
        <w:ind w:left="720" w:hanging="360"/>
      </w:pPr>
      <w:rPr>
        <w:rFonts w:ascii="Calibri" w:hAnsi="Calibri"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7" w15:restartNumberingAfterBreak="0">
    <w:nsid w:val="7D090FFB"/>
    <w:multiLevelType w:val="hybridMultilevel"/>
    <w:tmpl w:val="76041A4C"/>
    <w:lvl w:ilvl="0" w:tplc="A44C9490">
      <w:start w:val="1"/>
      <w:numFmt w:val="bullet"/>
      <w:lvlText w:val="•"/>
      <w:lvlJc w:val="left"/>
      <w:pPr>
        <w:ind w:left="720" w:hanging="360"/>
      </w:pPr>
      <w:rPr>
        <w:rFonts w:ascii="Calibri" w:hAnsi="Calibri" w:hint="default"/>
        <w:b w:val="0"/>
        <w:i w:val="0"/>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7DA733C3"/>
    <w:multiLevelType w:val="hybridMultilevel"/>
    <w:tmpl w:val="0A1ACB9E"/>
    <w:lvl w:ilvl="0" w:tplc="A44C9490">
      <w:start w:val="1"/>
      <w:numFmt w:val="bullet"/>
      <w:lvlText w:val="•"/>
      <w:lvlJc w:val="left"/>
      <w:pPr>
        <w:ind w:left="720" w:hanging="360"/>
      </w:pPr>
      <w:rPr>
        <w:rFonts w:ascii="Calibri" w:hAnsi="Calibri" w:hint="default"/>
        <w:b w:val="0"/>
        <w:i w:val="0"/>
        <w:sz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9" w15:restartNumberingAfterBreak="0">
    <w:nsid w:val="7E166332"/>
    <w:multiLevelType w:val="hybridMultilevel"/>
    <w:tmpl w:val="A5A8C890"/>
    <w:lvl w:ilvl="0" w:tplc="041A0001">
      <w:start w:val="1"/>
      <w:numFmt w:val="bullet"/>
      <w:lvlText w:val=""/>
      <w:lvlJc w:val="left"/>
      <w:pPr>
        <w:ind w:left="720" w:hanging="360"/>
      </w:pPr>
      <w:rPr>
        <w:rFonts w:ascii="Symbol" w:hAnsi="Symbol" w:hint="default"/>
      </w:rPr>
    </w:lvl>
    <w:lvl w:ilvl="1" w:tplc="A44C9490">
      <w:start w:val="1"/>
      <w:numFmt w:val="bullet"/>
      <w:lvlText w:val="•"/>
      <w:lvlJc w:val="left"/>
      <w:pPr>
        <w:ind w:left="1440" w:hanging="360"/>
      </w:pPr>
      <w:rPr>
        <w:rFonts w:ascii="Calibri" w:hAnsi="Calibri" w:hint="default"/>
        <w:b w:val="0"/>
        <w:i w:val="0"/>
        <w:sz w:val="22"/>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7F83213C"/>
    <w:multiLevelType w:val="hybridMultilevel"/>
    <w:tmpl w:val="407AF6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69"/>
  </w:num>
  <w:num w:numId="4">
    <w:abstractNumId w:val="96"/>
  </w:num>
  <w:num w:numId="5">
    <w:abstractNumId w:val="70"/>
  </w:num>
  <w:num w:numId="6">
    <w:abstractNumId w:val="77"/>
  </w:num>
  <w:num w:numId="7">
    <w:abstractNumId w:val="15"/>
  </w:num>
  <w:num w:numId="8">
    <w:abstractNumId w:val="110"/>
  </w:num>
  <w:num w:numId="9">
    <w:abstractNumId w:val="13"/>
  </w:num>
  <w:num w:numId="10">
    <w:abstractNumId w:val="81"/>
  </w:num>
  <w:num w:numId="11">
    <w:abstractNumId w:val="120"/>
  </w:num>
  <w:num w:numId="12">
    <w:abstractNumId w:val="39"/>
  </w:num>
  <w:num w:numId="13">
    <w:abstractNumId w:val="52"/>
  </w:num>
  <w:num w:numId="14">
    <w:abstractNumId w:val="32"/>
  </w:num>
  <w:num w:numId="15">
    <w:abstractNumId w:val="84"/>
  </w:num>
  <w:num w:numId="16">
    <w:abstractNumId w:val="44"/>
  </w:num>
  <w:num w:numId="17">
    <w:abstractNumId w:val="82"/>
  </w:num>
  <w:num w:numId="18">
    <w:abstractNumId w:val="19"/>
  </w:num>
  <w:num w:numId="19">
    <w:abstractNumId w:val="78"/>
  </w:num>
  <w:num w:numId="20">
    <w:abstractNumId w:val="100"/>
  </w:num>
  <w:num w:numId="21">
    <w:abstractNumId w:val="43"/>
  </w:num>
  <w:num w:numId="22">
    <w:abstractNumId w:val="104"/>
  </w:num>
  <w:num w:numId="23">
    <w:abstractNumId w:val="51"/>
  </w:num>
  <w:num w:numId="24">
    <w:abstractNumId w:val="68"/>
  </w:num>
  <w:num w:numId="25">
    <w:abstractNumId w:val="31"/>
  </w:num>
  <w:num w:numId="26">
    <w:abstractNumId w:val="4"/>
  </w:num>
  <w:num w:numId="27">
    <w:abstractNumId w:val="45"/>
  </w:num>
  <w:num w:numId="28">
    <w:abstractNumId w:val="114"/>
  </w:num>
  <w:num w:numId="29">
    <w:abstractNumId w:val="88"/>
  </w:num>
  <w:num w:numId="30">
    <w:abstractNumId w:val="99"/>
  </w:num>
  <w:num w:numId="31">
    <w:abstractNumId w:val="115"/>
  </w:num>
  <w:num w:numId="32">
    <w:abstractNumId w:val="111"/>
  </w:num>
  <w:num w:numId="33">
    <w:abstractNumId w:val="10"/>
  </w:num>
  <w:num w:numId="34">
    <w:abstractNumId w:val="58"/>
  </w:num>
  <w:num w:numId="35">
    <w:abstractNumId w:val="16"/>
  </w:num>
  <w:num w:numId="36">
    <w:abstractNumId w:val="91"/>
  </w:num>
  <w:num w:numId="37">
    <w:abstractNumId w:val="9"/>
  </w:num>
  <w:num w:numId="38">
    <w:abstractNumId w:val="50"/>
  </w:num>
  <w:num w:numId="39">
    <w:abstractNumId w:val="42"/>
  </w:num>
  <w:num w:numId="40">
    <w:abstractNumId w:val="38"/>
  </w:num>
  <w:num w:numId="41">
    <w:abstractNumId w:val="48"/>
  </w:num>
  <w:num w:numId="42">
    <w:abstractNumId w:val="21"/>
  </w:num>
  <w:num w:numId="43">
    <w:abstractNumId w:val="29"/>
  </w:num>
  <w:num w:numId="44">
    <w:abstractNumId w:val="101"/>
  </w:num>
  <w:num w:numId="45">
    <w:abstractNumId w:val="62"/>
  </w:num>
  <w:num w:numId="46">
    <w:abstractNumId w:val="95"/>
  </w:num>
  <w:num w:numId="47">
    <w:abstractNumId w:val="35"/>
  </w:num>
  <w:num w:numId="48">
    <w:abstractNumId w:val="118"/>
  </w:num>
  <w:num w:numId="49">
    <w:abstractNumId w:val="102"/>
  </w:num>
  <w:num w:numId="50">
    <w:abstractNumId w:val="60"/>
  </w:num>
  <w:num w:numId="51">
    <w:abstractNumId w:val="56"/>
  </w:num>
  <w:num w:numId="52">
    <w:abstractNumId w:val="65"/>
  </w:num>
  <w:num w:numId="53">
    <w:abstractNumId w:val="108"/>
  </w:num>
  <w:num w:numId="54">
    <w:abstractNumId w:val="57"/>
  </w:num>
  <w:num w:numId="55">
    <w:abstractNumId w:val="41"/>
  </w:num>
  <w:num w:numId="56">
    <w:abstractNumId w:val="30"/>
  </w:num>
  <w:num w:numId="57">
    <w:abstractNumId w:val="37"/>
  </w:num>
  <w:num w:numId="58">
    <w:abstractNumId w:val="119"/>
  </w:num>
  <w:num w:numId="59">
    <w:abstractNumId w:val="116"/>
  </w:num>
  <w:num w:numId="60">
    <w:abstractNumId w:val="27"/>
  </w:num>
  <w:num w:numId="61">
    <w:abstractNumId w:val="25"/>
  </w:num>
  <w:num w:numId="62">
    <w:abstractNumId w:val="3"/>
  </w:num>
  <w:num w:numId="63">
    <w:abstractNumId w:val="90"/>
  </w:num>
  <w:num w:numId="64">
    <w:abstractNumId w:val="26"/>
  </w:num>
  <w:num w:numId="65">
    <w:abstractNumId w:val="0"/>
  </w:num>
  <w:num w:numId="66">
    <w:abstractNumId w:val="86"/>
  </w:num>
  <w:num w:numId="67">
    <w:abstractNumId w:val="64"/>
  </w:num>
  <w:num w:numId="68">
    <w:abstractNumId w:val="94"/>
  </w:num>
  <w:num w:numId="69">
    <w:abstractNumId w:val="40"/>
  </w:num>
  <w:num w:numId="70">
    <w:abstractNumId w:val="117"/>
  </w:num>
  <w:num w:numId="71">
    <w:abstractNumId w:val="80"/>
  </w:num>
  <w:num w:numId="72">
    <w:abstractNumId w:val="71"/>
  </w:num>
  <w:num w:numId="73">
    <w:abstractNumId w:val="46"/>
  </w:num>
  <w:num w:numId="74">
    <w:abstractNumId w:val="28"/>
  </w:num>
  <w:num w:numId="75">
    <w:abstractNumId w:val="17"/>
  </w:num>
  <w:num w:numId="76">
    <w:abstractNumId w:val="22"/>
  </w:num>
  <w:num w:numId="77">
    <w:abstractNumId w:val="66"/>
  </w:num>
  <w:num w:numId="78">
    <w:abstractNumId w:val="5"/>
  </w:num>
  <w:num w:numId="79">
    <w:abstractNumId w:val="47"/>
  </w:num>
  <w:num w:numId="80">
    <w:abstractNumId w:val="2"/>
  </w:num>
  <w:num w:numId="81">
    <w:abstractNumId w:val="6"/>
  </w:num>
  <w:num w:numId="82">
    <w:abstractNumId w:val="1"/>
  </w:num>
  <w:num w:numId="83">
    <w:abstractNumId w:val="76"/>
  </w:num>
  <w:num w:numId="84">
    <w:abstractNumId w:val="23"/>
  </w:num>
  <w:num w:numId="85">
    <w:abstractNumId w:val="36"/>
  </w:num>
  <w:num w:numId="86">
    <w:abstractNumId w:val="98"/>
  </w:num>
  <w:num w:numId="87">
    <w:abstractNumId w:val="12"/>
  </w:num>
  <w:num w:numId="88">
    <w:abstractNumId w:val="20"/>
  </w:num>
  <w:num w:numId="89">
    <w:abstractNumId w:val="24"/>
  </w:num>
  <w:num w:numId="90">
    <w:abstractNumId w:val="106"/>
  </w:num>
  <w:num w:numId="91">
    <w:abstractNumId w:val="83"/>
  </w:num>
  <w:num w:numId="92">
    <w:abstractNumId w:val="5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E7A"/>
    <w:rsid w:val="0000022F"/>
    <w:rsid w:val="00001066"/>
    <w:rsid w:val="00001349"/>
    <w:rsid w:val="000013CA"/>
    <w:rsid w:val="00002E18"/>
    <w:rsid w:val="00003B25"/>
    <w:rsid w:val="000061B0"/>
    <w:rsid w:val="000062A2"/>
    <w:rsid w:val="00007502"/>
    <w:rsid w:val="00007A73"/>
    <w:rsid w:val="000100F3"/>
    <w:rsid w:val="000107FD"/>
    <w:rsid w:val="0001110D"/>
    <w:rsid w:val="00012D16"/>
    <w:rsid w:val="000142AA"/>
    <w:rsid w:val="00014552"/>
    <w:rsid w:val="000148CD"/>
    <w:rsid w:val="000153AB"/>
    <w:rsid w:val="00015EFC"/>
    <w:rsid w:val="00015F65"/>
    <w:rsid w:val="000167AD"/>
    <w:rsid w:val="00016B17"/>
    <w:rsid w:val="000171BD"/>
    <w:rsid w:val="000201EF"/>
    <w:rsid w:val="00020252"/>
    <w:rsid w:val="000229E2"/>
    <w:rsid w:val="000241F4"/>
    <w:rsid w:val="00026722"/>
    <w:rsid w:val="00032AD3"/>
    <w:rsid w:val="00034F3B"/>
    <w:rsid w:val="00034FBF"/>
    <w:rsid w:val="000354E9"/>
    <w:rsid w:val="000360CB"/>
    <w:rsid w:val="00036AC6"/>
    <w:rsid w:val="00036F9A"/>
    <w:rsid w:val="000404ED"/>
    <w:rsid w:val="00041A6E"/>
    <w:rsid w:val="00043267"/>
    <w:rsid w:val="00043C3A"/>
    <w:rsid w:val="00045556"/>
    <w:rsid w:val="0004740E"/>
    <w:rsid w:val="00050C41"/>
    <w:rsid w:val="000514E4"/>
    <w:rsid w:val="00052ADE"/>
    <w:rsid w:val="00053192"/>
    <w:rsid w:val="00053FEA"/>
    <w:rsid w:val="00054583"/>
    <w:rsid w:val="000545F9"/>
    <w:rsid w:val="0005749C"/>
    <w:rsid w:val="00057EC6"/>
    <w:rsid w:val="0006067C"/>
    <w:rsid w:val="00060AE3"/>
    <w:rsid w:val="0006123A"/>
    <w:rsid w:val="00061CE3"/>
    <w:rsid w:val="00064F85"/>
    <w:rsid w:val="000654CE"/>
    <w:rsid w:val="000662A8"/>
    <w:rsid w:val="000669A9"/>
    <w:rsid w:val="0007032D"/>
    <w:rsid w:val="00070A03"/>
    <w:rsid w:val="000713F5"/>
    <w:rsid w:val="000717F3"/>
    <w:rsid w:val="000720C3"/>
    <w:rsid w:val="00072458"/>
    <w:rsid w:val="00073AD1"/>
    <w:rsid w:val="0007457F"/>
    <w:rsid w:val="00076CCA"/>
    <w:rsid w:val="000810BC"/>
    <w:rsid w:val="00081D65"/>
    <w:rsid w:val="00081EB8"/>
    <w:rsid w:val="00082EA1"/>
    <w:rsid w:val="00082F51"/>
    <w:rsid w:val="00083800"/>
    <w:rsid w:val="00083C2D"/>
    <w:rsid w:val="0008559C"/>
    <w:rsid w:val="00085FA5"/>
    <w:rsid w:val="00087BBE"/>
    <w:rsid w:val="00090FEB"/>
    <w:rsid w:val="00091F07"/>
    <w:rsid w:val="00092805"/>
    <w:rsid w:val="000934EB"/>
    <w:rsid w:val="00093E19"/>
    <w:rsid w:val="00094579"/>
    <w:rsid w:val="00094E44"/>
    <w:rsid w:val="0009578C"/>
    <w:rsid w:val="00095B48"/>
    <w:rsid w:val="00095F64"/>
    <w:rsid w:val="000961F5"/>
    <w:rsid w:val="000A0A91"/>
    <w:rsid w:val="000A21AC"/>
    <w:rsid w:val="000A2808"/>
    <w:rsid w:val="000A28AE"/>
    <w:rsid w:val="000A2960"/>
    <w:rsid w:val="000A4687"/>
    <w:rsid w:val="000A4AF6"/>
    <w:rsid w:val="000A4FFE"/>
    <w:rsid w:val="000A60C1"/>
    <w:rsid w:val="000A711B"/>
    <w:rsid w:val="000A7903"/>
    <w:rsid w:val="000A7A57"/>
    <w:rsid w:val="000A7CB9"/>
    <w:rsid w:val="000B2345"/>
    <w:rsid w:val="000B47D3"/>
    <w:rsid w:val="000B4D65"/>
    <w:rsid w:val="000B4E5C"/>
    <w:rsid w:val="000B51B3"/>
    <w:rsid w:val="000B53AD"/>
    <w:rsid w:val="000B5980"/>
    <w:rsid w:val="000B5F5F"/>
    <w:rsid w:val="000C02DC"/>
    <w:rsid w:val="000C0539"/>
    <w:rsid w:val="000C360D"/>
    <w:rsid w:val="000C3A97"/>
    <w:rsid w:val="000C4307"/>
    <w:rsid w:val="000C542C"/>
    <w:rsid w:val="000C59AE"/>
    <w:rsid w:val="000C5C68"/>
    <w:rsid w:val="000C64C4"/>
    <w:rsid w:val="000C682B"/>
    <w:rsid w:val="000C6D3F"/>
    <w:rsid w:val="000C734A"/>
    <w:rsid w:val="000D241C"/>
    <w:rsid w:val="000D3252"/>
    <w:rsid w:val="000D40AB"/>
    <w:rsid w:val="000D5A7C"/>
    <w:rsid w:val="000D7054"/>
    <w:rsid w:val="000E0114"/>
    <w:rsid w:val="000E0737"/>
    <w:rsid w:val="000E0FE5"/>
    <w:rsid w:val="000E1DFA"/>
    <w:rsid w:val="000E1F46"/>
    <w:rsid w:val="000E3F4D"/>
    <w:rsid w:val="000E4011"/>
    <w:rsid w:val="000E46E7"/>
    <w:rsid w:val="000E5076"/>
    <w:rsid w:val="000E5653"/>
    <w:rsid w:val="000E7EEF"/>
    <w:rsid w:val="000F08B8"/>
    <w:rsid w:val="000F289F"/>
    <w:rsid w:val="000F3D59"/>
    <w:rsid w:val="000F5595"/>
    <w:rsid w:val="000F5921"/>
    <w:rsid w:val="000F7752"/>
    <w:rsid w:val="0010019C"/>
    <w:rsid w:val="00100ED2"/>
    <w:rsid w:val="00101C53"/>
    <w:rsid w:val="001027F6"/>
    <w:rsid w:val="00103CE7"/>
    <w:rsid w:val="00103F46"/>
    <w:rsid w:val="00104626"/>
    <w:rsid w:val="00105437"/>
    <w:rsid w:val="00105722"/>
    <w:rsid w:val="00105CF1"/>
    <w:rsid w:val="001064C4"/>
    <w:rsid w:val="00107B64"/>
    <w:rsid w:val="0011013E"/>
    <w:rsid w:val="0011138F"/>
    <w:rsid w:val="00112253"/>
    <w:rsid w:val="001131EE"/>
    <w:rsid w:val="001137FA"/>
    <w:rsid w:val="0011404A"/>
    <w:rsid w:val="00114915"/>
    <w:rsid w:val="00116B6A"/>
    <w:rsid w:val="00117745"/>
    <w:rsid w:val="00117A9D"/>
    <w:rsid w:val="001204A3"/>
    <w:rsid w:val="00120ACF"/>
    <w:rsid w:val="001223BA"/>
    <w:rsid w:val="001231F9"/>
    <w:rsid w:val="001241B9"/>
    <w:rsid w:val="00124792"/>
    <w:rsid w:val="00124AC0"/>
    <w:rsid w:val="00127253"/>
    <w:rsid w:val="0012743A"/>
    <w:rsid w:val="00127FAE"/>
    <w:rsid w:val="0013023C"/>
    <w:rsid w:val="0013085D"/>
    <w:rsid w:val="00130E8F"/>
    <w:rsid w:val="00131AB7"/>
    <w:rsid w:val="00132737"/>
    <w:rsid w:val="00132772"/>
    <w:rsid w:val="0013339D"/>
    <w:rsid w:val="001356AE"/>
    <w:rsid w:val="00136D43"/>
    <w:rsid w:val="00137D39"/>
    <w:rsid w:val="0014141D"/>
    <w:rsid w:val="00141456"/>
    <w:rsid w:val="00142B4D"/>
    <w:rsid w:val="0014571C"/>
    <w:rsid w:val="00145C28"/>
    <w:rsid w:val="0014647C"/>
    <w:rsid w:val="0014675A"/>
    <w:rsid w:val="0014729C"/>
    <w:rsid w:val="00150324"/>
    <w:rsid w:val="00150411"/>
    <w:rsid w:val="00150554"/>
    <w:rsid w:val="00150585"/>
    <w:rsid w:val="00150652"/>
    <w:rsid w:val="00150864"/>
    <w:rsid w:val="001539A1"/>
    <w:rsid w:val="00154F38"/>
    <w:rsid w:val="0015580F"/>
    <w:rsid w:val="00156A97"/>
    <w:rsid w:val="00156C61"/>
    <w:rsid w:val="001573CA"/>
    <w:rsid w:val="00160456"/>
    <w:rsid w:val="001604EA"/>
    <w:rsid w:val="0016064E"/>
    <w:rsid w:val="00161F6C"/>
    <w:rsid w:val="001623CB"/>
    <w:rsid w:val="00162ACB"/>
    <w:rsid w:val="00163E5D"/>
    <w:rsid w:val="0016458D"/>
    <w:rsid w:val="001646AA"/>
    <w:rsid w:val="00164D53"/>
    <w:rsid w:val="00165D86"/>
    <w:rsid w:val="001660F4"/>
    <w:rsid w:val="00166BCA"/>
    <w:rsid w:val="00167DD7"/>
    <w:rsid w:val="0017100B"/>
    <w:rsid w:val="00172E76"/>
    <w:rsid w:val="00175741"/>
    <w:rsid w:val="0017596B"/>
    <w:rsid w:val="00176375"/>
    <w:rsid w:val="00176E6D"/>
    <w:rsid w:val="00177077"/>
    <w:rsid w:val="001804C2"/>
    <w:rsid w:val="001824F0"/>
    <w:rsid w:val="00182E97"/>
    <w:rsid w:val="00183EFD"/>
    <w:rsid w:val="0018593E"/>
    <w:rsid w:val="0018644D"/>
    <w:rsid w:val="0018686A"/>
    <w:rsid w:val="001900CD"/>
    <w:rsid w:val="0019083D"/>
    <w:rsid w:val="00190BEF"/>
    <w:rsid w:val="00191E13"/>
    <w:rsid w:val="001925E8"/>
    <w:rsid w:val="001932C5"/>
    <w:rsid w:val="00197B90"/>
    <w:rsid w:val="00197E02"/>
    <w:rsid w:val="001A0539"/>
    <w:rsid w:val="001A0C44"/>
    <w:rsid w:val="001A116C"/>
    <w:rsid w:val="001A20EF"/>
    <w:rsid w:val="001A283A"/>
    <w:rsid w:val="001A2CB1"/>
    <w:rsid w:val="001A4CE7"/>
    <w:rsid w:val="001A4D1E"/>
    <w:rsid w:val="001A4FCF"/>
    <w:rsid w:val="001A5EC8"/>
    <w:rsid w:val="001A6DD6"/>
    <w:rsid w:val="001A72E4"/>
    <w:rsid w:val="001A75EF"/>
    <w:rsid w:val="001A7F96"/>
    <w:rsid w:val="001B012D"/>
    <w:rsid w:val="001B1A6C"/>
    <w:rsid w:val="001B1CC1"/>
    <w:rsid w:val="001B2864"/>
    <w:rsid w:val="001B44EB"/>
    <w:rsid w:val="001B4EB1"/>
    <w:rsid w:val="001B6655"/>
    <w:rsid w:val="001C25AB"/>
    <w:rsid w:val="001C28AF"/>
    <w:rsid w:val="001C2960"/>
    <w:rsid w:val="001C29C2"/>
    <w:rsid w:val="001C2D7C"/>
    <w:rsid w:val="001C39EF"/>
    <w:rsid w:val="001C39FF"/>
    <w:rsid w:val="001C4477"/>
    <w:rsid w:val="001C5425"/>
    <w:rsid w:val="001D22A9"/>
    <w:rsid w:val="001D2EBF"/>
    <w:rsid w:val="001D392D"/>
    <w:rsid w:val="001D3F6E"/>
    <w:rsid w:val="001D5389"/>
    <w:rsid w:val="001D6385"/>
    <w:rsid w:val="001E185B"/>
    <w:rsid w:val="001E1DF7"/>
    <w:rsid w:val="001E1F40"/>
    <w:rsid w:val="001E2774"/>
    <w:rsid w:val="001E27FC"/>
    <w:rsid w:val="001E449C"/>
    <w:rsid w:val="001E5E05"/>
    <w:rsid w:val="001E6A2C"/>
    <w:rsid w:val="001F0C6D"/>
    <w:rsid w:val="001F1BE1"/>
    <w:rsid w:val="001F24B6"/>
    <w:rsid w:val="001F2EC6"/>
    <w:rsid w:val="001F3785"/>
    <w:rsid w:val="001F4337"/>
    <w:rsid w:val="001F4772"/>
    <w:rsid w:val="001F6429"/>
    <w:rsid w:val="00200B0F"/>
    <w:rsid w:val="00200D3D"/>
    <w:rsid w:val="002019AF"/>
    <w:rsid w:val="002024B2"/>
    <w:rsid w:val="0020277A"/>
    <w:rsid w:val="00204873"/>
    <w:rsid w:val="00204CAB"/>
    <w:rsid w:val="0020754B"/>
    <w:rsid w:val="0021090A"/>
    <w:rsid w:val="00212C25"/>
    <w:rsid w:val="00213FE5"/>
    <w:rsid w:val="00215E24"/>
    <w:rsid w:val="00216223"/>
    <w:rsid w:val="002171D5"/>
    <w:rsid w:val="0021721B"/>
    <w:rsid w:val="0021785F"/>
    <w:rsid w:val="00217D5B"/>
    <w:rsid w:val="00217FFE"/>
    <w:rsid w:val="002201CA"/>
    <w:rsid w:val="00220FFA"/>
    <w:rsid w:val="00221386"/>
    <w:rsid w:val="0022142E"/>
    <w:rsid w:val="0022168C"/>
    <w:rsid w:val="00221CBE"/>
    <w:rsid w:val="00222088"/>
    <w:rsid w:val="00222F98"/>
    <w:rsid w:val="0022397C"/>
    <w:rsid w:val="002252A7"/>
    <w:rsid w:val="00225929"/>
    <w:rsid w:val="002260A5"/>
    <w:rsid w:val="0022610B"/>
    <w:rsid w:val="002279A5"/>
    <w:rsid w:val="00230056"/>
    <w:rsid w:val="00231BD8"/>
    <w:rsid w:val="002321CE"/>
    <w:rsid w:val="002360E4"/>
    <w:rsid w:val="00237F92"/>
    <w:rsid w:val="0024037B"/>
    <w:rsid w:val="00240744"/>
    <w:rsid w:val="0024092C"/>
    <w:rsid w:val="002420D1"/>
    <w:rsid w:val="00243303"/>
    <w:rsid w:val="00244158"/>
    <w:rsid w:val="002444CF"/>
    <w:rsid w:val="002452CE"/>
    <w:rsid w:val="00245D31"/>
    <w:rsid w:val="00245F85"/>
    <w:rsid w:val="002461F8"/>
    <w:rsid w:val="0024683B"/>
    <w:rsid w:val="0024762C"/>
    <w:rsid w:val="00250FE1"/>
    <w:rsid w:val="002513D0"/>
    <w:rsid w:val="00251F23"/>
    <w:rsid w:val="002533DF"/>
    <w:rsid w:val="00253427"/>
    <w:rsid w:val="0025402D"/>
    <w:rsid w:val="00255938"/>
    <w:rsid w:val="00255F30"/>
    <w:rsid w:val="00257648"/>
    <w:rsid w:val="00257711"/>
    <w:rsid w:val="00260489"/>
    <w:rsid w:val="00261270"/>
    <w:rsid w:val="00261ED8"/>
    <w:rsid w:val="00264AC1"/>
    <w:rsid w:val="00265DFC"/>
    <w:rsid w:val="00266E8B"/>
    <w:rsid w:val="00270512"/>
    <w:rsid w:val="00270C2A"/>
    <w:rsid w:val="00270FF1"/>
    <w:rsid w:val="00271509"/>
    <w:rsid w:val="002721E8"/>
    <w:rsid w:val="00272945"/>
    <w:rsid w:val="0027374A"/>
    <w:rsid w:val="0027450F"/>
    <w:rsid w:val="00274A80"/>
    <w:rsid w:val="00275C2E"/>
    <w:rsid w:val="00275EA9"/>
    <w:rsid w:val="00275EF4"/>
    <w:rsid w:val="00276260"/>
    <w:rsid w:val="00276A71"/>
    <w:rsid w:val="00277B4C"/>
    <w:rsid w:val="00277E92"/>
    <w:rsid w:val="002803C5"/>
    <w:rsid w:val="00280781"/>
    <w:rsid w:val="00281268"/>
    <w:rsid w:val="00281383"/>
    <w:rsid w:val="00281B7F"/>
    <w:rsid w:val="00282115"/>
    <w:rsid w:val="00282B6C"/>
    <w:rsid w:val="002834ED"/>
    <w:rsid w:val="00283635"/>
    <w:rsid w:val="002837D7"/>
    <w:rsid w:val="0028482A"/>
    <w:rsid w:val="00284B44"/>
    <w:rsid w:val="00285F3A"/>
    <w:rsid w:val="00286086"/>
    <w:rsid w:val="00287593"/>
    <w:rsid w:val="00291539"/>
    <w:rsid w:val="00291E57"/>
    <w:rsid w:val="0029223C"/>
    <w:rsid w:val="00292E57"/>
    <w:rsid w:val="00294CFA"/>
    <w:rsid w:val="0029779E"/>
    <w:rsid w:val="00297828"/>
    <w:rsid w:val="00297AF8"/>
    <w:rsid w:val="002A0D09"/>
    <w:rsid w:val="002A0E2E"/>
    <w:rsid w:val="002A1AC7"/>
    <w:rsid w:val="002A27C4"/>
    <w:rsid w:val="002A3073"/>
    <w:rsid w:val="002A371A"/>
    <w:rsid w:val="002A4772"/>
    <w:rsid w:val="002A4C2C"/>
    <w:rsid w:val="002A518B"/>
    <w:rsid w:val="002A5481"/>
    <w:rsid w:val="002A55E4"/>
    <w:rsid w:val="002A6D54"/>
    <w:rsid w:val="002A7818"/>
    <w:rsid w:val="002B0AEA"/>
    <w:rsid w:val="002B0C2A"/>
    <w:rsid w:val="002B0C7A"/>
    <w:rsid w:val="002B11DC"/>
    <w:rsid w:val="002B240A"/>
    <w:rsid w:val="002B267B"/>
    <w:rsid w:val="002B3C33"/>
    <w:rsid w:val="002B3EF5"/>
    <w:rsid w:val="002B3FC0"/>
    <w:rsid w:val="002B5532"/>
    <w:rsid w:val="002B58A1"/>
    <w:rsid w:val="002B5E62"/>
    <w:rsid w:val="002B6F27"/>
    <w:rsid w:val="002C091A"/>
    <w:rsid w:val="002C0A41"/>
    <w:rsid w:val="002C0BC9"/>
    <w:rsid w:val="002C1F2C"/>
    <w:rsid w:val="002C3240"/>
    <w:rsid w:val="002C35C9"/>
    <w:rsid w:val="002C3D86"/>
    <w:rsid w:val="002C6B17"/>
    <w:rsid w:val="002C7601"/>
    <w:rsid w:val="002C7AC8"/>
    <w:rsid w:val="002C7E70"/>
    <w:rsid w:val="002D14D6"/>
    <w:rsid w:val="002D2C4F"/>
    <w:rsid w:val="002D363C"/>
    <w:rsid w:val="002D3E64"/>
    <w:rsid w:val="002D4557"/>
    <w:rsid w:val="002D48EA"/>
    <w:rsid w:val="002D5FAA"/>
    <w:rsid w:val="002D6402"/>
    <w:rsid w:val="002D69B8"/>
    <w:rsid w:val="002D7D7A"/>
    <w:rsid w:val="002E0A0D"/>
    <w:rsid w:val="002E0B52"/>
    <w:rsid w:val="002E2223"/>
    <w:rsid w:val="002E2303"/>
    <w:rsid w:val="002E2D50"/>
    <w:rsid w:val="002E2DF2"/>
    <w:rsid w:val="002E464F"/>
    <w:rsid w:val="002E4854"/>
    <w:rsid w:val="002E49FE"/>
    <w:rsid w:val="002E59FC"/>
    <w:rsid w:val="002E7208"/>
    <w:rsid w:val="002E744C"/>
    <w:rsid w:val="002E7E49"/>
    <w:rsid w:val="002F0BEE"/>
    <w:rsid w:val="002F1854"/>
    <w:rsid w:val="002F1E74"/>
    <w:rsid w:val="002F31DA"/>
    <w:rsid w:val="002F32E4"/>
    <w:rsid w:val="002F3316"/>
    <w:rsid w:val="002F3674"/>
    <w:rsid w:val="002F4894"/>
    <w:rsid w:val="002F52B4"/>
    <w:rsid w:val="00300FB5"/>
    <w:rsid w:val="0030133C"/>
    <w:rsid w:val="00302BDA"/>
    <w:rsid w:val="00303BEF"/>
    <w:rsid w:val="00304B22"/>
    <w:rsid w:val="0030528D"/>
    <w:rsid w:val="0030677B"/>
    <w:rsid w:val="00307434"/>
    <w:rsid w:val="003079BB"/>
    <w:rsid w:val="00310477"/>
    <w:rsid w:val="00311FED"/>
    <w:rsid w:val="0031261F"/>
    <w:rsid w:val="00312E64"/>
    <w:rsid w:val="00313063"/>
    <w:rsid w:val="00313C63"/>
    <w:rsid w:val="003160CE"/>
    <w:rsid w:val="0031792C"/>
    <w:rsid w:val="00321394"/>
    <w:rsid w:val="00323E55"/>
    <w:rsid w:val="00324AF7"/>
    <w:rsid w:val="0032502E"/>
    <w:rsid w:val="00330219"/>
    <w:rsid w:val="00330390"/>
    <w:rsid w:val="003304E3"/>
    <w:rsid w:val="00330CF2"/>
    <w:rsid w:val="00331EF6"/>
    <w:rsid w:val="0033222C"/>
    <w:rsid w:val="00332484"/>
    <w:rsid w:val="003327FA"/>
    <w:rsid w:val="00332D5A"/>
    <w:rsid w:val="0033308C"/>
    <w:rsid w:val="00334E88"/>
    <w:rsid w:val="003359B1"/>
    <w:rsid w:val="00336060"/>
    <w:rsid w:val="00336135"/>
    <w:rsid w:val="003414D5"/>
    <w:rsid w:val="00344A37"/>
    <w:rsid w:val="00345E3F"/>
    <w:rsid w:val="00345ED3"/>
    <w:rsid w:val="003477E2"/>
    <w:rsid w:val="00350F7A"/>
    <w:rsid w:val="003512AC"/>
    <w:rsid w:val="00351828"/>
    <w:rsid w:val="003518F1"/>
    <w:rsid w:val="00353A4F"/>
    <w:rsid w:val="00353C4A"/>
    <w:rsid w:val="00354AD1"/>
    <w:rsid w:val="00355039"/>
    <w:rsid w:val="00356E9B"/>
    <w:rsid w:val="00356EB4"/>
    <w:rsid w:val="0036132D"/>
    <w:rsid w:val="00362935"/>
    <w:rsid w:val="00363A60"/>
    <w:rsid w:val="00363E02"/>
    <w:rsid w:val="00364D87"/>
    <w:rsid w:val="00366A6D"/>
    <w:rsid w:val="00367449"/>
    <w:rsid w:val="00367F3D"/>
    <w:rsid w:val="0037059B"/>
    <w:rsid w:val="00370B08"/>
    <w:rsid w:val="00370BD7"/>
    <w:rsid w:val="003716CD"/>
    <w:rsid w:val="00374424"/>
    <w:rsid w:val="0037444D"/>
    <w:rsid w:val="00374764"/>
    <w:rsid w:val="00374D13"/>
    <w:rsid w:val="003760B5"/>
    <w:rsid w:val="003764C8"/>
    <w:rsid w:val="00376741"/>
    <w:rsid w:val="00377F8B"/>
    <w:rsid w:val="003809EA"/>
    <w:rsid w:val="00380D3D"/>
    <w:rsid w:val="00380E0E"/>
    <w:rsid w:val="0038190B"/>
    <w:rsid w:val="003833ED"/>
    <w:rsid w:val="0038415A"/>
    <w:rsid w:val="00387557"/>
    <w:rsid w:val="00390918"/>
    <w:rsid w:val="0039096A"/>
    <w:rsid w:val="00391081"/>
    <w:rsid w:val="00391235"/>
    <w:rsid w:val="00392253"/>
    <w:rsid w:val="003922F2"/>
    <w:rsid w:val="003927EE"/>
    <w:rsid w:val="00393A0E"/>
    <w:rsid w:val="003950D9"/>
    <w:rsid w:val="00395C93"/>
    <w:rsid w:val="00396F58"/>
    <w:rsid w:val="003973C5"/>
    <w:rsid w:val="00397C40"/>
    <w:rsid w:val="003A00E6"/>
    <w:rsid w:val="003A01EA"/>
    <w:rsid w:val="003A115B"/>
    <w:rsid w:val="003A13AE"/>
    <w:rsid w:val="003A239E"/>
    <w:rsid w:val="003A2F37"/>
    <w:rsid w:val="003A3608"/>
    <w:rsid w:val="003A41D9"/>
    <w:rsid w:val="003A44FC"/>
    <w:rsid w:val="003A4B94"/>
    <w:rsid w:val="003A4F27"/>
    <w:rsid w:val="003A549F"/>
    <w:rsid w:val="003A76C8"/>
    <w:rsid w:val="003B0D17"/>
    <w:rsid w:val="003B29FB"/>
    <w:rsid w:val="003B31CE"/>
    <w:rsid w:val="003B4E79"/>
    <w:rsid w:val="003B55A4"/>
    <w:rsid w:val="003B5A4F"/>
    <w:rsid w:val="003B6488"/>
    <w:rsid w:val="003B7D40"/>
    <w:rsid w:val="003C016B"/>
    <w:rsid w:val="003C0C5A"/>
    <w:rsid w:val="003C1154"/>
    <w:rsid w:val="003C18F0"/>
    <w:rsid w:val="003C1B1E"/>
    <w:rsid w:val="003C35F4"/>
    <w:rsid w:val="003C3803"/>
    <w:rsid w:val="003C3B0A"/>
    <w:rsid w:val="003C3F2B"/>
    <w:rsid w:val="003C4CD9"/>
    <w:rsid w:val="003C51A0"/>
    <w:rsid w:val="003C5422"/>
    <w:rsid w:val="003C5E40"/>
    <w:rsid w:val="003C60E4"/>
    <w:rsid w:val="003D0F6C"/>
    <w:rsid w:val="003D342F"/>
    <w:rsid w:val="003D37B4"/>
    <w:rsid w:val="003D52DF"/>
    <w:rsid w:val="003D5883"/>
    <w:rsid w:val="003D68E5"/>
    <w:rsid w:val="003D719F"/>
    <w:rsid w:val="003D7609"/>
    <w:rsid w:val="003D7F8A"/>
    <w:rsid w:val="003E11C4"/>
    <w:rsid w:val="003E17F6"/>
    <w:rsid w:val="003E188B"/>
    <w:rsid w:val="003E2AA8"/>
    <w:rsid w:val="003E2AFB"/>
    <w:rsid w:val="003E3875"/>
    <w:rsid w:val="003E3C66"/>
    <w:rsid w:val="003E5145"/>
    <w:rsid w:val="003E5ACA"/>
    <w:rsid w:val="003E6097"/>
    <w:rsid w:val="003E71CB"/>
    <w:rsid w:val="003F1A81"/>
    <w:rsid w:val="003F2FC3"/>
    <w:rsid w:val="003F303D"/>
    <w:rsid w:val="003F60D0"/>
    <w:rsid w:val="003F7ACE"/>
    <w:rsid w:val="004004D7"/>
    <w:rsid w:val="004005EE"/>
    <w:rsid w:val="004021ED"/>
    <w:rsid w:val="0040369F"/>
    <w:rsid w:val="00405998"/>
    <w:rsid w:val="00405C4B"/>
    <w:rsid w:val="0040611D"/>
    <w:rsid w:val="00406E58"/>
    <w:rsid w:val="004109FA"/>
    <w:rsid w:val="00411218"/>
    <w:rsid w:val="004132A9"/>
    <w:rsid w:val="00413C2C"/>
    <w:rsid w:val="00414BCE"/>
    <w:rsid w:val="00415199"/>
    <w:rsid w:val="00415C84"/>
    <w:rsid w:val="00415C8D"/>
    <w:rsid w:val="00417F32"/>
    <w:rsid w:val="00420E69"/>
    <w:rsid w:val="0042199F"/>
    <w:rsid w:val="00422A91"/>
    <w:rsid w:val="00422CD5"/>
    <w:rsid w:val="00425C79"/>
    <w:rsid w:val="00427176"/>
    <w:rsid w:val="00427407"/>
    <w:rsid w:val="00427BAD"/>
    <w:rsid w:val="00427C41"/>
    <w:rsid w:val="004301E9"/>
    <w:rsid w:val="00431DF6"/>
    <w:rsid w:val="00432383"/>
    <w:rsid w:val="00432C78"/>
    <w:rsid w:val="004330FD"/>
    <w:rsid w:val="00433F1D"/>
    <w:rsid w:val="0043405B"/>
    <w:rsid w:val="00434D19"/>
    <w:rsid w:val="00434FB5"/>
    <w:rsid w:val="004354B8"/>
    <w:rsid w:val="004366A6"/>
    <w:rsid w:val="00437049"/>
    <w:rsid w:val="0043729B"/>
    <w:rsid w:val="004409FA"/>
    <w:rsid w:val="0044134F"/>
    <w:rsid w:val="004417B1"/>
    <w:rsid w:val="00442B62"/>
    <w:rsid w:val="0044331C"/>
    <w:rsid w:val="004435C1"/>
    <w:rsid w:val="004436D2"/>
    <w:rsid w:val="00451A03"/>
    <w:rsid w:val="00452036"/>
    <w:rsid w:val="00452A0E"/>
    <w:rsid w:val="00452BC1"/>
    <w:rsid w:val="00453173"/>
    <w:rsid w:val="00455AD2"/>
    <w:rsid w:val="0045704A"/>
    <w:rsid w:val="00457520"/>
    <w:rsid w:val="00460EA8"/>
    <w:rsid w:val="0046230E"/>
    <w:rsid w:val="00462811"/>
    <w:rsid w:val="00462859"/>
    <w:rsid w:val="0046346B"/>
    <w:rsid w:val="004648E3"/>
    <w:rsid w:val="0046634B"/>
    <w:rsid w:val="00466E5C"/>
    <w:rsid w:val="00466FAD"/>
    <w:rsid w:val="00467816"/>
    <w:rsid w:val="00470BF0"/>
    <w:rsid w:val="00470CE1"/>
    <w:rsid w:val="00471CFB"/>
    <w:rsid w:val="004720F6"/>
    <w:rsid w:val="00473DBF"/>
    <w:rsid w:val="00474569"/>
    <w:rsid w:val="00475A71"/>
    <w:rsid w:val="00476102"/>
    <w:rsid w:val="00476514"/>
    <w:rsid w:val="00476741"/>
    <w:rsid w:val="00476DF1"/>
    <w:rsid w:val="00476F3C"/>
    <w:rsid w:val="004804BB"/>
    <w:rsid w:val="00480A85"/>
    <w:rsid w:val="00480F3C"/>
    <w:rsid w:val="00481A58"/>
    <w:rsid w:val="00481EA8"/>
    <w:rsid w:val="00482258"/>
    <w:rsid w:val="004829F6"/>
    <w:rsid w:val="00484048"/>
    <w:rsid w:val="0048452F"/>
    <w:rsid w:val="00484BED"/>
    <w:rsid w:val="004870C3"/>
    <w:rsid w:val="004872B1"/>
    <w:rsid w:val="00487520"/>
    <w:rsid w:val="00490BB4"/>
    <w:rsid w:val="004917FE"/>
    <w:rsid w:val="004919A6"/>
    <w:rsid w:val="00494033"/>
    <w:rsid w:val="00494D0E"/>
    <w:rsid w:val="00496381"/>
    <w:rsid w:val="0049656E"/>
    <w:rsid w:val="00497DF9"/>
    <w:rsid w:val="004A0778"/>
    <w:rsid w:val="004A0EB7"/>
    <w:rsid w:val="004A10F9"/>
    <w:rsid w:val="004A3A44"/>
    <w:rsid w:val="004A4063"/>
    <w:rsid w:val="004A44FB"/>
    <w:rsid w:val="004A5AC8"/>
    <w:rsid w:val="004A6078"/>
    <w:rsid w:val="004B034B"/>
    <w:rsid w:val="004B24B4"/>
    <w:rsid w:val="004B28B8"/>
    <w:rsid w:val="004B2980"/>
    <w:rsid w:val="004B2CFF"/>
    <w:rsid w:val="004B4785"/>
    <w:rsid w:val="004B480B"/>
    <w:rsid w:val="004B4E50"/>
    <w:rsid w:val="004B5038"/>
    <w:rsid w:val="004B60C7"/>
    <w:rsid w:val="004C1D3C"/>
    <w:rsid w:val="004C200C"/>
    <w:rsid w:val="004C313A"/>
    <w:rsid w:val="004C3273"/>
    <w:rsid w:val="004C47E3"/>
    <w:rsid w:val="004C4BA5"/>
    <w:rsid w:val="004C4D2C"/>
    <w:rsid w:val="004C5523"/>
    <w:rsid w:val="004C63A5"/>
    <w:rsid w:val="004C7571"/>
    <w:rsid w:val="004C7D72"/>
    <w:rsid w:val="004D1F2E"/>
    <w:rsid w:val="004D3572"/>
    <w:rsid w:val="004D566F"/>
    <w:rsid w:val="004D60C8"/>
    <w:rsid w:val="004D646F"/>
    <w:rsid w:val="004E1377"/>
    <w:rsid w:val="004E2317"/>
    <w:rsid w:val="004E312B"/>
    <w:rsid w:val="004E32E1"/>
    <w:rsid w:val="004E333D"/>
    <w:rsid w:val="004E34F9"/>
    <w:rsid w:val="004E36B5"/>
    <w:rsid w:val="004E64DF"/>
    <w:rsid w:val="004E70BD"/>
    <w:rsid w:val="004E72BB"/>
    <w:rsid w:val="004E7430"/>
    <w:rsid w:val="004E7FB7"/>
    <w:rsid w:val="004F03F5"/>
    <w:rsid w:val="004F1389"/>
    <w:rsid w:val="004F24F8"/>
    <w:rsid w:val="004F3C77"/>
    <w:rsid w:val="004F4183"/>
    <w:rsid w:val="004F54BF"/>
    <w:rsid w:val="004F5873"/>
    <w:rsid w:val="004F5AFB"/>
    <w:rsid w:val="004F6674"/>
    <w:rsid w:val="004F7B84"/>
    <w:rsid w:val="00501368"/>
    <w:rsid w:val="005027DD"/>
    <w:rsid w:val="00503706"/>
    <w:rsid w:val="00503F66"/>
    <w:rsid w:val="0050406F"/>
    <w:rsid w:val="00505752"/>
    <w:rsid w:val="00506089"/>
    <w:rsid w:val="005060F8"/>
    <w:rsid w:val="005063B7"/>
    <w:rsid w:val="00512421"/>
    <w:rsid w:val="00512C19"/>
    <w:rsid w:val="00513984"/>
    <w:rsid w:val="00513A9A"/>
    <w:rsid w:val="005159E9"/>
    <w:rsid w:val="00516527"/>
    <w:rsid w:val="005176DB"/>
    <w:rsid w:val="005212F1"/>
    <w:rsid w:val="00522861"/>
    <w:rsid w:val="00522BB5"/>
    <w:rsid w:val="00523421"/>
    <w:rsid w:val="00523CF7"/>
    <w:rsid w:val="005264F7"/>
    <w:rsid w:val="00527885"/>
    <w:rsid w:val="00530714"/>
    <w:rsid w:val="00530F18"/>
    <w:rsid w:val="00531CDF"/>
    <w:rsid w:val="00532023"/>
    <w:rsid w:val="00532D93"/>
    <w:rsid w:val="00532F0E"/>
    <w:rsid w:val="0053306E"/>
    <w:rsid w:val="005340D2"/>
    <w:rsid w:val="0053445B"/>
    <w:rsid w:val="00536261"/>
    <w:rsid w:val="00541B6D"/>
    <w:rsid w:val="0054224C"/>
    <w:rsid w:val="00542840"/>
    <w:rsid w:val="00542FAF"/>
    <w:rsid w:val="005436A1"/>
    <w:rsid w:val="005436AE"/>
    <w:rsid w:val="00544D7E"/>
    <w:rsid w:val="00544D90"/>
    <w:rsid w:val="00545074"/>
    <w:rsid w:val="005464A7"/>
    <w:rsid w:val="005469F8"/>
    <w:rsid w:val="00546B4F"/>
    <w:rsid w:val="005471A1"/>
    <w:rsid w:val="0055000C"/>
    <w:rsid w:val="005534DC"/>
    <w:rsid w:val="005536C1"/>
    <w:rsid w:val="00553D62"/>
    <w:rsid w:val="00553DF1"/>
    <w:rsid w:val="0055424E"/>
    <w:rsid w:val="00554621"/>
    <w:rsid w:val="00554AC1"/>
    <w:rsid w:val="00555BEB"/>
    <w:rsid w:val="00555E2E"/>
    <w:rsid w:val="005566F2"/>
    <w:rsid w:val="00556C34"/>
    <w:rsid w:val="00560F16"/>
    <w:rsid w:val="005616B4"/>
    <w:rsid w:val="0056199C"/>
    <w:rsid w:val="005624FC"/>
    <w:rsid w:val="00563368"/>
    <w:rsid w:val="00563913"/>
    <w:rsid w:val="00563F3E"/>
    <w:rsid w:val="005651FF"/>
    <w:rsid w:val="00566781"/>
    <w:rsid w:val="005707A5"/>
    <w:rsid w:val="0057184E"/>
    <w:rsid w:val="005723CD"/>
    <w:rsid w:val="00573F8A"/>
    <w:rsid w:val="0057662A"/>
    <w:rsid w:val="00577025"/>
    <w:rsid w:val="005775AC"/>
    <w:rsid w:val="005807EA"/>
    <w:rsid w:val="00581488"/>
    <w:rsid w:val="00581EF2"/>
    <w:rsid w:val="00582326"/>
    <w:rsid w:val="00582512"/>
    <w:rsid w:val="00582F42"/>
    <w:rsid w:val="00583396"/>
    <w:rsid w:val="00584382"/>
    <w:rsid w:val="005844CC"/>
    <w:rsid w:val="00585B09"/>
    <w:rsid w:val="00587239"/>
    <w:rsid w:val="00587BEC"/>
    <w:rsid w:val="00587C9B"/>
    <w:rsid w:val="0059092A"/>
    <w:rsid w:val="005940D5"/>
    <w:rsid w:val="00595C09"/>
    <w:rsid w:val="00596DFB"/>
    <w:rsid w:val="00597037"/>
    <w:rsid w:val="005A01E8"/>
    <w:rsid w:val="005A0973"/>
    <w:rsid w:val="005A14D7"/>
    <w:rsid w:val="005A26A1"/>
    <w:rsid w:val="005A3001"/>
    <w:rsid w:val="005A3994"/>
    <w:rsid w:val="005A4B9A"/>
    <w:rsid w:val="005A5532"/>
    <w:rsid w:val="005B0081"/>
    <w:rsid w:val="005B1967"/>
    <w:rsid w:val="005B2350"/>
    <w:rsid w:val="005B25AD"/>
    <w:rsid w:val="005B2746"/>
    <w:rsid w:val="005B33C3"/>
    <w:rsid w:val="005B3507"/>
    <w:rsid w:val="005B3E0E"/>
    <w:rsid w:val="005B5658"/>
    <w:rsid w:val="005C19B1"/>
    <w:rsid w:val="005C20CB"/>
    <w:rsid w:val="005C2285"/>
    <w:rsid w:val="005C2B4F"/>
    <w:rsid w:val="005C30BF"/>
    <w:rsid w:val="005C4015"/>
    <w:rsid w:val="005C51F5"/>
    <w:rsid w:val="005C5E74"/>
    <w:rsid w:val="005C6F36"/>
    <w:rsid w:val="005C77BB"/>
    <w:rsid w:val="005C789E"/>
    <w:rsid w:val="005D0F76"/>
    <w:rsid w:val="005D308B"/>
    <w:rsid w:val="005D514F"/>
    <w:rsid w:val="005D7637"/>
    <w:rsid w:val="005E1104"/>
    <w:rsid w:val="005E12C4"/>
    <w:rsid w:val="005E1BFE"/>
    <w:rsid w:val="005E278C"/>
    <w:rsid w:val="005E29FC"/>
    <w:rsid w:val="005E35A2"/>
    <w:rsid w:val="005E40C4"/>
    <w:rsid w:val="005E4CE3"/>
    <w:rsid w:val="005E4DC6"/>
    <w:rsid w:val="005E5460"/>
    <w:rsid w:val="005E69A4"/>
    <w:rsid w:val="005E6F7C"/>
    <w:rsid w:val="005E7511"/>
    <w:rsid w:val="005F00D4"/>
    <w:rsid w:val="005F065C"/>
    <w:rsid w:val="005F15B8"/>
    <w:rsid w:val="005F2485"/>
    <w:rsid w:val="005F249D"/>
    <w:rsid w:val="005F2677"/>
    <w:rsid w:val="005F3898"/>
    <w:rsid w:val="005F43E1"/>
    <w:rsid w:val="005F5915"/>
    <w:rsid w:val="005F6F1B"/>
    <w:rsid w:val="005F78E4"/>
    <w:rsid w:val="005F78EF"/>
    <w:rsid w:val="00600A81"/>
    <w:rsid w:val="00601193"/>
    <w:rsid w:val="0060387A"/>
    <w:rsid w:val="0060442D"/>
    <w:rsid w:val="006047C7"/>
    <w:rsid w:val="00604852"/>
    <w:rsid w:val="006058A4"/>
    <w:rsid w:val="006062A9"/>
    <w:rsid w:val="00606444"/>
    <w:rsid w:val="00606CD3"/>
    <w:rsid w:val="0060703C"/>
    <w:rsid w:val="00607967"/>
    <w:rsid w:val="006124DD"/>
    <w:rsid w:val="00613C1C"/>
    <w:rsid w:val="00615415"/>
    <w:rsid w:val="006161AD"/>
    <w:rsid w:val="00617B61"/>
    <w:rsid w:val="006205B3"/>
    <w:rsid w:val="00620A2D"/>
    <w:rsid w:val="00620B53"/>
    <w:rsid w:val="00620CDC"/>
    <w:rsid w:val="00620D27"/>
    <w:rsid w:val="00620FAF"/>
    <w:rsid w:val="006215EE"/>
    <w:rsid w:val="0062236D"/>
    <w:rsid w:val="00622E10"/>
    <w:rsid w:val="006231A3"/>
    <w:rsid w:val="00623B9D"/>
    <w:rsid w:val="00624150"/>
    <w:rsid w:val="006248F9"/>
    <w:rsid w:val="00625328"/>
    <w:rsid w:val="006258E7"/>
    <w:rsid w:val="00626390"/>
    <w:rsid w:val="00626927"/>
    <w:rsid w:val="00626D49"/>
    <w:rsid w:val="0063004A"/>
    <w:rsid w:val="00631562"/>
    <w:rsid w:val="00633BF4"/>
    <w:rsid w:val="0063530B"/>
    <w:rsid w:val="006359CA"/>
    <w:rsid w:val="00636B33"/>
    <w:rsid w:val="006370E5"/>
    <w:rsid w:val="00637E5E"/>
    <w:rsid w:val="00640392"/>
    <w:rsid w:val="00640635"/>
    <w:rsid w:val="00640DF0"/>
    <w:rsid w:val="006414E6"/>
    <w:rsid w:val="00641920"/>
    <w:rsid w:val="00641CFA"/>
    <w:rsid w:val="00642317"/>
    <w:rsid w:val="00642788"/>
    <w:rsid w:val="0064315E"/>
    <w:rsid w:val="006437FF"/>
    <w:rsid w:val="00643AF0"/>
    <w:rsid w:val="006452A6"/>
    <w:rsid w:val="00645305"/>
    <w:rsid w:val="006459EE"/>
    <w:rsid w:val="006461CC"/>
    <w:rsid w:val="0064778E"/>
    <w:rsid w:val="00647BBB"/>
    <w:rsid w:val="00647EDE"/>
    <w:rsid w:val="00650A08"/>
    <w:rsid w:val="00650CF1"/>
    <w:rsid w:val="00652010"/>
    <w:rsid w:val="00652899"/>
    <w:rsid w:val="006538A3"/>
    <w:rsid w:val="0065460D"/>
    <w:rsid w:val="00654B6C"/>
    <w:rsid w:val="00654FCF"/>
    <w:rsid w:val="0065620E"/>
    <w:rsid w:val="0065621F"/>
    <w:rsid w:val="00657068"/>
    <w:rsid w:val="00657CB1"/>
    <w:rsid w:val="00660B74"/>
    <w:rsid w:val="00661252"/>
    <w:rsid w:val="00661345"/>
    <w:rsid w:val="00662468"/>
    <w:rsid w:val="00662631"/>
    <w:rsid w:val="006628AE"/>
    <w:rsid w:val="00662E05"/>
    <w:rsid w:val="0066580F"/>
    <w:rsid w:val="00665CFB"/>
    <w:rsid w:val="00665E5A"/>
    <w:rsid w:val="00666620"/>
    <w:rsid w:val="00670AAE"/>
    <w:rsid w:val="00672807"/>
    <w:rsid w:val="00672D39"/>
    <w:rsid w:val="0067351D"/>
    <w:rsid w:val="006742CB"/>
    <w:rsid w:val="0067479F"/>
    <w:rsid w:val="00674C76"/>
    <w:rsid w:val="00675762"/>
    <w:rsid w:val="00676BD2"/>
    <w:rsid w:val="00676F64"/>
    <w:rsid w:val="006772E6"/>
    <w:rsid w:val="0067774F"/>
    <w:rsid w:val="0068061D"/>
    <w:rsid w:val="00681014"/>
    <w:rsid w:val="0068165A"/>
    <w:rsid w:val="0068243E"/>
    <w:rsid w:val="006834EA"/>
    <w:rsid w:val="00683BCE"/>
    <w:rsid w:val="00684412"/>
    <w:rsid w:val="00687BB8"/>
    <w:rsid w:val="00690D13"/>
    <w:rsid w:val="00690EB4"/>
    <w:rsid w:val="0069123C"/>
    <w:rsid w:val="00691F71"/>
    <w:rsid w:val="00693170"/>
    <w:rsid w:val="006936CD"/>
    <w:rsid w:val="00693D7F"/>
    <w:rsid w:val="006943AB"/>
    <w:rsid w:val="00694E96"/>
    <w:rsid w:val="00695149"/>
    <w:rsid w:val="00695954"/>
    <w:rsid w:val="00695A7F"/>
    <w:rsid w:val="006964B4"/>
    <w:rsid w:val="0069729D"/>
    <w:rsid w:val="006A0631"/>
    <w:rsid w:val="006A1464"/>
    <w:rsid w:val="006A4B30"/>
    <w:rsid w:val="006A5B57"/>
    <w:rsid w:val="006A6F1B"/>
    <w:rsid w:val="006A714D"/>
    <w:rsid w:val="006B06B6"/>
    <w:rsid w:val="006B0D5F"/>
    <w:rsid w:val="006B1912"/>
    <w:rsid w:val="006B1E95"/>
    <w:rsid w:val="006B211F"/>
    <w:rsid w:val="006B4C40"/>
    <w:rsid w:val="006B566C"/>
    <w:rsid w:val="006B6785"/>
    <w:rsid w:val="006B6890"/>
    <w:rsid w:val="006B6E34"/>
    <w:rsid w:val="006B77B8"/>
    <w:rsid w:val="006C14DB"/>
    <w:rsid w:val="006C2B63"/>
    <w:rsid w:val="006C2CA2"/>
    <w:rsid w:val="006C2CF0"/>
    <w:rsid w:val="006C6C62"/>
    <w:rsid w:val="006D0BF2"/>
    <w:rsid w:val="006D0DAD"/>
    <w:rsid w:val="006D31EC"/>
    <w:rsid w:val="006D3283"/>
    <w:rsid w:val="006D39B1"/>
    <w:rsid w:val="006D474A"/>
    <w:rsid w:val="006D615C"/>
    <w:rsid w:val="006D7B0E"/>
    <w:rsid w:val="006E05DA"/>
    <w:rsid w:val="006E0CDA"/>
    <w:rsid w:val="006E159F"/>
    <w:rsid w:val="006E19EC"/>
    <w:rsid w:val="006E3482"/>
    <w:rsid w:val="006E3E41"/>
    <w:rsid w:val="006E52C2"/>
    <w:rsid w:val="006E6325"/>
    <w:rsid w:val="006E6420"/>
    <w:rsid w:val="006E7244"/>
    <w:rsid w:val="006E76D5"/>
    <w:rsid w:val="006F007F"/>
    <w:rsid w:val="006F0C01"/>
    <w:rsid w:val="006F16E2"/>
    <w:rsid w:val="006F2495"/>
    <w:rsid w:val="006F2DC0"/>
    <w:rsid w:val="006F346E"/>
    <w:rsid w:val="006F53BA"/>
    <w:rsid w:val="006F570A"/>
    <w:rsid w:val="006F574E"/>
    <w:rsid w:val="006F59EB"/>
    <w:rsid w:val="006F5A80"/>
    <w:rsid w:val="006F6E0B"/>
    <w:rsid w:val="006F6F2B"/>
    <w:rsid w:val="006F7013"/>
    <w:rsid w:val="006F777C"/>
    <w:rsid w:val="007001FD"/>
    <w:rsid w:val="00701833"/>
    <w:rsid w:val="0070188B"/>
    <w:rsid w:val="00701D50"/>
    <w:rsid w:val="00701D78"/>
    <w:rsid w:val="00701DF5"/>
    <w:rsid w:val="00702B3F"/>
    <w:rsid w:val="00702B7F"/>
    <w:rsid w:val="00703471"/>
    <w:rsid w:val="00703FC7"/>
    <w:rsid w:val="0070473F"/>
    <w:rsid w:val="00706704"/>
    <w:rsid w:val="00707656"/>
    <w:rsid w:val="00707DFB"/>
    <w:rsid w:val="00710863"/>
    <w:rsid w:val="007116D8"/>
    <w:rsid w:val="007167AE"/>
    <w:rsid w:val="00716836"/>
    <w:rsid w:val="00716D0D"/>
    <w:rsid w:val="007176C0"/>
    <w:rsid w:val="007178EC"/>
    <w:rsid w:val="00717FC0"/>
    <w:rsid w:val="00720AC7"/>
    <w:rsid w:val="0072130E"/>
    <w:rsid w:val="007217F4"/>
    <w:rsid w:val="007223CC"/>
    <w:rsid w:val="007231F7"/>
    <w:rsid w:val="007232A3"/>
    <w:rsid w:val="00723636"/>
    <w:rsid w:val="00723BF8"/>
    <w:rsid w:val="00724089"/>
    <w:rsid w:val="007243B4"/>
    <w:rsid w:val="00725093"/>
    <w:rsid w:val="00727C39"/>
    <w:rsid w:val="00727CA1"/>
    <w:rsid w:val="00727D68"/>
    <w:rsid w:val="00730300"/>
    <w:rsid w:val="0073053F"/>
    <w:rsid w:val="0073118A"/>
    <w:rsid w:val="0073159E"/>
    <w:rsid w:val="007319A7"/>
    <w:rsid w:val="007324E2"/>
    <w:rsid w:val="00733973"/>
    <w:rsid w:val="00733B6B"/>
    <w:rsid w:val="0073430A"/>
    <w:rsid w:val="00734336"/>
    <w:rsid w:val="00734F38"/>
    <w:rsid w:val="0073543A"/>
    <w:rsid w:val="0073683B"/>
    <w:rsid w:val="00736E61"/>
    <w:rsid w:val="00737607"/>
    <w:rsid w:val="00737857"/>
    <w:rsid w:val="00737EDD"/>
    <w:rsid w:val="00740D36"/>
    <w:rsid w:val="00740D3B"/>
    <w:rsid w:val="0074124D"/>
    <w:rsid w:val="00742FA0"/>
    <w:rsid w:val="0074376A"/>
    <w:rsid w:val="00744102"/>
    <w:rsid w:val="00744DDD"/>
    <w:rsid w:val="007453AE"/>
    <w:rsid w:val="00747BF5"/>
    <w:rsid w:val="00747CF6"/>
    <w:rsid w:val="00747D70"/>
    <w:rsid w:val="0075010D"/>
    <w:rsid w:val="00750D1B"/>
    <w:rsid w:val="00750F16"/>
    <w:rsid w:val="00750FFB"/>
    <w:rsid w:val="0075171A"/>
    <w:rsid w:val="00755197"/>
    <w:rsid w:val="00755F44"/>
    <w:rsid w:val="00756828"/>
    <w:rsid w:val="0075727E"/>
    <w:rsid w:val="00757A24"/>
    <w:rsid w:val="007609A0"/>
    <w:rsid w:val="00760BF0"/>
    <w:rsid w:val="00761313"/>
    <w:rsid w:val="00761CD6"/>
    <w:rsid w:val="00762CD9"/>
    <w:rsid w:val="007631DF"/>
    <w:rsid w:val="007639AD"/>
    <w:rsid w:val="00763B89"/>
    <w:rsid w:val="00763F71"/>
    <w:rsid w:val="00764B91"/>
    <w:rsid w:val="007659E5"/>
    <w:rsid w:val="00772191"/>
    <w:rsid w:val="007726CB"/>
    <w:rsid w:val="00772BE6"/>
    <w:rsid w:val="0077397C"/>
    <w:rsid w:val="00775D7A"/>
    <w:rsid w:val="00775F6C"/>
    <w:rsid w:val="00776AAB"/>
    <w:rsid w:val="0077732B"/>
    <w:rsid w:val="00781091"/>
    <w:rsid w:val="00781370"/>
    <w:rsid w:val="007826AE"/>
    <w:rsid w:val="007830C4"/>
    <w:rsid w:val="00784CDC"/>
    <w:rsid w:val="007859E8"/>
    <w:rsid w:val="00785CB6"/>
    <w:rsid w:val="007869A6"/>
    <w:rsid w:val="007873CD"/>
    <w:rsid w:val="00790528"/>
    <w:rsid w:val="00790B00"/>
    <w:rsid w:val="00791192"/>
    <w:rsid w:val="007934A7"/>
    <w:rsid w:val="007937CC"/>
    <w:rsid w:val="007937D9"/>
    <w:rsid w:val="00794067"/>
    <w:rsid w:val="00797E3C"/>
    <w:rsid w:val="007A03AE"/>
    <w:rsid w:val="007A1B6E"/>
    <w:rsid w:val="007A1BED"/>
    <w:rsid w:val="007A450B"/>
    <w:rsid w:val="007A454A"/>
    <w:rsid w:val="007A71FE"/>
    <w:rsid w:val="007B2CD7"/>
    <w:rsid w:val="007B2CF5"/>
    <w:rsid w:val="007B35B6"/>
    <w:rsid w:val="007B4097"/>
    <w:rsid w:val="007B5AD8"/>
    <w:rsid w:val="007B77F0"/>
    <w:rsid w:val="007C029D"/>
    <w:rsid w:val="007C16BA"/>
    <w:rsid w:val="007C17E8"/>
    <w:rsid w:val="007C1894"/>
    <w:rsid w:val="007C28C9"/>
    <w:rsid w:val="007C2E80"/>
    <w:rsid w:val="007C3516"/>
    <w:rsid w:val="007C4A91"/>
    <w:rsid w:val="007C5671"/>
    <w:rsid w:val="007D07C4"/>
    <w:rsid w:val="007D3B37"/>
    <w:rsid w:val="007D4304"/>
    <w:rsid w:val="007D642B"/>
    <w:rsid w:val="007D728D"/>
    <w:rsid w:val="007D7849"/>
    <w:rsid w:val="007D7B12"/>
    <w:rsid w:val="007D7CAE"/>
    <w:rsid w:val="007E0395"/>
    <w:rsid w:val="007E0F94"/>
    <w:rsid w:val="007E69AF"/>
    <w:rsid w:val="007E6DD3"/>
    <w:rsid w:val="007E7724"/>
    <w:rsid w:val="007F0712"/>
    <w:rsid w:val="007F2CFA"/>
    <w:rsid w:val="007F30C5"/>
    <w:rsid w:val="007F367D"/>
    <w:rsid w:val="007F3CC9"/>
    <w:rsid w:val="007F412A"/>
    <w:rsid w:val="007F4616"/>
    <w:rsid w:val="007F4D20"/>
    <w:rsid w:val="007F52A1"/>
    <w:rsid w:val="007F6851"/>
    <w:rsid w:val="007F73AB"/>
    <w:rsid w:val="007F7AB3"/>
    <w:rsid w:val="00802D4F"/>
    <w:rsid w:val="00802F44"/>
    <w:rsid w:val="00803117"/>
    <w:rsid w:val="0080474A"/>
    <w:rsid w:val="00804D9E"/>
    <w:rsid w:val="0080538B"/>
    <w:rsid w:val="0080550E"/>
    <w:rsid w:val="008055A7"/>
    <w:rsid w:val="00805D30"/>
    <w:rsid w:val="00806692"/>
    <w:rsid w:val="00806990"/>
    <w:rsid w:val="00810032"/>
    <w:rsid w:val="00810372"/>
    <w:rsid w:val="008103DD"/>
    <w:rsid w:val="0081118A"/>
    <w:rsid w:val="0081155F"/>
    <w:rsid w:val="00812110"/>
    <w:rsid w:val="0081399B"/>
    <w:rsid w:val="00813C20"/>
    <w:rsid w:val="00815E50"/>
    <w:rsid w:val="00816EEA"/>
    <w:rsid w:val="00817C16"/>
    <w:rsid w:val="00817D02"/>
    <w:rsid w:val="00820E65"/>
    <w:rsid w:val="0082103B"/>
    <w:rsid w:val="008219EF"/>
    <w:rsid w:val="008221C9"/>
    <w:rsid w:val="008222FC"/>
    <w:rsid w:val="00822687"/>
    <w:rsid w:val="00822B86"/>
    <w:rsid w:val="008245AF"/>
    <w:rsid w:val="008303A8"/>
    <w:rsid w:val="00830A8E"/>
    <w:rsid w:val="008332B1"/>
    <w:rsid w:val="008335DA"/>
    <w:rsid w:val="008336CE"/>
    <w:rsid w:val="00834A05"/>
    <w:rsid w:val="00834CEB"/>
    <w:rsid w:val="008364C0"/>
    <w:rsid w:val="008376F3"/>
    <w:rsid w:val="00842174"/>
    <w:rsid w:val="00842A66"/>
    <w:rsid w:val="00842E08"/>
    <w:rsid w:val="00844070"/>
    <w:rsid w:val="0084534A"/>
    <w:rsid w:val="00845917"/>
    <w:rsid w:val="00847C68"/>
    <w:rsid w:val="008502E6"/>
    <w:rsid w:val="00851B38"/>
    <w:rsid w:val="00852433"/>
    <w:rsid w:val="00852B9D"/>
    <w:rsid w:val="0085465B"/>
    <w:rsid w:val="008548EF"/>
    <w:rsid w:val="00854EDF"/>
    <w:rsid w:val="0085704C"/>
    <w:rsid w:val="00857437"/>
    <w:rsid w:val="00860F81"/>
    <w:rsid w:val="008613D1"/>
    <w:rsid w:val="00861BE5"/>
    <w:rsid w:val="00862754"/>
    <w:rsid w:val="0086389C"/>
    <w:rsid w:val="00864383"/>
    <w:rsid w:val="00864D8D"/>
    <w:rsid w:val="008658B6"/>
    <w:rsid w:val="0087082C"/>
    <w:rsid w:val="00870FA2"/>
    <w:rsid w:val="00870FFE"/>
    <w:rsid w:val="00872FEB"/>
    <w:rsid w:val="00873B7B"/>
    <w:rsid w:val="008748F1"/>
    <w:rsid w:val="00875BDA"/>
    <w:rsid w:val="008766DB"/>
    <w:rsid w:val="008767D4"/>
    <w:rsid w:val="00876A7D"/>
    <w:rsid w:val="00880809"/>
    <w:rsid w:val="0088111C"/>
    <w:rsid w:val="0088152D"/>
    <w:rsid w:val="008815E1"/>
    <w:rsid w:val="00881D49"/>
    <w:rsid w:val="00881EE6"/>
    <w:rsid w:val="00884550"/>
    <w:rsid w:val="008864A7"/>
    <w:rsid w:val="00886A54"/>
    <w:rsid w:val="0088774E"/>
    <w:rsid w:val="00887E3B"/>
    <w:rsid w:val="008917C6"/>
    <w:rsid w:val="00891E86"/>
    <w:rsid w:val="008924CD"/>
    <w:rsid w:val="00892D03"/>
    <w:rsid w:val="008934DA"/>
    <w:rsid w:val="00894847"/>
    <w:rsid w:val="00894A12"/>
    <w:rsid w:val="00895B17"/>
    <w:rsid w:val="00895C41"/>
    <w:rsid w:val="00896363"/>
    <w:rsid w:val="008965BD"/>
    <w:rsid w:val="008965F7"/>
    <w:rsid w:val="00897275"/>
    <w:rsid w:val="0089785F"/>
    <w:rsid w:val="00897971"/>
    <w:rsid w:val="008A03B2"/>
    <w:rsid w:val="008A18A7"/>
    <w:rsid w:val="008A1BC6"/>
    <w:rsid w:val="008A1F88"/>
    <w:rsid w:val="008A20D2"/>
    <w:rsid w:val="008A29BE"/>
    <w:rsid w:val="008A35E9"/>
    <w:rsid w:val="008A3723"/>
    <w:rsid w:val="008A3F29"/>
    <w:rsid w:val="008A4C98"/>
    <w:rsid w:val="008A5B0F"/>
    <w:rsid w:val="008A6469"/>
    <w:rsid w:val="008A693B"/>
    <w:rsid w:val="008A7735"/>
    <w:rsid w:val="008A7B25"/>
    <w:rsid w:val="008B01F1"/>
    <w:rsid w:val="008B1F69"/>
    <w:rsid w:val="008B2032"/>
    <w:rsid w:val="008B5B83"/>
    <w:rsid w:val="008B6FA7"/>
    <w:rsid w:val="008B729F"/>
    <w:rsid w:val="008B7A0B"/>
    <w:rsid w:val="008C030B"/>
    <w:rsid w:val="008C1227"/>
    <w:rsid w:val="008C17B6"/>
    <w:rsid w:val="008C1A1D"/>
    <w:rsid w:val="008C2A8A"/>
    <w:rsid w:val="008C35A7"/>
    <w:rsid w:val="008C44C0"/>
    <w:rsid w:val="008C5478"/>
    <w:rsid w:val="008C5492"/>
    <w:rsid w:val="008C686E"/>
    <w:rsid w:val="008C6A4E"/>
    <w:rsid w:val="008C6B89"/>
    <w:rsid w:val="008C6C3F"/>
    <w:rsid w:val="008D083A"/>
    <w:rsid w:val="008D0D4D"/>
    <w:rsid w:val="008D0D62"/>
    <w:rsid w:val="008D1768"/>
    <w:rsid w:val="008D1F65"/>
    <w:rsid w:val="008D69BB"/>
    <w:rsid w:val="008D6F72"/>
    <w:rsid w:val="008D71F0"/>
    <w:rsid w:val="008D762B"/>
    <w:rsid w:val="008D793B"/>
    <w:rsid w:val="008E0ECF"/>
    <w:rsid w:val="008E3C1D"/>
    <w:rsid w:val="008E3DAF"/>
    <w:rsid w:val="008E3E8E"/>
    <w:rsid w:val="008E49D6"/>
    <w:rsid w:val="008F097D"/>
    <w:rsid w:val="008F0E0F"/>
    <w:rsid w:val="008F1B79"/>
    <w:rsid w:val="008F229F"/>
    <w:rsid w:val="008F352A"/>
    <w:rsid w:val="008F46D8"/>
    <w:rsid w:val="009012EA"/>
    <w:rsid w:val="0090167E"/>
    <w:rsid w:val="00902B3F"/>
    <w:rsid w:val="00903003"/>
    <w:rsid w:val="0090325F"/>
    <w:rsid w:val="00904CAF"/>
    <w:rsid w:val="00905B88"/>
    <w:rsid w:val="00906193"/>
    <w:rsid w:val="00906D49"/>
    <w:rsid w:val="00906D99"/>
    <w:rsid w:val="009077ED"/>
    <w:rsid w:val="00907A34"/>
    <w:rsid w:val="00907ACB"/>
    <w:rsid w:val="00910078"/>
    <w:rsid w:val="00910158"/>
    <w:rsid w:val="009102C6"/>
    <w:rsid w:val="009110F1"/>
    <w:rsid w:val="00911E75"/>
    <w:rsid w:val="009133DE"/>
    <w:rsid w:val="00913F95"/>
    <w:rsid w:val="009163B4"/>
    <w:rsid w:val="00917037"/>
    <w:rsid w:val="00917A9E"/>
    <w:rsid w:val="009203E2"/>
    <w:rsid w:val="00926B89"/>
    <w:rsid w:val="00926BE7"/>
    <w:rsid w:val="00930C17"/>
    <w:rsid w:val="00932561"/>
    <w:rsid w:val="009338BA"/>
    <w:rsid w:val="009338F8"/>
    <w:rsid w:val="0093479D"/>
    <w:rsid w:val="00934BF9"/>
    <w:rsid w:val="00934F07"/>
    <w:rsid w:val="009363A1"/>
    <w:rsid w:val="00937CED"/>
    <w:rsid w:val="00937E3D"/>
    <w:rsid w:val="0094035F"/>
    <w:rsid w:val="00940939"/>
    <w:rsid w:val="00941EAC"/>
    <w:rsid w:val="00942308"/>
    <w:rsid w:val="00943D87"/>
    <w:rsid w:val="0094405F"/>
    <w:rsid w:val="00944F2D"/>
    <w:rsid w:val="009453D1"/>
    <w:rsid w:val="00946B6A"/>
    <w:rsid w:val="00946E8A"/>
    <w:rsid w:val="009477FE"/>
    <w:rsid w:val="00947B36"/>
    <w:rsid w:val="00950793"/>
    <w:rsid w:val="00951C98"/>
    <w:rsid w:val="0095386E"/>
    <w:rsid w:val="00954756"/>
    <w:rsid w:val="009563D1"/>
    <w:rsid w:val="00957BD2"/>
    <w:rsid w:val="00961426"/>
    <w:rsid w:val="00962134"/>
    <w:rsid w:val="0096245E"/>
    <w:rsid w:val="009626DF"/>
    <w:rsid w:val="00964FA5"/>
    <w:rsid w:val="00965790"/>
    <w:rsid w:val="00965943"/>
    <w:rsid w:val="00965967"/>
    <w:rsid w:val="00966607"/>
    <w:rsid w:val="00967998"/>
    <w:rsid w:val="00967AD9"/>
    <w:rsid w:val="00967FA8"/>
    <w:rsid w:val="0097046D"/>
    <w:rsid w:val="0097273A"/>
    <w:rsid w:val="009768C6"/>
    <w:rsid w:val="00980015"/>
    <w:rsid w:val="009802FD"/>
    <w:rsid w:val="00980D2A"/>
    <w:rsid w:val="00981ED1"/>
    <w:rsid w:val="00984508"/>
    <w:rsid w:val="00985AB0"/>
    <w:rsid w:val="009867B3"/>
    <w:rsid w:val="00986E49"/>
    <w:rsid w:val="009878A4"/>
    <w:rsid w:val="00987929"/>
    <w:rsid w:val="00987CA2"/>
    <w:rsid w:val="00987D6B"/>
    <w:rsid w:val="00991075"/>
    <w:rsid w:val="009934AB"/>
    <w:rsid w:val="009944AA"/>
    <w:rsid w:val="009944D1"/>
    <w:rsid w:val="00994EB4"/>
    <w:rsid w:val="00995624"/>
    <w:rsid w:val="009966EC"/>
    <w:rsid w:val="00996A58"/>
    <w:rsid w:val="00996BD5"/>
    <w:rsid w:val="00997A43"/>
    <w:rsid w:val="00997B85"/>
    <w:rsid w:val="00997C09"/>
    <w:rsid w:val="00997D43"/>
    <w:rsid w:val="009A052C"/>
    <w:rsid w:val="009A1081"/>
    <w:rsid w:val="009A170C"/>
    <w:rsid w:val="009A2A8C"/>
    <w:rsid w:val="009A2FAA"/>
    <w:rsid w:val="009A3128"/>
    <w:rsid w:val="009A355D"/>
    <w:rsid w:val="009A4093"/>
    <w:rsid w:val="009A4810"/>
    <w:rsid w:val="009A6093"/>
    <w:rsid w:val="009A766F"/>
    <w:rsid w:val="009A792B"/>
    <w:rsid w:val="009B078F"/>
    <w:rsid w:val="009B35D8"/>
    <w:rsid w:val="009B3AF7"/>
    <w:rsid w:val="009B3BEE"/>
    <w:rsid w:val="009B5730"/>
    <w:rsid w:val="009B6F4E"/>
    <w:rsid w:val="009B7D45"/>
    <w:rsid w:val="009B7E32"/>
    <w:rsid w:val="009C0299"/>
    <w:rsid w:val="009C0FC4"/>
    <w:rsid w:val="009C3C6B"/>
    <w:rsid w:val="009C7452"/>
    <w:rsid w:val="009D0AA9"/>
    <w:rsid w:val="009D1357"/>
    <w:rsid w:val="009D16BA"/>
    <w:rsid w:val="009D2020"/>
    <w:rsid w:val="009D223F"/>
    <w:rsid w:val="009D2DA8"/>
    <w:rsid w:val="009D3070"/>
    <w:rsid w:val="009D35F0"/>
    <w:rsid w:val="009D4E22"/>
    <w:rsid w:val="009D5A0C"/>
    <w:rsid w:val="009D7FF4"/>
    <w:rsid w:val="009E063D"/>
    <w:rsid w:val="009E0A56"/>
    <w:rsid w:val="009E12D0"/>
    <w:rsid w:val="009E2619"/>
    <w:rsid w:val="009E2FD8"/>
    <w:rsid w:val="009E36A8"/>
    <w:rsid w:val="009E3E78"/>
    <w:rsid w:val="009E4FF9"/>
    <w:rsid w:val="009E5DE0"/>
    <w:rsid w:val="009E6A7C"/>
    <w:rsid w:val="009F20D2"/>
    <w:rsid w:val="009F255F"/>
    <w:rsid w:val="009F2A7A"/>
    <w:rsid w:val="009F2D44"/>
    <w:rsid w:val="009F45C3"/>
    <w:rsid w:val="009F5930"/>
    <w:rsid w:val="009F5BE2"/>
    <w:rsid w:val="009F6A55"/>
    <w:rsid w:val="00A01A41"/>
    <w:rsid w:val="00A025B4"/>
    <w:rsid w:val="00A02903"/>
    <w:rsid w:val="00A0352A"/>
    <w:rsid w:val="00A03636"/>
    <w:rsid w:val="00A04C07"/>
    <w:rsid w:val="00A04D25"/>
    <w:rsid w:val="00A07478"/>
    <w:rsid w:val="00A07E0F"/>
    <w:rsid w:val="00A10E3C"/>
    <w:rsid w:val="00A119CB"/>
    <w:rsid w:val="00A1282F"/>
    <w:rsid w:val="00A12BB2"/>
    <w:rsid w:val="00A1329E"/>
    <w:rsid w:val="00A13953"/>
    <w:rsid w:val="00A13B1B"/>
    <w:rsid w:val="00A16533"/>
    <w:rsid w:val="00A16A6B"/>
    <w:rsid w:val="00A16DDB"/>
    <w:rsid w:val="00A235F6"/>
    <w:rsid w:val="00A23B53"/>
    <w:rsid w:val="00A276F8"/>
    <w:rsid w:val="00A2797C"/>
    <w:rsid w:val="00A30149"/>
    <w:rsid w:val="00A30E25"/>
    <w:rsid w:val="00A31753"/>
    <w:rsid w:val="00A354F1"/>
    <w:rsid w:val="00A35D47"/>
    <w:rsid w:val="00A3627B"/>
    <w:rsid w:val="00A367D5"/>
    <w:rsid w:val="00A374E0"/>
    <w:rsid w:val="00A37600"/>
    <w:rsid w:val="00A37F73"/>
    <w:rsid w:val="00A4088C"/>
    <w:rsid w:val="00A410B2"/>
    <w:rsid w:val="00A4200F"/>
    <w:rsid w:val="00A43587"/>
    <w:rsid w:val="00A44554"/>
    <w:rsid w:val="00A475FD"/>
    <w:rsid w:val="00A47DEB"/>
    <w:rsid w:val="00A51858"/>
    <w:rsid w:val="00A52701"/>
    <w:rsid w:val="00A53D46"/>
    <w:rsid w:val="00A54144"/>
    <w:rsid w:val="00A551D5"/>
    <w:rsid w:val="00A5657C"/>
    <w:rsid w:val="00A60271"/>
    <w:rsid w:val="00A61347"/>
    <w:rsid w:val="00A61675"/>
    <w:rsid w:val="00A61C78"/>
    <w:rsid w:val="00A62924"/>
    <w:rsid w:val="00A632D9"/>
    <w:rsid w:val="00A633A6"/>
    <w:rsid w:val="00A63FBE"/>
    <w:rsid w:val="00A64FB4"/>
    <w:rsid w:val="00A660D3"/>
    <w:rsid w:val="00A66588"/>
    <w:rsid w:val="00A6677A"/>
    <w:rsid w:val="00A66979"/>
    <w:rsid w:val="00A675A2"/>
    <w:rsid w:val="00A677FD"/>
    <w:rsid w:val="00A704D4"/>
    <w:rsid w:val="00A7219B"/>
    <w:rsid w:val="00A721A9"/>
    <w:rsid w:val="00A72873"/>
    <w:rsid w:val="00A72D25"/>
    <w:rsid w:val="00A73C59"/>
    <w:rsid w:val="00A73F00"/>
    <w:rsid w:val="00A7425E"/>
    <w:rsid w:val="00A74B5E"/>
    <w:rsid w:val="00A75C06"/>
    <w:rsid w:val="00A76CB5"/>
    <w:rsid w:val="00A76FD1"/>
    <w:rsid w:val="00A779FF"/>
    <w:rsid w:val="00A77FE8"/>
    <w:rsid w:val="00A8091F"/>
    <w:rsid w:val="00A80A91"/>
    <w:rsid w:val="00A80C6B"/>
    <w:rsid w:val="00A81285"/>
    <w:rsid w:val="00A81A90"/>
    <w:rsid w:val="00A81CD4"/>
    <w:rsid w:val="00A8252E"/>
    <w:rsid w:val="00A847A5"/>
    <w:rsid w:val="00A85546"/>
    <w:rsid w:val="00A8585F"/>
    <w:rsid w:val="00A85ACD"/>
    <w:rsid w:val="00A86C66"/>
    <w:rsid w:val="00A870C9"/>
    <w:rsid w:val="00A87454"/>
    <w:rsid w:val="00A878D8"/>
    <w:rsid w:val="00A91178"/>
    <w:rsid w:val="00A925DD"/>
    <w:rsid w:val="00A96D5F"/>
    <w:rsid w:val="00A97F6B"/>
    <w:rsid w:val="00AA047B"/>
    <w:rsid w:val="00AA0562"/>
    <w:rsid w:val="00AA1A6F"/>
    <w:rsid w:val="00AA3817"/>
    <w:rsid w:val="00AA3EEC"/>
    <w:rsid w:val="00AA49B3"/>
    <w:rsid w:val="00AA540F"/>
    <w:rsid w:val="00AA575A"/>
    <w:rsid w:val="00AA636B"/>
    <w:rsid w:val="00AB0A01"/>
    <w:rsid w:val="00AB0C78"/>
    <w:rsid w:val="00AB2259"/>
    <w:rsid w:val="00AB23E8"/>
    <w:rsid w:val="00AB23ED"/>
    <w:rsid w:val="00AB41DD"/>
    <w:rsid w:val="00AB4633"/>
    <w:rsid w:val="00AC00C3"/>
    <w:rsid w:val="00AC07B0"/>
    <w:rsid w:val="00AC0BF3"/>
    <w:rsid w:val="00AC2755"/>
    <w:rsid w:val="00AC2856"/>
    <w:rsid w:val="00AC3C11"/>
    <w:rsid w:val="00AC3D09"/>
    <w:rsid w:val="00AC3EAA"/>
    <w:rsid w:val="00AC42A6"/>
    <w:rsid w:val="00AC46CF"/>
    <w:rsid w:val="00AC4E52"/>
    <w:rsid w:val="00AC5C43"/>
    <w:rsid w:val="00AC6CC5"/>
    <w:rsid w:val="00AD01B1"/>
    <w:rsid w:val="00AD0C62"/>
    <w:rsid w:val="00AD179D"/>
    <w:rsid w:val="00AD1B8A"/>
    <w:rsid w:val="00AD2D6B"/>
    <w:rsid w:val="00AD49D3"/>
    <w:rsid w:val="00AD521D"/>
    <w:rsid w:val="00AD6603"/>
    <w:rsid w:val="00AE030C"/>
    <w:rsid w:val="00AE0971"/>
    <w:rsid w:val="00AE19E7"/>
    <w:rsid w:val="00AE2341"/>
    <w:rsid w:val="00AE28CE"/>
    <w:rsid w:val="00AE3AD1"/>
    <w:rsid w:val="00AE746B"/>
    <w:rsid w:val="00AE7B52"/>
    <w:rsid w:val="00AE7CC8"/>
    <w:rsid w:val="00AE7D96"/>
    <w:rsid w:val="00AF10B6"/>
    <w:rsid w:val="00AF1B66"/>
    <w:rsid w:val="00AF22B0"/>
    <w:rsid w:val="00AF2A3F"/>
    <w:rsid w:val="00AF2B58"/>
    <w:rsid w:val="00AF3C1E"/>
    <w:rsid w:val="00AF72D7"/>
    <w:rsid w:val="00AF7EAD"/>
    <w:rsid w:val="00B00C9B"/>
    <w:rsid w:val="00B00F23"/>
    <w:rsid w:val="00B035D4"/>
    <w:rsid w:val="00B0482E"/>
    <w:rsid w:val="00B04B83"/>
    <w:rsid w:val="00B0528B"/>
    <w:rsid w:val="00B06363"/>
    <w:rsid w:val="00B0738D"/>
    <w:rsid w:val="00B07743"/>
    <w:rsid w:val="00B078A1"/>
    <w:rsid w:val="00B1010C"/>
    <w:rsid w:val="00B1128A"/>
    <w:rsid w:val="00B11469"/>
    <w:rsid w:val="00B11D4B"/>
    <w:rsid w:val="00B13E20"/>
    <w:rsid w:val="00B14698"/>
    <w:rsid w:val="00B154F8"/>
    <w:rsid w:val="00B15C3C"/>
    <w:rsid w:val="00B1654A"/>
    <w:rsid w:val="00B16727"/>
    <w:rsid w:val="00B178D2"/>
    <w:rsid w:val="00B20D8C"/>
    <w:rsid w:val="00B211EC"/>
    <w:rsid w:val="00B219B3"/>
    <w:rsid w:val="00B21F23"/>
    <w:rsid w:val="00B22A40"/>
    <w:rsid w:val="00B230C8"/>
    <w:rsid w:val="00B2322F"/>
    <w:rsid w:val="00B2382C"/>
    <w:rsid w:val="00B23E75"/>
    <w:rsid w:val="00B250E3"/>
    <w:rsid w:val="00B251B2"/>
    <w:rsid w:val="00B26CD6"/>
    <w:rsid w:val="00B27079"/>
    <w:rsid w:val="00B2799F"/>
    <w:rsid w:val="00B33A39"/>
    <w:rsid w:val="00B341CA"/>
    <w:rsid w:val="00B34A6F"/>
    <w:rsid w:val="00B352EF"/>
    <w:rsid w:val="00B36BF5"/>
    <w:rsid w:val="00B37550"/>
    <w:rsid w:val="00B37DF8"/>
    <w:rsid w:val="00B40AC3"/>
    <w:rsid w:val="00B4144B"/>
    <w:rsid w:val="00B41AAD"/>
    <w:rsid w:val="00B445C5"/>
    <w:rsid w:val="00B46835"/>
    <w:rsid w:val="00B46D04"/>
    <w:rsid w:val="00B50491"/>
    <w:rsid w:val="00B51AC6"/>
    <w:rsid w:val="00B521E6"/>
    <w:rsid w:val="00B52A3F"/>
    <w:rsid w:val="00B5304A"/>
    <w:rsid w:val="00B54586"/>
    <w:rsid w:val="00B55BEA"/>
    <w:rsid w:val="00B562AA"/>
    <w:rsid w:val="00B57559"/>
    <w:rsid w:val="00B60594"/>
    <w:rsid w:val="00B60964"/>
    <w:rsid w:val="00B61DEA"/>
    <w:rsid w:val="00B61F0D"/>
    <w:rsid w:val="00B62F4C"/>
    <w:rsid w:val="00B63A2E"/>
    <w:rsid w:val="00B64584"/>
    <w:rsid w:val="00B6462C"/>
    <w:rsid w:val="00B65F48"/>
    <w:rsid w:val="00B668AD"/>
    <w:rsid w:val="00B70275"/>
    <w:rsid w:val="00B70D71"/>
    <w:rsid w:val="00B712D5"/>
    <w:rsid w:val="00B72045"/>
    <w:rsid w:val="00B7245F"/>
    <w:rsid w:val="00B7259E"/>
    <w:rsid w:val="00B72811"/>
    <w:rsid w:val="00B73C10"/>
    <w:rsid w:val="00B754BF"/>
    <w:rsid w:val="00B75888"/>
    <w:rsid w:val="00B759F6"/>
    <w:rsid w:val="00B77DD4"/>
    <w:rsid w:val="00B80484"/>
    <w:rsid w:val="00B80F8B"/>
    <w:rsid w:val="00B81172"/>
    <w:rsid w:val="00B82608"/>
    <w:rsid w:val="00B83184"/>
    <w:rsid w:val="00B83321"/>
    <w:rsid w:val="00B840DF"/>
    <w:rsid w:val="00B84E07"/>
    <w:rsid w:val="00B8614E"/>
    <w:rsid w:val="00B86A9E"/>
    <w:rsid w:val="00B86B3E"/>
    <w:rsid w:val="00B87400"/>
    <w:rsid w:val="00B91C92"/>
    <w:rsid w:val="00B91F59"/>
    <w:rsid w:val="00B925A5"/>
    <w:rsid w:val="00B92AF5"/>
    <w:rsid w:val="00B93B21"/>
    <w:rsid w:val="00B9708E"/>
    <w:rsid w:val="00B9775D"/>
    <w:rsid w:val="00BA21CB"/>
    <w:rsid w:val="00BA28ED"/>
    <w:rsid w:val="00BA3174"/>
    <w:rsid w:val="00BA36E6"/>
    <w:rsid w:val="00BA57D7"/>
    <w:rsid w:val="00BA5F16"/>
    <w:rsid w:val="00BA5F26"/>
    <w:rsid w:val="00BA5FC8"/>
    <w:rsid w:val="00BA60E8"/>
    <w:rsid w:val="00BA63D2"/>
    <w:rsid w:val="00BA6891"/>
    <w:rsid w:val="00BA6BD7"/>
    <w:rsid w:val="00BA7150"/>
    <w:rsid w:val="00BA79DA"/>
    <w:rsid w:val="00BA7ADF"/>
    <w:rsid w:val="00BA7FC4"/>
    <w:rsid w:val="00BB32F6"/>
    <w:rsid w:val="00BB5AB2"/>
    <w:rsid w:val="00BB6F99"/>
    <w:rsid w:val="00BB7E8E"/>
    <w:rsid w:val="00BC041D"/>
    <w:rsid w:val="00BC0E93"/>
    <w:rsid w:val="00BC1657"/>
    <w:rsid w:val="00BC1C2B"/>
    <w:rsid w:val="00BC2CC4"/>
    <w:rsid w:val="00BC42E1"/>
    <w:rsid w:val="00BC601C"/>
    <w:rsid w:val="00BC6A8C"/>
    <w:rsid w:val="00BC7ADA"/>
    <w:rsid w:val="00BD1F8B"/>
    <w:rsid w:val="00BD296A"/>
    <w:rsid w:val="00BD2BC1"/>
    <w:rsid w:val="00BD3886"/>
    <w:rsid w:val="00BD3BDB"/>
    <w:rsid w:val="00BD44BD"/>
    <w:rsid w:val="00BD50B7"/>
    <w:rsid w:val="00BD6095"/>
    <w:rsid w:val="00BD60E3"/>
    <w:rsid w:val="00BE1183"/>
    <w:rsid w:val="00BE119C"/>
    <w:rsid w:val="00BE38E5"/>
    <w:rsid w:val="00BE3EF1"/>
    <w:rsid w:val="00BE516B"/>
    <w:rsid w:val="00BE536C"/>
    <w:rsid w:val="00BE5BCA"/>
    <w:rsid w:val="00BE60B5"/>
    <w:rsid w:val="00BE6504"/>
    <w:rsid w:val="00BE6730"/>
    <w:rsid w:val="00BE6ADF"/>
    <w:rsid w:val="00BE6D7E"/>
    <w:rsid w:val="00BE6DDA"/>
    <w:rsid w:val="00BE7704"/>
    <w:rsid w:val="00BE773D"/>
    <w:rsid w:val="00BF114D"/>
    <w:rsid w:val="00BF27CC"/>
    <w:rsid w:val="00BF33A7"/>
    <w:rsid w:val="00BF3651"/>
    <w:rsid w:val="00BF4D9A"/>
    <w:rsid w:val="00BF5BE6"/>
    <w:rsid w:val="00BF5F08"/>
    <w:rsid w:val="00BF6879"/>
    <w:rsid w:val="00BF77F7"/>
    <w:rsid w:val="00BF7D81"/>
    <w:rsid w:val="00C009A8"/>
    <w:rsid w:val="00C00DBC"/>
    <w:rsid w:val="00C0176E"/>
    <w:rsid w:val="00C01BDE"/>
    <w:rsid w:val="00C01DCC"/>
    <w:rsid w:val="00C02755"/>
    <w:rsid w:val="00C02A90"/>
    <w:rsid w:val="00C02CEB"/>
    <w:rsid w:val="00C0375E"/>
    <w:rsid w:val="00C037D1"/>
    <w:rsid w:val="00C03F0D"/>
    <w:rsid w:val="00C052BB"/>
    <w:rsid w:val="00C05A82"/>
    <w:rsid w:val="00C06751"/>
    <w:rsid w:val="00C0775E"/>
    <w:rsid w:val="00C118D5"/>
    <w:rsid w:val="00C11F06"/>
    <w:rsid w:val="00C1253F"/>
    <w:rsid w:val="00C12771"/>
    <w:rsid w:val="00C12FAF"/>
    <w:rsid w:val="00C13623"/>
    <w:rsid w:val="00C13D4F"/>
    <w:rsid w:val="00C13F7F"/>
    <w:rsid w:val="00C15520"/>
    <w:rsid w:val="00C165B6"/>
    <w:rsid w:val="00C2014A"/>
    <w:rsid w:val="00C223CC"/>
    <w:rsid w:val="00C2244C"/>
    <w:rsid w:val="00C23440"/>
    <w:rsid w:val="00C23878"/>
    <w:rsid w:val="00C23E05"/>
    <w:rsid w:val="00C24070"/>
    <w:rsid w:val="00C26D48"/>
    <w:rsid w:val="00C2719F"/>
    <w:rsid w:val="00C27DD6"/>
    <w:rsid w:val="00C308B9"/>
    <w:rsid w:val="00C32EC1"/>
    <w:rsid w:val="00C32ED9"/>
    <w:rsid w:val="00C33C12"/>
    <w:rsid w:val="00C33FFD"/>
    <w:rsid w:val="00C34223"/>
    <w:rsid w:val="00C3529A"/>
    <w:rsid w:val="00C367C3"/>
    <w:rsid w:val="00C36D38"/>
    <w:rsid w:val="00C37240"/>
    <w:rsid w:val="00C37422"/>
    <w:rsid w:val="00C37D83"/>
    <w:rsid w:val="00C40D78"/>
    <w:rsid w:val="00C417DD"/>
    <w:rsid w:val="00C42678"/>
    <w:rsid w:val="00C43760"/>
    <w:rsid w:val="00C441C0"/>
    <w:rsid w:val="00C4534E"/>
    <w:rsid w:val="00C45598"/>
    <w:rsid w:val="00C45BD7"/>
    <w:rsid w:val="00C467FC"/>
    <w:rsid w:val="00C469F4"/>
    <w:rsid w:val="00C476CD"/>
    <w:rsid w:val="00C476D9"/>
    <w:rsid w:val="00C504BF"/>
    <w:rsid w:val="00C51945"/>
    <w:rsid w:val="00C52E58"/>
    <w:rsid w:val="00C5388A"/>
    <w:rsid w:val="00C54560"/>
    <w:rsid w:val="00C54882"/>
    <w:rsid w:val="00C55522"/>
    <w:rsid w:val="00C55DE7"/>
    <w:rsid w:val="00C561C6"/>
    <w:rsid w:val="00C56525"/>
    <w:rsid w:val="00C57D14"/>
    <w:rsid w:val="00C60429"/>
    <w:rsid w:val="00C60C5D"/>
    <w:rsid w:val="00C60CE0"/>
    <w:rsid w:val="00C60CFD"/>
    <w:rsid w:val="00C61129"/>
    <w:rsid w:val="00C61589"/>
    <w:rsid w:val="00C61C92"/>
    <w:rsid w:val="00C62A6E"/>
    <w:rsid w:val="00C62F8A"/>
    <w:rsid w:val="00C631B2"/>
    <w:rsid w:val="00C631C4"/>
    <w:rsid w:val="00C63924"/>
    <w:rsid w:val="00C65320"/>
    <w:rsid w:val="00C656F7"/>
    <w:rsid w:val="00C6609D"/>
    <w:rsid w:val="00C67D76"/>
    <w:rsid w:val="00C700B7"/>
    <w:rsid w:val="00C70458"/>
    <w:rsid w:val="00C706BE"/>
    <w:rsid w:val="00C7076B"/>
    <w:rsid w:val="00C70930"/>
    <w:rsid w:val="00C70D00"/>
    <w:rsid w:val="00C70E51"/>
    <w:rsid w:val="00C72233"/>
    <w:rsid w:val="00C7270F"/>
    <w:rsid w:val="00C72CFE"/>
    <w:rsid w:val="00C74297"/>
    <w:rsid w:val="00C745FF"/>
    <w:rsid w:val="00C7533B"/>
    <w:rsid w:val="00C75742"/>
    <w:rsid w:val="00C7606C"/>
    <w:rsid w:val="00C7629B"/>
    <w:rsid w:val="00C76B02"/>
    <w:rsid w:val="00C774E4"/>
    <w:rsid w:val="00C77808"/>
    <w:rsid w:val="00C804B5"/>
    <w:rsid w:val="00C80566"/>
    <w:rsid w:val="00C8093B"/>
    <w:rsid w:val="00C813EA"/>
    <w:rsid w:val="00C81938"/>
    <w:rsid w:val="00C82412"/>
    <w:rsid w:val="00C83517"/>
    <w:rsid w:val="00C83829"/>
    <w:rsid w:val="00C83A8F"/>
    <w:rsid w:val="00C84014"/>
    <w:rsid w:val="00C84887"/>
    <w:rsid w:val="00C85E67"/>
    <w:rsid w:val="00C86440"/>
    <w:rsid w:val="00C87FE8"/>
    <w:rsid w:val="00C919CC"/>
    <w:rsid w:val="00C922B3"/>
    <w:rsid w:val="00C92907"/>
    <w:rsid w:val="00C935A2"/>
    <w:rsid w:val="00C97AAF"/>
    <w:rsid w:val="00C97D4A"/>
    <w:rsid w:val="00CA0657"/>
    <w:rsid w:val="00CA0D11"/>
    <w:rsid w:val="00CA1FE2"/>
    <w:rsid w:val="00CA30ED"/>
    <w:rsid w:val="00CA32AE"/>
    <w:rsid w:val="00CA4A1D"/>
    <w:rsid w:val="00CA4CB0"/>
    <w:rsid w:val="00CA53CD"/>
    <w:rsid w:val="00CA62AD"/>
    <w:rsid w:val="00CA66A1"/>
    <w:rsid w:val="00CA77ED"/>
    <w:rsid w:val="00CA7ACA"/>
    <w:rsid w:val="00CA7C4E"/>
    <w:rsid w:val="00CB2CD3"/>
    <w:rsid w:val="00CB2D8B"/>
    <w:rsid w:val="00CB310D"/>
    <w:rsid w:val="00CB3755"/>
    <w:rsid w:val="00CB3989"/>
    <w:rsid w:val="00CB4109"/>
    <w:rsid w:val="00CB42B8"/>
    <w:rsid w:val="00CB568C"/>
    <w:rsid w:val="00CB5A39"/>
    <w:rsid w:val="00CB5DC6"/>
    <w:rsid w:val="00CB63D2"/>
    <w:rsid w:val="00CB6510"/>
    <w:rsid w:val="00CB7F4E"/>
    <w:rsid w:val="00CC0E4A"/>
    <w:rsid w:val="00CC101B"/>
    <w:rsid w:val="00CC1D0D"/>
    <w:rsid w:val="00CC1DF1"/>
    <w:rsid w:val="00CC1EAB"/>
    <w:rsid w:val="00CC2D7B"/>
    <w:rsid w:val="00CC338B"/>
    <w:rsid w:val="00CC36AF"/>
    <w:rsid w:val="00CC3883"/>
    <w:rsid w:val="00CC45DA"/>
    <w:rsid w:val="00CC58FE"/>
    <w:rsid w:val="00CC5AB2"/>
    <w:rsid w:val="00CC69B9"/>
    <w:rsid w:val="00CC71ED"/>
    <w:rsid w:val="00CC746C"/>
    <w:rsid w:val="00CC76C3"/>
    <w:rsid w:val="00CD048F"/>
    <w:rsid w:val="00CD0966"/>
    <w:rsid w:val="00CD10F3"/>
    <w:rsid w:val="00CD3227"/>
    <w:rsid w:val="00CD3333"/>
    <w:rsid w:val="00CD37AA"/>
    <w:rsid w:val="00CD400B"/>
    <w:rsid w:val="00CD421F"/>
    <w:rsid w:val="00CD4C5A"/>
    <w:rsid w:val="00CD5E8E"/>
    <w:rsid w:val="00CD7641"/>
    <w:rsid w:val="00CE063A"/>
    <w:rsid w:val="00CE0A14"/>
    <w:rsid w:val="00CE144C"/>
    <w:rsid w:val="00CE254F"/>
    <w:rsid w:val="00CE3946"/>
    <w:rsid w:val="00CE62FD"/>
    <w:rsid w:val="00CE70AC"/>
    <w:rsid w:val="00CF03EB"/>
    <w:rsid w:val="00CF06C1"/>
    <w:rsid w:val="00CF1B9C"/>
    <w:rsid w:val="00CF273B"/>
    <w:rsid w:val="00CF333D"/>
    <w:rsid w:val="00CF43A4"/>
    <w:rsid w:val="00CF61D9"/>
    <w:rsid w:val="00CF76D1"/>
    <w:rsid w:val="00D001FE"/>
    <w:rsid w:val="00D003D6"/>
    <w:rsid w:val="00D00457"/>
    <w:rsid w:val="00D021AF"/>
    <w:rsid w:val="00D021F1"/>
    <w:rsid w:val="00D027CC"/>
    <w:rsid w:val="00D06B37"/>
    <w:rsid w:val="00D07EC9"/>
    <w:rsid w:val="00D100DA"/>
    <w:rsid w:val="00D10AF2"/>
    <w:rsid w:val="00D11C96"/>
    <w:rsid w:val="00D15B38"/>
    <w:rsid w:val="00D166E1"/>
    <w:rsid w:val="00D2349C"/>
    <w:rsid w:val="00D23C46"/>
    <w:rsid w:val="00D244C9"/>
    <w:rsid w:val="00D26039"/>
    <w:rsid w:val="00D2638E"/>
    <w:rsid w:val="00D26B13"/>
    <w:rsid w:val="00D276FB"/>
    <w:rsid w:val="00D27D11"/>
    <w:rsid w:val="00D30F15"/>
    <w:rsid w:val="00D32466"/>
    <w:rsid w:val="00D3366C"/>
    <w:rsid w:val="00D33E21"/>
    <w:rsid w:val="00D34FD9"/>
    <w:rsid w:val="00D408F6"/>
    <w:rsid w:val="00D4180C"/>
    <w:rsid w:val="00D41A86"/>
    <w:rsid w:val="00D42F29"/>
    <w:rsid w:val="00D4381F"/>
    <w:rsid w:val="00D43F4F"/>
    <w:rsid w:val="00D46CDF"/>
    <w:rsid w:val="00D4789E"/>
    <w:rsid w:val="00D5045A"/>
    <w:rsid w:val="00D50CDC"/>
    <w:rsid w:val="00D5169A"/>
    <w:rsid w:val="00D518E1"/>
    <w:rsid w:val="00D5463C"/>
    <w:rsid w:val="00D55216"/>
    <w:rsid w:val="00D55E33"/>
    <w:rsid w:val="00D5655C"/>
    <w:rsid w:val="00D569EE"/>
    <w:rsid w:val="00D56A1E"/>
    <w:rsid w:val="00D60651"/>
    <w:rsid w:val="00D61DEE"/>
    <w:rsid w:val="00D6247C"/>
    <w:rsid w:val="00D62A61"/>
    <w:rsid w:val="00D63085"/>
    <w:rsid w:val="00D63BC3"/>
    <w:rsid w:val="00D6469E"/>
    <w:rsid w:val="00D71DFB"/>
    <w:rsid w:val="00D726E1"/>
    <w:rsid w:val="00D72786"/>
    <w:rsid w:val="00D72825"/>
    <w:rsid w:val="00D7342E"/>
    <w:rsid w:val="00D7621C"/>
    <w:rsid w:val="00D763AF"/>
    <w:rsid w:val="00D765A1"/>
    <w:rsid w:val="00D770D8"/>
    <w:rsid w:val="00D82229"/>
    <w:rsid w:val="00D84164"/>
    <w:rsid w:val="00D85961"/>
    <w:rsid w:val="00D85E6F"/>
    <w:rsid w:val="00D86CBE"/>
    <w:rsid w:val="00D90554"/>
    <w:rsid w:val="00D90621"/>
    <w:rsid w:val="00D91310"/>
    <w:rsid w:val="00D91A78"/>
    <w:rsid w:val="00D9280E"/>
    <w:rsid w:val="00D92C2B"/>
    <w:rsid w:val="00D92D7B"/>
    <w:rsid w:val="00D93B62"/>
    <w:rsid w:val="00D94C95"/>
    <w:rsid w:val="00D95006"/>
    <w:rsid w:val="00D9530F"/>
    <w:rsid w:val="00D95859"/>
    <w:rsid w:val="00D95CDA"/>
    <w:rsid w:val="00D96901"/>
    <w:rsid w:val="00DA282F"/>
    <w:rsid w:val="00DA2CA3"/>
    <w:rsid w:val="00DA4808"/>
    <w:rsid w:val="00DB1A1E"/>
    <w:rsid w:val="00DB1A2C"/>
    <w:rsid w:val="00DB1E39"/>
    <w:rsid w:val="00DB29E2"/>
    <w:rsid w:val="00DB3C2C"/>
    <w:rsid w:val="00DB3D2E"/>
    <w:rsid w:val="00DB4117"/>
    <w:rsid w:val="00DB4D63"/>
    <w:rsid w:val="00DB5BEF"/>
    <w:rsid w:val="00DB6EDC"/>
    <w:rsid w:val="00DC0898"/>
    <w:rsid w:val="00DC25EF"/>
    <w:rsid w:val="00DC400B"/>
    <w:rsid w:val="00DC6F31"/>
    <w:rsid w:val="00DC752D"/>
    <w:rsid w:val="00DC7B1F"/>
    <w:rsid w:val="00DD0FF2"/>
    <w:rsid w:val="00DD12DF"/>
    <w:rsid w:val="00DD17D8"/>
    <w:rsid w:val="00DD2954"/>
    <w:rsid w:val="00DD326F"/>
    <w:rsid w:val="00DD35EF"/>
    <w:rsid w:val="00DD3668"/>
    <w:rsid w:val="00DD4500"/>
    <w:rsid w:val="00DD6944"/>
    <w:rsid w:val="00DD725D"/>
    <w:rsid w:val="00DD7563"/>
    <w:rsid w:val="00DE14B3"/>
    <w:rsid w:val="00DE1BE2"/>
    <w:rsid w:val="00DE1E7A"/>
    <w:rsid w:val="00DE2A56"/>
    <w:rsid w:val="00DE31A3"/>
    <w:rsid w:val="00DE3928"/>
    <w:rsid w:val="00DE4795"/>
    <w:rsid w:val="00DE4985"/>
    <w:rsid w:val="00DE4E2D"/>
    <w:rsid w:val="00DE6A42"/>
    <w:rsid w:val="00DE7FD9"/>
    <w:rsid w:val="00DF0314"/>
    <w:rsid w:val="00DF2752"/>
    <w:rsid w:val="00DF350D"/>
    <w:rsid w:val="00DF3717"/>
    <w:rsid w:val="00DF3CBA"/>
    <w:rsid w:val="00DF517D"/>
    <w:rsid w:val="00E00E28"/>
    <w:rsid w:val="00E00E67"/>
    <w:rsid w:val="00E03367"/>
    <w:rsid w:val="00E04B82"/>
    <w:rsid w:val="00E04F9B"/>
    <w:rsid w:val="00E051C5"/>
    <w:rsid w:val="00E07170"/>
    <w:rsid w:val="00E07258"/>
    <w:rsid w:val="00E07290"/>
    <w:rsid w:val="00E07766"/>
    <w:rsid w:val="00E11DFD"/>
    <w:rsid w:val="00E12855"/>
    <w:rsid w:val="00E13693"/>
    <w:rsid w:val="00E136CE"/>
    <w:rsid w:val="00E13EBA"/>
    <w:rsid w:val="00E14544"/>
    <w:rsid w:val="00E152D8"/>
    <w:rsid w:val="00E15EB5"/>
    <w:rsid w:val="00E1672F"/>
    <w:rsid w:val="00E16EAD"/>
    <w:rsid w:val="00E2547E"/>
    <w:rsid w:val="00E254C6"/>
    <w:rsid w:val="00E2592F"/>
    <w:rsid w:val="00E27E7A"/>
    <w:rsid w:val="00E309DE"/>
    <w:rsid w:val="00E3180E"/>
    <w:rsid w:val="00E31A37"/>
    <w:rsid w:val="00E33391"/>
    <w:rsid w:val="00E3347F"/>
    <w:rsid w:val="00E3397E"/>
    <w:rsid w:val="00E343C9"/>
    <w:rsid w:val="00E35FB3"/>
    <w:rsid w:val="00E3618B"/>
    <w:rsid w:val="00E36D78"/>
    <w:rsid w:val="00E36D7F"/>
    <w:rsid w:val="00E36F44"/>
    <w:rsid w:val="00E3747C"/>
    <w:rsid w:val="00E37A1E"/>
    <w:rsid w:val="00E37A6D"/>
    <w:rsid w:val="00E40D6E"/>
    <w:rsid w:val="00E41819"/>
    <w:rsid w:val="00E42973"/>
    <w:rsid w:val="00E432CB"/>
    <w:rsid w:val="00E44413"/>
    <w:rsid w:val="00E4595E"/>
    <w:rsid w:val="00E46E2A"/>
    <w:rsid w:val="00E47CC0"/>
    <w:rsid w:val="00E5036D"/>
    <w:rsid w:val="00E5196D"/>
    <w:rsid w:val="00E51F33"/>
    <w:rsid w:val="00E52CC0"/>
    <w:rsid w:val="00E530A4"/>
    <w:rsid w:val="00E53322"/>
    <w:rsid w:val="00E534DB"/>
    <w:rsid w:val="00E55040"/>
    <w:rsid w:val="00E55B2D"/>
    <w:rsid w:val="00E55FF1"/>
    <w:rsid w:val="00E5639D"/>
    <w:rsid w:val="00E57F72"/>
    <w:rsid w:val="00E623D0"/>
    <w:rsid w:val="00E638FC"/>
    <w:rsid w:val="00E64588"/>
    <w:rsid w:val="00E64780"/>
    <w:rsid w:val="00E64F17"/>
    <w:rsid w:val="00E671D5"/>
    <w:rsid w:val="00E7186A"/>
    <w:rsid w:val="00E73380"/>
    <w:rsid w:val="00E7482D"/>
    <w:rsid w:val="00E76432"/>
    <w:rsid w:val="00E803B0"/>
    <w:rsid w:val="00E804B7"/>
    <w:rsid w:val="00E806D3"/>
    <w:rsid w:val="00E807E1"/>
    <w:rsid w:val="00E82041"/>
    <w:rsid w:val="00E828DF"/>
    <w:rsid w:val="00E83ADC"/>
    <w:rsid w:val="00E83C8F"/>
    <w:rsid w:val="00E84F8E"/>
    <w:rsid w:val="00E85450"/>
    <w:rsid w:val="00E86A74"/>
    <w:rsid w:val="00E915B1"/>
    <w:rsid w:val="00E91765"/>
    <w:rsid w:val="00E91C34"/>
    <w:rsid w:val="00E921C5"/>
    <w:rsid w:val="00E9310D"/>
    <w:rsid w:val="00E945A1"/>
    <w:rsid w:val="00E97581"/>
    <w:rsid w:val="00EA1E84"/>
    <w:rsid w:val="00EA1F91"/>
    <w:rsid w:val="00EA3028"/>
    <w:rsid w:val="00EA347F"/>
    <w:rsid w:val="00EA4E54"/>
    <w:rsid w:val="00EA5921"/>
    <w:rsid w:val="00EA5C48"/>
    <w:rsid w:val="00EA768B"/>
    <w:rsid w:val="00EB18F2"/>
    <w:rsid w:val="00EB1B3B"/>
    <w:rsid w:val="00EB25D7"/>
    <w:rsid w:val="00EB4D8F"/>
    <w:rsid w:val="00EB6948"/>
    <w:rsid w:val="00EB6E15"/>
    <w:rsid w:val="00EC0032"/>
    <w:rsid w:val="00EC06AB"/>
    <w:rsid w:val="00EC12E8"/>
    <w:rsid w:val="00EC289A"/>
    <w:rsid w:val="00EC4F76"/>
    <w:rsid w:val="00EC5B60"/>
    <w:rsid w:val="00EC7063"/>
    <w:rsid w:val="00EC79E8"/>
    <w:rsid w:val="00ED01B6"/>
    <w:rsid w:val="00ED07EF"/>
    <w:rsid w:val="00ED0BE5"/>
    <w:rsid w:val="00ED0E72"/>
    <w:rsid w:val="00ED1DD4"/>
    <w:rsid w:val="00ED2E8B"/>
    <w:rsid w:val="00ED46EE"/>
    <w:rsid w:val="00ED53DB"/>
    <w:rsid w:val="00ED684D"/>
    <w:rsid w:val="00ED6F20"/>
    <w:rsid w:val="00ED7744"/>
    <w:rsid w:val="00EE0346"/>
    <w:rsid w:val="00EE0C26"/>
    <w:rsid w:val="00EE0E54"/>
    <w:rsid w:val="00EE0EC7"/>
    <w:rsid w:val="00EE240D"/>
    <w:rsid w:val="00EE295F"/>
    <w:rsid w:val="00EE3488"/>
    <w:rsid w:val="00EE5444"/>
    <w:rsid w:val="00EE6037"/>
    <w:rsid w:val="00EE6343"/>
    <w:rsid w:val="00EE76C0"/>
    <w:rsid w:val="00EF01FA"/>
    <w:rsid w:val="00EF0363"/>
    <w:rsid w:val="00EF0EBB"/>
    <w:rsid w:val="00EF1FB6"/>
    <w:rsid w:val="00EF2EF1"/>
    <w:rsid w:val="00EF48AA"/>
    <w:rsid w:val="00EF6DEF"/>
    <w:rsid w:val="00EF7B3E"/>
    <w:rsid w:val="00F0023D"/>
    <w:rsid w:val="00F00A44"/>
    <w:rsid w:val="00F01A9B"/>
    <w:rsid w:val="00F028AB"/>
    <w:rsid w:val="00F031E4"/>
    <w:rsid w:val="00F05E65"/>
    <w:rsid w:val="00F07E15"/>
    <w:rsid w:val="00F10A12"/>
    <w:rsid w:val="00F111F2"/>
    <w:rsid w:val="00F130BE"/>
    <w:rsid w:val="00F13C5C"/>
    <w:rsid w:val="00F13DC0"/>
    <w:rsid w:val="00F14E87"/>
    <w:rsid w:val="00F16642"/>
    <w:rsid w:val="00F17E39"/>
    <w:rsid w:val="00F2051C"/>
    <w:rsid w:val="00F224C7"/>
    <w:rsid w:val="00F227A4"/>
    <w:rsid w:val="00F22C0F"/>
    <w:rsid w:val="00F23A17"/>
    <w:rsid w:val="00F24839"/>
    <w:rsid w:val="00F25014"/>
    <w:rsid w:val="00F250E3"/>
    <w:rsid w:val="00F2639F"/>
    <w:rsid w:val="00F26F77"/>
    <w:rsid w:val="00F27CA1"/>
    <w:rsid w:val="00F3109D"/>
    <w:rsid w:val="00F31229"/>
    <w:rsid w:val="00F31A9F"/>
    <w:rsid w:val="00F332FF"/>
    <w:rsid w:val="00F33720"/>
    <w:rsid w:val="00F3383A"/>
    <w:rsid w:val="00F344E1"/>
    <w:rsid w:val="00F35645"/>
    <w:rsid w:val="00F35F24"/>
    <w:rsid w:val="00F366B1"/>
    <w:rsid w:val="00F36A1C"/>
    <w:rsid w:val="00F36B3A"/>
    <w:rsid w:val="00F36C27"/>
    <w:rsid w:val="00F36F43"/>
    <w:rsid w:val="00F37EB2"/>
    <w:rsid w:val="00F401F7"/>
    <w:rsid w:val="00F415A7"/>
    <w:rsid w:val="00F41ECE"/>
    <w:rsid w:val="00F4220F"/>
    <w:rsid w:val="00F42369"/>
    <w:rsid w:val="00F43425"/>
    <w:rsid w:val="00F4431C"/>
    <w:rsid w:val="00F45456"/>
    <w:rsid w:val="00F467F0"/>
    <w:rsid w:val="00F473B9"/>
    <w:rsid w:val="00F50984"/>
    <w:rsid w:val="00F5279E"/>
    <w:rsid w:val="00F52E2D"/>
    <w:rsid w:val="00F52F40"/>
    <w:rsid w:val="00F57422"/>
    <w:rsid w:val="00F575B9"/>
    <w:rsid w:val="00F606F7"/>
    <w:rsid w:val="00F610F3"/>
    <w:rsid w:val="00F6196D"/>
    <w:rsid w:val="00F626A5"/>
    <w:rsid w:val="00F62EA9"/>
    <w:rsid w:val="00F630DC"/>
    <w:rsid w:val="00F631E7"/>
    <w:rsid w:val="00F63838"/>
    <w:rsid w:val="00F64601"/>
    <w:rsid w:val="00F64816"/>
    <w:rsid w:val="00F703D4"/>
    <w:rsid w:val="00F7227C"/>
    <w:rsid w:val="00F7273D"/>
    <w:rsid w:val="00F72DFB"/>
    <w:rsid w:val="00F744C2"/>
    <w:rsid w:val="00F745BE"/>
    <w:rsid w:val="00F7484A"/>
    <w:rsid w:val="00F74D42"/>
    <w:rsid w:val="00F76549"/>
    <w:rsid w:val="00F80FB9"/>
    <w:rsid w:val="00F81193"/>
    <w:rsid w:val="00F81B41"/>
    <w:rsid w:val="00F844CD"/>
    <w:rsid w:val="00F85553"/>
    <w:rsid w:val="00F87BD1"/>
    <w:rsid w:val="00F90DA6"/>
    <w:rsid w:val="00F9102E"/>
    <w:rsid w:val="00F91D92"/>
    <w:rsid w:val="00F94CF9"/>
    <w:rsid w:val="00F95962"/>
    <w:rsid w:val="00F976BD"/>
    <w:rsid w:val="00F97946"/>
    <w:rsid w:val="00F97A2A"/>
    <w:rsid w:val="00F97AF6"/>
    <w:rsid w:val="00F97B91"/>
    <w:rsid w:val="00FA07CF"/>
    <w:rsid w:val="00FA3CDC"/>
    <w:rsid w:val="00FA3E32"/>
    <w:rsid w:val="00FA437A"/>
    <w:rsid w:val="00FA4EA1"/>
    <w:rsid w:val="00FA7479"/>
    <w:rsid w:val="00FA7AAA"/>
    <w:rsid w:val="00FA7E18"/>
    <w:rsid w:val="00FB14A5"/>
    <w:rsid w:val="00FB1EEA"/>
    <w:rsid w:val="00FB4A57"/>
    <w:rsid w:val="00FB4A5E"/>
    <w:rsid w:val="00FB4F93"/>
    <w:rsid w:val="00FB58C5"/>
    <w:rsid w:val="00FB595D"/>
    <w:rsid w:val="00FB7271"/>
    <w:rsid w:val="00FB77C5"/>
    <w:rsid w:val="00FC0DA6"/>
    <w:rsid w:val="00FC199D"/>
    <w:rsid w:val="00FC262B"/>
    <w:rsid w:val="00FC4427"/>
    <w:rsid w:val="00FC5F9E"/>
    <w:rsid w:val="00FC6A6B"/>
    <w:rsid w:val="00FC744F"/>
    <w:rsid w:val="00FC7F47"/>
    <w:rsid w:val="00FD05D1"/>
    <w:rsid w:val="00FD2834"/>
    <w:rsid w:val="00FD32DE"/>
    <w:rsid w:val="00FD33A4"/>
    <w:rsid w:val="00FD42EA"/>
    <w:rsid w:val="00FD5AAD"/>
    <w:rsid w:val="00FD65E4"/>
    <w:rsid w:val="00FD7153"/>
    <w:rsid w:val="00FE5718"/>
    <w:rsid w:val="00FE5DA5"/>
    <w:rsid w:val="00FE6E1F"/>
    <w:rsid w:val="00FE6F87"/>
    <w:rsid w:val="00FE773A"/>
    <w:rsid w:val="00FE7944"/>
    <w:rsid w:val="00FE797D"/>
    <w:rsid w:val="00FF00BD"/>
    <w:rsid w:val="00FF01F5"/>
    <w:rsid w:val="00FF0EEE"/>
    <w:rsid w:val="00FF18C7"/>
    <w:rsid w:val="00FF1E90"/>
    <w:rsid w:val="00FF3C5F"/>
    <w:rsid w:val="00FF3E66"/>
    <w:rsid w:val="00FF4954"/>
    <w:rsid w:val="00FF4EFA"/>
    <w:rsid w:val="00FF615E"/>
    <w:rsid w:val="00FF6339"/>
    <w:rsid w:val="00FF6CC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194EA"/>
  <w15:docId w15:val="{68C03398-6295-4684-9FF7-FCA700244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en-US" w:bidi="ar-SA"/>
      </w:rPr>
    </w:rPrDefault>
    <w:pPrDefault>
      <w:pPr>
        <w:spacing w:after="160" w:line="252"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E3488"/>
  </w:style>
  <w:style w:type="paragraph" w:styleId="Heading1">
    <w:name w:val="heading 1"/>
    <w:basedOn w:val="Normal"/>
    <w:next w:val="Normal"/>
    <w:link w:val="Heading1Char"/>
    <w:uiPriority w:val="9"/>
    <w:qFormat/>
    <w:rsid w:val="00EE3488"/>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EE3488"/>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EE3488"/>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EE3488"/>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EE3488"/>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EE3488"/>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EE3488"/>
    <w:pPr>
      <w:keepNext/>
      <w:keepLines/>
      <w:spacing w:before="120" w:after="0"/>
      <w:outlineLvl w:val="6"/>
    </w:pPr>
    <w:rPr>
      <w:i/>
      <w:iCs/>
    </w:rPr>
  </w:style>
  <w:style w:type="paragraph" w:styleId="Heading8">
    <w:name w:val="heading 8"/>
    <w:basedOn w:val="Normal"/>
    <w:next w:val="Normal"/>
    <w:link w:val="Heading8Char"/>
    <w:uiPriority w:val="9"/>
    <w:unhideWhenUsed/>
    <w:qFormat/>
    <w:rsid w:val="00EE3488"/>
    <w:pPr>
      <w:keepNext/>
      <w:keepLines/>
      <w:spacing w:before="120" w:after="0"/>
      <w:outlineLvl w:val="7"/>
    </w:pPr>
    <w:rPr>
      <w:b/>
      <w:bCs/>
    </w:rPr>
  </w:style>
  <w:style w:type="paragraph" w:styleId="Heading9">
    <w:name w:val="heading 9"/>
    <w:basedOn w:val="Normal"/>
    <w:next w:val="Normal"/>
    <w:link w:val="Heading9Char"/>
    <w:uiPriority w:val="9"/>
    <w:unhideWhenUsed/>
    <w:qFormat/>
    <w:rsid w:val="00EE3488"/>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
    <w:name w:val="Naslov1"/>
    <w:next w:val="Normal"/>
    <w:autoRedefine/>
    <w:uiPriority w:val="99"/>
    <w:rsid w:val="00DE14B3"/>
    <w:rPr>
      <w:rFonts w:eastAsiaTheme="majorEastAsia" w:cstheme="majorBidi"/>
      <w:color w:val="003C71"/>
      <w:sz w:val="40"/>
      <w:szCs w:val="32"/>
    </w:rPr>
  </w:style>
  <w:style w:type="character" w:customStyle="1" w:styleId="Heading1Char">
    <w:name w:val="Heading 1 Char"/>
    <w:basedOn w:val="DefaultParagraphFont"/>
    <w:link w:val="Heading1"/>
    <w:uiPriority w:val="9"/>
    <w:rsid w:val="00EE3488"/>
    <w:rPr>
      <w:rFonts w:asciiTheme="majorHAnsi" w:eastAsiaTheme="majorEastAsia" w:hAnsiTheme="majorHAnsi" w:cstheme="majorBidi"/>
      <w:b/>
      <w:bCs/>
      <w:caps/>
      <w:spacing w:val="4"/>
      <w:sz w:val="28"/>
      <w:szCs w:val="28"/>
    </w:rPr>
  </w:style>
  <w:style w:type="paragraph" w:styleId="Header">
    <w:name w:val="header"/>
    <w:basedOn w:val="Normal"/>
    <w:link w:val="HeaderChar"/>
    <w:uiPriority w:val="99"/>
    <w:unhideWhenUsed/>
    <w:rsid w:val="00E27E7A"/>
    <w:pPr>
      <w:tabs>
        <w:tab w:val="center" w:pos="4536"/>
        <w:tab w:val="right" w:pos="9072"/>
      </w:tabs>
    </w:pPr>
  </w:style>
  <w:style w:type="character" w:customStyle="1" w:styleId="HeaderChar">
    <w:name w:val="Header Char"/>
    <w:basedOn w:val="DefaultParagraphFont"/>
    <w:link w:val="Header"/>
    <w:uiPriority w:val="99"/>
    <w:rsid w:val="00E27E7A"/>
  </w:style>
  <w:style w:type="paragraph" w:styleId="Footer">
    <w:name w:val="footer"/>
    <w:basedOn w:val="Normal"/>
    <w:link w:val="FooterChar"/>
    <w:uiPriority w:val="99"/>
    <w:unhideWhenUsed/>
    <w:rsid w:val="00E27E7A"/>
    <w:pPr>
      <w:tabs>
        <w:tab w:val="center" w:pos="4536"/>
        <w:tab w:val="right" w:pos="9072"/>
      </w:tabs>
    </w:pPr>
  </w:style>
  <w:style w:type="character" w:customStyle="1" w:styleId="FooterChar">
    <w:name w:val="Footer Char"/>
    <w:basedOn w:val="DefaultParagraphFont"/>
    <w:link w:val="Footer"/>
    <w:uiPriority w:val="99"/>
    <w:rsid w:val="00E27E7A"/>
  </w:style>
  <w:style w:type="character" w:styleId="Hyperlink">
    <w:name w:val="Hyperlink"/>
    <w:basedOn w:val="DefaultParagraphFont"/>
    <w:uiPriority w:val="99"/>
    <w:unhideWhenUsed/>
    <w:rsid w:val="00E27E7A"/>
    <w:rPr>
      <w:color w:val="0563C1" w:themeColor="hyperlink"/>
      <w:u w:val="single"/>
    </w:rPr>
  </w:style>
  <w:style w:type="table" w:styleId="TableGrid">
    <w:name w:val="Table Grid"/>
    <w:aliases w:val="TABLICA_HAOP,Izvjescetablica,Table Grid New"/>
    <w:basedOn w:val="TableNormal"/>
    <w:uiPriority w:val="39"/>
    <w:rsid w:val="00CD400B"/>
    <w:pPr>
      <w:spacing w:after="0" w:line="240" w:lineRule="auto"/>
    </w:pPr>
    <w:rPr>
      <w:sz w:val="18"/>
    </w:rPr>
    <w:tblPr>
      <w:tblStyleRowBandSize w:val="1"/>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Pr>
    <w:tblStylePr w:type="firstRow">
      <w:pPr>
        <w:jc w:val="center"/>
      </w:pPr>
      <w:rPr>
        <w:rFonts w:ascii="Segoe UI" w:hAnsi="Segoe UI"/>
        <w:sz w:val="18"/>
      </w:rPr>
      <w:tblPr/>
      <w:tcPr>
        <w:tcBorders>
          <w:insideV w:val="single" w:sz="4" w:space="0" w:color="FFFFFF" w:themeColor="background1"/>
        </w:tcBorders>
        <w:shd w:val="clear" w:color="auto" w:fill="003C71"/>
        <w:vAlign w:val="center"/>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D9E2F3"/>
      </w:tcPr>
    </w:tblStylePr>
  </w:style>
  <w:style w:type="paragraph" w:styleId="ListParagraph">
    <w:name w:val="List Paragraph"/>
    <w:aliases w:val="REPORT Bullet,Nabrajanje,Tocka,KiF bullets,UNIZG_ALU_bullet,Lettre d'introduction,FM,Akapit z listą BS,Bullet1,References,List Paragraph (numbered (a)),List_Paragraph,Multilevel para_II,Yellow Bullet,Normal bullet 2,Dot pt"/>
    <w:basedOn w:val="Normal"/>
    <w:link w:val="ListParagraphChar"/>
    <w:uiPriority w:val="34"/>
    <w:qFormat/>
    <w:rsid w:val="00137D39"/>
    <w:pPr>
      <w:ind w:left="720"/>
      <w:contextualSpacing/>
    </w:pPr>
  </w:style>
  <w:style w:type="character" w:customStyle="1" w:styleId="Heading2Char">
    <w:name w:val="Heading 2 Char"/>
    <w:basedOn w:val="DefaultParagraphFont"/>
    <w:link w:val="Heading2"/>
    <w:uiPriority w:val="9"/>
    <w:rsid w:val="00EE3488"/>
    <w:rPr>
      <w:rFonts w:asciiTheme="majorHAnsi" w:eastAsiaTheme="majorEastAsia" w:hAnsiTheme="majorHAnsi" w:cstheme="majorBidi"/>
      <w:b/>
      <w:bCs/>
      <w:sz w:val="28"/>
      <w:szCs w:val="28"/>
    </w:rPr>
  </w:style>
  <w:style w:type="paragraph" w:customStyle="1" w:styleId="Tablicanaslov">
    <w:name w:val="Tablica_naslov"/>
    <w:basedOn w:val="Normal"/>
    <w:uiPriority w:val="99"/>
    <w:rsid w:val="00FA3CDC"/>
    <w:pPr>
      <w:ind w:left="794" w:hanging="794"/>
    </w:pPr>
    <w:rPr>
      <w:rFonts w:cs="Segoe UI"/>
      <w:sz w:val="18"/>
      <w:szCs w:val="18"/>
    </w:rPr>
  </w:style>
  <w:style w:type="paragraph" w:styleId="BalloonText">
    <w:name w:val="Balloon Text"/>
    <w:basedOn w:val="Normal"/>
    <w:link w:val="BalloonTextChar"/>
    <w:uiPriority w:val="99"/>
    <w:unhideWhenUsed/>
    <w:rsid w:val="00B26CD6"/>
    <w:rPr>
      <w:rFonts w:cs="Segoe UI"/>
      <w:sz w:val="18"/>
      <w:szCs w:val="18"/>
    </w:rPr>
  </w:style>
  <w:style w:type="character" w:customStyle="1" w:styleId="BalloonTextChar">
    <w:name w:val="Balloon Text Char"/>
    <w:basedOn w:val="DefaultParagraphFont"/>
    <w:link w:val="BalloonText"/>
    <w:uiPriority w:val="99"/>
    <w:rsid w:val="00B26CD6"/>
    <w:rPr>
      <w:rFonts w:eastAsia="Times New Roman" w:cs="Segoe UI"/>
      <w:sz w:val="18"/>
      <w:szCs w:val="18"/>
      <w:lang w:eastAsia="hr-HR"/>
    </w:rPr>
  </w:style>
  <w:style w:type="character" w:customStyle="1" w:styleId="Heading3Char">
    <w:name w:val="Heading 3 Char"/>
    <w:basedOn w:val="DefaultParagraphFont"/>
    <w:link w:val="Heading3"/>
    <w:uiPriority w:val="9"/>
    <w:rsid w:val="00EE3488"/>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EE3488"/>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EE3488"/>
    <w:rPr>
      <w:rFonts w:asciiTheme="majorHAnsi" w:eastAsiaTheme="majorEastAsia" w:hAnsiTheme="majorHAnsi" w:cstheme="majorBidi"/>
      <w:b/>
      <w:bCs/>
    </w:rPr>
  </w:style>
  <w:style w:type="character" w:customStyle="1" w:styleId="Heading6Char">
    <w:name w:val="Heading 6 Char"/>
    <w:basedOn w:val="DefaultParagraphFont"/>
    <w:link w:val="Heading6"/>
    <w:uiPriority w:val="9"/>
    <w:rsid w:val="00EE3488"/>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EE3488"/>
    <w:rPr>
      <w:i/>
      <w:iCs/>
    </w:rPr>
  </w:style>
  <w:style w:type="character" w:customStyle="1" w:styleId="Heading8Char">
    <w:name w:val="Heading 8 Char"/>
    <w:basedOn w:val="DefaultParagraphFont"/>
    <w:link w:val="Heading8"/>
    <w:uiPriority w:val="9"/>
    <w:rsid w:val="00EE3488"/>
    <w:rPr>
      <w:b/>
      <w:bCs/>
    </w:rPr>
  </w:style>
  <w:style w:type="character" w:customStyle="1" w:styleId="Heading9Char">
    <w:name w:val="Heading 9 Char"/>
    <w:basedOn w:val="DefaultParagraphFont"/>
    <w:link w:val="Heading9"/>
    <w:uiPriority w:val="9"/>
    <w:rsid w:val="00EE3488"/>
    <w:rPr>
      <w:i/>
      <w:iCs/>
    </w:rPr>
  </w:style>
  <w:style w:type="paragraph" w:customStyle="1" w:styleId="Naslov10">
    <w:name w:val="Naslov_1"/>
    <w:basedOn w:val="ListParagraph"/>
    <w:link w:val="Naslov1Char"/>
    <w:autoRedefine/>
    <w:rsid w:val="00E57F72"/>
    <w:pPr>
      <w:spacing w:line="240" w:lineRule="auto"/>
      <w:jc w:val="left"/>
      <w:outlineLvl w:val="0"/>
    </w:pPr>
    <w:rPr>
      <w:rFonts w:cs="Times New Roman"/>
      <w:b/>
      <w:color w:val="2F5496" w:themeColor="accent5" w:themeShade="BF"/>
      <w:sz w:val="32"/>
    </w:rPr>
  </w:style>
  <w:style w:type="paragraph" w:customStyle="1" w:styleId="Naslov2">
    <w:name w:val="Naslov_2"/>
    <w:basedOn w:val="ListParagraph"/>
    <w:link w:val="Naslov2Char"/>
    <w:autoRedefine/>
    <w:rsid w:val="00016B17"/>
    <w:pPr>
      <w:keepNext/>
      <w:spacing w:before="120"/>
      <w:jc w:val="left"/>
      <w:outlineLvl w:val="1"/>
    </w:pPr>
    <w:rPr>
      <w:rFonts w:cs="Times New Roman"/>
      <w:b/>
      <w:sz w:val="28"/>
    </w:rPr>
  </w:style>
  <w:style w:type="character" w:customStyle="1" w:styleId="ListParagraphChar">
    <w:name w:val="List Paragraph Char"/>
    <w:aliases w:val="REPORT Bullet Char,Nabrajanje Char,Tocka Char,KiF bullets Char,UNIZG_ALU_bullet Char,Lettre d'introduction Char,FM Char,Akapit z listą BS Char,Bullet1 Char,References Char,List Paragraph (numbered (a)) Char,List_Paragraph Char"/>
    <w:basedOn w:val="DefaultParagraphFont"/>
    <w:link w:val="ListParagraph"/>
    <w:uiPriority w:val="34"/>
    <w:rsid w:val="00137D39"/>
  </w:style>
  <w:style w:type="character" w:customStyle="1" w:styleId="Naslov1Char">
    <w:name w:val="Naslov_1 Char"/>
    <w:basedOn w:val="ListParagraphChar"/>
    <w:link w:val="Naslov10"/>
    <w:rsid w:val="00E57F72"/>
    <w:rPr>
      <w:rFonts w:ascii="Times New Roman" w:eastAsia="Times New Roman" w:hAnsi="Times New Roman" w:cs="Times New Roman"/>
      <w:b/>
      <w:color w:val="2F5496" w:themeColor="accent5" w:themeShade="BF"/>
      <w:sz w:val="32"/>
      <w:szCs w:val="24"/>
      <w:lang w:eastAsia="hr-HR"/>
    </w:rPr>
  </w:style>
  <w:style w:type="paragraph" w:customStyle="1" w:styleId="Naslov3">
    <w:name w:val="Naslov_3"/>
    <w:basedOn w:val="Naslov2"/>
    <w:link w:val="Naslov3Char"/>
    <w:autoRedefine/>
    <w:rsid w:val="00932561"/>
    <w:pPr>
      <w:numPr>
        <w:ilvl w:val="2"/>
      </w:numPr>
      <w:ind w:left="851" w:hanging="851"/>
      <w:outlineLvl w:val="2"/>
    </w:pPr>
  </w:style>
  <w:style w:type="character" w:customStyle="1" w:styleId="Naslov2Char">
    <w:name w:val="Naslov_2 Char"/>
    <w:basedOn w:val="ListParagraphChar"/>
    <w:link w:val="Naslov2"/>
    <w:rsid w:val="00016B17"/>
    <w:rPr>
      <w:rFonts w:ascii="Times New Roman" w:eastAsia="Times New Roman" w:hAnsi="Times New Roman" w:cs="Times New Roman"/>
      <w:b/>
      <w:color w:val="000000" w:themeColor="text1"/>
      <w:sz w:val="28"/>
      <w:szCs w:val="24"/>
      <w:lang w:eastAsia="hr-HR"/>
    </w:rPr>
  </w:style>
  <w:style w:type="paragraph" w:customStyle="1" w:styleId="Naslov40">
    <w:name w:val="Naslov_4"/>
    <w:basedOn w:val="ListParagraph"/>
    <w:link w:val="Naslov4Char"/>
    <w:autoRedefine/>
    <w:rsid w:val="00CA4A1D"/>
    <w:pPr>
      <w:spacing w:line="240" w:lineRule="auto"/>
      <w:ind w:left="737" w:hanging="737"/>
      <w:outlineLvl w:val="3"/>
    </w:pPr>
    <w:rPr>
      <w:rFonts w:cs="Times New Roman"/>
      <w:b/>
      <w:sz w:val="28"/>
      <w:szCs w:val="28"/>
      <w:lang w:val="en-GB"/>
    </w:rPr>
  </w:style>
  <w:style w:type="character" w:customStyle="1" w:styleId="Naslov3Char">
    <w:name w:val="Naslov_3 Char"/>
    <w:basedOn w:val="ListParagraphChar"/>
    <w:link w:val="Naslov3"/>
    <w:rsid w:val="00932561"/>
    <w:rPr>
      <w:rFonts w:ascii="Times New Roman" w:eastAsia="Times New Roman" w:hAnsi="Times New Roman" w:cs="Times New Roman"/>
      <w:b/>
      <w:color w:val="000000" w:themeColor="text1"/>
      <w:sz w:val="28"/>
      <w:szCs w:val="24"/>
      <w:lang w:eastAsia="hr-HR"/>
    </w:rPr>
  </w:style>
  <w:style w:type="table" w:customStyle="1" w:styleId="TableGridLight1">
    <w:name w:val="Table Grid Light1"/>
    <w:basedOn w:val="TableNormal"/>
    <w:uiPriority w:val="40"/>
    <w:rsid w:val="00DE39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slov4Char">
    <w:name w:val="Naslov_4 Char"/>
    <w:basedOn w:val="ListParagraphChar"/>
    <w:link w:val="Naslov40"/>
    <w:rsid w:val="00CA4A1D"/>
    <w:rPr>
      <w:rFonts w:ascii="Times New Roman" w:eastAsia="Times New Roman" w:hAnsi="Times New Roman" w:cs="Times New Roman"/>
      <w:b/>
      <w:color w:val="000000" w:themeColor="text1"/>
      <w:sz w:val="28"/>
      <w:szCs w:val="28"/>
      <w:lang w:val="en-GB" w:eastAsia="hr-HR"/>
    </w:rPr>
  </w:style>
  <w:style w:type="paragraph" w:styleId="FootnoteText">
    <w:name w:val="footnote text"/>
    <w:aliases w:val=" Footnote,Footnote Char Char Char,Footnote Char Char,Footnote Char,Footnote,Footnote Text1,Geneva 9,Font: Geneva 9,Boston 10,f,f Char Char,Geneva 9 Char,Boston 10 Char,fn,- OP,Fußnote,Podrozdział,Fußnotentextf,Footnote Text Char Char,ft"/>
    <w:basedOn w:val="Normal"/>
    <w:link w:val="FootnoteTextChar"/>
    <w:uiPriority w:val="99"/>
    <w:unhideWhenUsed/>
    <w:rsid w:val="00C441C0"/>
    <w:pPr>
      <w:ind w:left="113" w:hanging="113"/>
    </w:pPr>
    <w:rPr>
      <w:sz w:val="18"/>
    </w:rPr>
  </w:style>
  <w:style w:type="table" w:customStyle="1" w:styleId="GridTable5Dark-Accent51">
    <w:name w:val="Grid Table 5 Dark - Accent 51"/>
    <w:aliases w:val="aaaa"/>
    <w:basedOn w:val="TableNormal"/>
    <w:uiPriority w:val="50"/>
    <w:rsid w:val="00DE39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shd w:val="clear" w:color="auto" w:fill="003C7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BodyText">
    <w:name w:val="Body Text"/>
    <w:aliases w:val="  uvlaka 2,Tijelo teksta1,  uvlaka 21,  uvlaka 211, uvlaka 3, uvlaka 31, uvlaka 311,uvlaka 2,uvlaka 21,uvlaka 211,uvlaka 3,uvlaka 31,uvlaka 311,Tijelo teksta11,Tijelo teksta111,uvlaka 2111,Tijelo teksta1111,uvlaka 21111,Tijelo teksta11111"/>
    <w:basedOn w:val="Normal"/>
    <w:link w:val="BodyTextChar"/>
    <w:uiPriority w:val="99"/>
    <w:rsid w:val="0095386E"/>
    <w:pPr>
      <w:spacing w:after="120"/>
    </w:pPr>
  </w:style>
  <w:style w:type="character" w:customStyle="1" w:styleId="BodyTextChar">
    <w:name w:val="Body Text Char"/>
    <w:aliases w:val="  uvlaka 2 Char,Tijelo teksta1 Char,  uvlaka 21 Char,  uvlaka 211 Char, uvlaka 3 Char, uvlaka 31 Char, uvlaka 311 Char,uvlaka 2 Char,uvlaka 21 Char,uvlaka 211 Char,uvlaka 3 Char,uvlaka 31 Char,uvlaka 311 Char,Tijelo teksta11 Char"/>
    <w:basedOn w:val="DefaultParagraphFont"/>
    <w:link w:val="BodyText"/>
    <w:uiPriority w:val="99"/>
    <w:rsid w:val="0095386E"/>
    <w:rPr>
      <w:rFonts w:eastAsia="Times New Roman" w:cs="Times New Roman"/>
      <w:szCs w:val="24"/>
      <w:lang w:eastAsia="hr-HR"/>
    </w:rPr>
  </w:style>
  <w:style w:type="paragraph" w:customStyle="1" w:styleId="Style6">
    <w:name w:val="Style6"/>
    <w:basedOn w:val="NormalWeb"/>
    <w:uiPriority w:val="99"/>
    <w:rsid w:val="0095386E"/>
    <w:pPr>
      <w:spacing w:before="100" w:beforeAutospacing="1" w:after="100" w:afterAutospacing="1"/>
      <w:ind w:left="567"/>
    </w:pPr>
    <w:rPr>
      <w:rFonts w:ascii="Segoe UI" w:hAnsi="Segoe UI"/>
      <w:sz w:val="20"/>
    </w:rPr>
  </w:style>
  <w:style w:type="paragraph" w:styleId="NormalWeb">
    <w:name w:val="Normal (Web)"/>
    <w:aliases w:val="Normal (Web) Char,Normal (Web) Char Char Char Char,Normal (Web) Char Char Char"/>
    <w:basedOn w:val="Normal"/>
    <w:link w:val="NormalWebChar1"/>
    <w:uiPriority w:val="99"/>
    <w:unhideWhenUsed/>
    <w:rsid w:val="0095386E"/>
  </w:style>
  <w:style w:type="paragraph" w:styleId="TOCHeading">
    <w:name w:val="TOC Heading"/>
    <w:basedOn w:val="Heading1"/>
    <w:next w:val="Normal"/>
    <w:uiPriority w:val="39"/>
    <w:unhideWhenUsed/>
    <w:qFormat/>
    <w:rsid w:val="00EE3488"/>
    <w:pPr>
      <w:outlineLvl w:val="9"/>
    </w:pPr>
  </w:style>
  <w:style w:type="paragraph" w:styleId="TOC9">
    <w:name w:val="toc 9"/>
    <w:basedOn w:val="Normal"/>
    <w:next w:val="Normal"/>
    <w:autoRedefine/>
    <w:uiPriority w:val="39"/>
    <w:unhideWhenUsed/>
    <w:rsid w:val="00880809"/>
    <w:pPr>
      <w:spacing w:after="100"/>
      <w:ind w:left="1600"/>
    </w:pPr>
  </w:style>
  <w:style w:type="paragraph" w:styleId="TOC2">
    <w:name w:val="toc 2"/>
    <w:basedOn w:val="Normal"/>
    <w:next w:val="Normal"/>
    <w:autoRedefine/>
    <w:uiPriority w:val="39"/>
    <w:unhideWhenUsed/>
    <w:rsid w:val="004E7FB7"/>
    <w:pPr>
      <w:tabs>
        <w:tab w:val="right" w:leader="dot" w:pos="9062"/>
      </w:tabs>
      <w:spacing w:after="100" w:line="259" w:lineRule="auto"/>
      <w:ind w:left="618" w:right="567" w:hanging="397"/>
    </w:pPr>
    <w:rPr>
      <w:lang w:val="en-US"/>
    </w:rPr>
  </w:style>
  <w:style w:type="paragraph" w:styleId="TOC1">
    <w:name w:val="toc 1"/>
    <w:basedOn w:val="Normal"/>
    <w:next w:val="Normal"/>
    <w:autoRedefine/>
    <w:uiPriority w:val="39"/>
    <w:unhideWhenUsed/>
    <w:rsid w:val="00282B6C"/>
    <w:pPr>
      <w:spacing w:after="100" w:line="259" w:lineRule="auto"/>
      <w:ind w:left="340" w:right="-2" w:hanging="340"/>
      <w:jc w:val="left"/>
    </w:pPr>
    <w:rPr>
      <w:noProof/>
      <w:szCs w:val="40"/>
      <w:lang w:val="en-US"/>
    </w:rPr>
  </w:style>
  <w:style w:type="paragraph" w:styleId="TOC3">
    <w:name w:val="toc 3"/>
    <w:basedOn w:val="Normal"/>
    <w:next w:val="Normal"/>
    <w:autoRedefine/>
    <w:uiPriority w:val="39"/>
    <w:unhideWhenUsed/>
    <w:rsid w:val="004E7FB7"/>
    <w:pPr>
      <w:tabs>
        <w:tab w:val="right" w:leader="dot" w:pos="9062"/>
      </w:tabs>
      <w:spacing w:after="100" w:line="259" w:lineRule="auto"/>
      <w:ind w:left="1128" w:right="567" w:hanging="510"/>
    </w:pPr>
    <w:rPr>
      <w:noProof/>
      <w:lang w:val="en-US"/>
    </w:rPr>
  </w:style>
  <w:style w:type="paragraph" w:customStyle="1" w:styleId="sadrzaj">
    <w:name w:val="sadrzaj"/>
    <w:basedOn w:val="Normal"/>
    <w:next w:val="TOC1"/>
    <w:uiPriority w:val="99"/>
    <w:rsid w:val="002533DF"/>
  </w:style>
  <w:style w:type="paragraph" w:styleId="TOC8">
    <w:name w:val="toc 8"/>
    <w:basedOn w:val="Normal"/>
    <w:next w:val="Normal"/>
    <w:autoRedefine/>
    <w:uiPriority w:val="39"/>
    <w:unhideWhenUsed/>
    <w:rsid w:val="00B40AC3"/>
    <w:pPr>
      <w:spacing w:after="100"/>
      <w:ind w:left="1400"/>
    </w:pPr>
  </w:style>
  <w:style w:type="numbering" w:customStyle="1" w:styleId="naslovimultilvl">
    <w:name w:val="naslovi_multilvl"/>
    <w:uiPriority w:val="99"/>
    <w:rsid w:val="004B60C7"/>
    <w:pPr>
      <w:numPr>
        <w:numId w:val="2"/>
      </w:numPr>
    </w:pPr>
  </w:style>
  <w:style w:type="character" w:styleId="Strong">
    <w:name w:val="Strong"/>
    <w:basedOn w:val="DefaultParagraphFont"/>
    <w:uiPriority w:val="22"/>
    <w:qFormat/>
    <w:rsid w:val="00EE3488"/>
    <w:rPr>
      <w:b/>
      <w:bCs/>
      <w:color w:val="auto"/>
    </w:rPr>
  </w:style>
  <w:style w:type="numbering" w:customStyle="1" w:styleId="popis">
    <w:name w:val="popis"/>
    <w:uiPriority w:val="99"/>
    <w:rsid w:val="00137D39"/>
    <w:pPr>
      <w:numPr>
        <w:numId w:val="3"/>
      </w:numPr>
    </w:pPr>
  </w:style>
  <w:style w:type="paragraph" w:styleId="Caption">
    <w:name w:val="caption"/>
    <w:basedOn w:val="Normal"/>
    <w:next w:val="Normal"/>
    <w:link w:val="CaptionChar"/>
    <w:uiPriority w:val="35"/>
    <w:unhideWhenUsed/>
    <w:qFormat/>
    <w:rsid w:val="00EE3488"/>
    <w:rPr>
      <w:b/>
      <w:bCs/>
      <w:sz w:val="18"/>
      <w:szCs w:val="18"/>
    </w:rPr>
  </w:style>
  <w:style w:type="paragraph" w:styleId="EndnoteText">
    <w:name w:val="endnote text"/>
    <w:basedOn w:val="Normal"/>
    <w:link w:val="EndnoteTextChar"/>
    <w:uiPriority w:val="99"/>
    <w:unhideWhenUsed/>
    <w:rsid w:val="00B34A6F"/>
  </w:style>
  <w:style w:type="character" w:customStyle="1" w:styleId="EndnoteTextChar">
    <w:name w:val="Endnote Text Char"/>
    <w:basedOn w:val="DefaultParagraphFont"/>
    <w:link w:val="EndnoteText"/>
    <w:uiPriority w:val="99"/>
    <w:rsid w:val="00B34A6F"/>
    <w:rPr>
      <w:rFonts w:eastAsia="Times New Roman" w:cs="Times New Roman"/>
      <w:color w:val="000000" w:themeColor="text1"/>
      <w:szCs w:val="20"/>
      <w:lang w:eastAsia="hr-HR"/>
    </w:rPr>
  </w:style>
  <w:style w:type="character" w:styleId="EndnoteReference">
    <w:name w:val="endnote reference"/>
    <w:basedOn w:val="DefaultParagraphFont"/>
    <w:unhideWhenUsed/>
    <w:rsid w:val="00B34A6F"/>
    <w:rPr>
      <w:vertAlign w:val="superscript"/>
    </w:rPr>
  </w:style>
  <w:style w:type="paragraph" w:customStyle="1" w:styleId="Tekst">
    <w:name w:val="Tekst"/>
    <w:link w:val="TekstChar"/>
    <w:autoRedefine/>
    <w:rsid w:val="000062A2"/>
    <w:pPr>
      <w:keepNext/>
      <w:spacing w:after="0" w:line="240" w:lineRule="auto"/>
    </w:pPr>
    <w:rPr>
      <w:rFonts w:eastAsia="Times New Roman" w:cs="Times New Roman"/>
      <w:noProof/>
      <w:sz w:val="18"/>
      <w:szCs w:val="18"/>
      <w:lang w:val="en-GB" w:eastAsia="hr-HR"/>
    </w:rPr>
  </w:style>
  <w:style w:type="paragraph" w:customStyle="1" w:styleId="Slikaigrafnaslov">
    <w:name w:val="Slika i graf_naslov"/>
    <w:basedOn w:val="Caption"/>
    <w:link w:val="SlikaigrafnaslovChar"/>
    <w:autoRedefine/>
    <w:rsid w:val="00AA3EEC"/>
    <w:pPr>
      <w:spacing w:before="120" w:after="0"/>
      <w:jc w:val="center"/>
    </w:pPr>
    <w:rPr>
      <w:rFonts w:ascii="Times New Roman" w:hAnsi="Times New Roman"/>
      <w:b w:val="0"/>
      <w:i/>
      <w:caps/>
      <w:sz w:val="24"/>
    </w:rPr>
  </w:style>
  <w:style w:type="character" w:customStyle="1" w:styleId="CaptionChar">
    <w:name w:val="Caption Char"/>
    <w:basedOn w:val="DefaultParagraphFont"/>
    <w:link w:val="Caption"/>
    <w:uiPriority w:val="35"/>
    <w:rsid w:val="007D3B37"/>
    <w:rPr>
      <w:b/>
      <w:bCs/>
      <w:sz w:val="18"/>
      <w:szCs w:val="18"/>
    </w:rPr>
  </w:style>
  <w:style w:type="character" w:customStyle="1" w:styleId="SlikaigrafnaslovChar">
    <w:name w:val="Slika i graf_naslov Char"/>
    <w:basedOn w:val="CaptionChar"/>
    <w:link w:val="Slikaigrafnaslov"/>
    <w:rsid w:val="00AA3EEC"/>
    <w:rPr>
      <w:rFonts w:ascii="Times New Roman" w:hAnsi="Times New Roman"/>
      <w:b w:val="0"/>
      <w:bCs/>
      <w:i/>
      <w:iCs w:val="0"/>
      <w:caps/>
      <w:sz w:val="24"/>
      <w:szCs w:val="18"/>
    </w:rPr>
  </w:style>
  <w:style w:type="table" w:customStyle="1" w:styleId="PlainTable11">
    <w:name w:val="Plain Table 11"/>
    <w:basedOn w:val="TableNormal"/>
    <w:uiPriority w:val="41"/>
    <w:rsid w:val="00670A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21">
    <w:name w:val="Grid Table 2 - Accent 21"/>
    <w:basedOn w:val="TableNormal"/>
    <w:uiPriority w:val="47"/>
    <w:rsid w:val="00670AA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51">
    <w:name w:val="Grid Table 2 - Accent 51"/>
    <w:basedOn w:val="TableNormal"/>
    <w:uiPriority w:val="47"/>
    <w:rsid w:val="00670AA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A8252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otnoteTextChar">
    <w:name w:val="Footnote Text Char"/>
    <w:aliases w:val=" Footnote Char,Footnote Char Char Char Char,Footnote Char Char Char1,Footnote Char Char1,Footnote Char1,Footnote Text1 Char,Geneva 9 Char1,Font: Geneva 9 Char,Boston 10 Char1,f Char,f Char Char Char,Geneva 9 Char Char,fn Char,ft Char"/>
    <w:basedOn w:val="DefaultParagraphFont"/>
    <w:link w:val="FootnoteText"/>
    <w:uiPriority w:val="99"/>
    <w:rsid w:val="00C441C0"/>
    <w:rPr>
      <w:sz w:val="18"/>
    </w:rPr>
  </w:style>
  <w:style w:type="table" w:customStyle="1" w:styleId="ListTable3-Accent51">
    <w:name w:val="List Table 3 - Accent 51"/>
    <w:basedOn w:val="TableNormal"/>
    <w:uiPriority w:val="48"/>
    <w:rsid w:val="007830C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GridTable1Light1">
    <w:name w:val="Grid Table 1 Light1"/>
    <w:basedOn w:val="TableNormal"/>
    <w:uiPriority w:val="46"/>
    <w:rsid w:val="00C6392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6392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C6392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C6392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1">
    <w:name w:val="Grid Table 21"/>
    <w:basedOn w:val="TableNormal"/>
    <w:uiPriority w:val="47"/>
    <w:rsid w:val="00C6392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Accent41">
    <w:name w:val="Grid Table 3 - Accent 41"/>
    <w:basedOn w:val="TableNormal"/>
    <w:uiPriority w:val="48"/>
    <w:rsid w:val="00C6392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styleId="FootnoteReference">
    <w:name w:val="footnote reference"/>
    <w:aliases w:val="number,SUPERS,Footnote Reference Superscript,stylish,Footnote symbol,16 Point,Superscript 6 Point,-E Fußnotenzeichen,Footnote reference number,note TESI,ftref,-E Fußnotenzeichen1,-E Fußnotenzeichen2,-E Fußnotenzeichen3,BVI fnr"/>
    <w:basedOn w:val="DefaultParagraphFont"/>
    <w:uiPriority w:val="99"/>
    <w:unhideWhenUsed/>
    <w:rsid w:val="00F224C7"/>
    <w:rPr>
      <w:rFonts w:ascii="Segoe UI" w:hAnsi="Segoe UI"/>
      <w:sz w:val="18"/>
      <w:vertAlign w:val="superscript"/>
    </w:rPr>
  </w:style>
  <w:style w:type="paragraph" w:styleId="TableofFigures">
    <w:name w:val="table of figures"/>
    <w:basedOn w:val="Normal"/>
    <w:next w:val="Normal"/>
    <w:autoRedefine/>
    <w:uiPriority w:val="99"/>
    <w:unhideWhenUsed/>
    <w:rsid w:val="00615415"/>
    <w:pPr>
      <w:tabs>
        <w:tab w:val="right" w:leader="dot" w:pos="9060"/>
      </w:tabs>
      <w:spacing w:before="80" w:after="100" w:line="259" w:lineRule="auto"/>
      <w:ind w:right="624"/>
    </w:pPr>
    <w:rPr>
      <w:i/>
    </w:rPr>
  </w:style>
  <w:style w:type="paragraph" w:customStyle="1" w:styleId="TablicaTOF">
    <w:name w:val="Tablica_TOF"/>
    <w:basedOn w:val="TableofFigures"/>
    <w:autoRedefine/>
    <w:uiPriority w:val="99"/>
    <w:rsid w:val="00747BF5"/>
    <w:pPr>
      <w:keepNext/>
      <w:ind w:left="851" w:hanging="851"/>
    </w:pPr>
    <w:rPr>
      <w:noProof/>
    </w:rPr>
  </w:style>
  <w:style w:type="paragraph" w:customStyle="1" w:styleId="SlikaTOF">
    <w:name w:val="Slika_TOF"/>
    <w:basedOn w:val="TableofFigures"/>
    <w:autoRedefine/>
    <w:uiPriority w:val="99"/>
    <w:rsid w:val="00432C78"/>
    <w:pPr>
      <w:ind w:left="658" w:hanging="658"/>
    </w:pPr>
    <w:rPr>
      <w:noProof/>
    </w:rPr>
  </w:style>
  <w:style w:type="table" w:customStyle="1" w:styleId="Izvjescetablica1">
    <w:name w:val="Izvjescetablica1"/>
    <w:basedOn w:val="TableNormal"/>
    <w:next w:val="TableGrid"/>
    <w:uiPriority w:val="59"/>
    <w:rsid w:val="002A55E4"/>
    <w:pPr>
      <w:spacing w:after="0" w:line="240" w:lineRule="auto"/>
    </w:pPr>
    <w:rPr>
      <w:rFonts w:ascii="Times New Roman" w:eastAsia="Times New Roman" w:hAnsi="Times New Roman"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A">
    <w:name w:val="TABLICA"/>
    <w:basedOn w:val="Normal"/>
    <w:next w:val="Normal"/>
    <w:uiPriority w:val="99"/>
    <w:rsid w:val="00C4534E"/>
    <w:pPr>
      <w:outlineLvl w:val="6"/>
    </w:pPr>
    <w:rPr>
      <w:rFonts w:ascii="Palatino Linotype" w:eastAsia="Times New Roman" w:hAnsi="Palatino Linotype" w:cs="Times New Roman"/>
      <w:snapToGrid w:val="0"/>
    </w:rPr>
  </w:style>
  <w:style w:type="table" w:customStyle="1" w:styleId="TABLICAHAOP3">
    <w:name w:val="TABLICA_HAOP3"/>
    <w:basedOn w:val="TableNormal"/>
    <w:next w:val="TableGrid"/>
    <w:uiPriority w:val="39"/>
    <w:rsid w:val="00607967"/>
    <w:pPr>
      <w:spacing w:after="0" w:line="240" w:lineRule="auto"/>
    </w:pPr>
    <w:rPr>
      <w:sz w:val="18"/>
    </w:rPr>
    <w:tblPr>
      <w:tblStyleRowBandSize w:val="1"/>
      <w:tblBorders>
        <w:top w:val="single" w:sz="4" w:space="0" w:color="DA291C"/>
        <w:left w:val="single" w:sz="4" w:space="0" w:color="DA291C"/>
        <w:bottom w:val="single" w:sz="4" w:space="0" w:color="DA291C"/>
        <w:right w:val="single" w:sz="4" w:space="0" w:color="DA291C"/>
        <w:insideH w:val="single" w:sz="4" w:space="0" w:color="DA291C"/>
        <w:insideV w:val="single" w:sz="4" w:space="0" w:color="DA291C"/>
      </w:tblBorders>
    </w:tblPr>
    <w:tcPr>
      <w:shd w:val="clear" w:color="auto" w:fill="auto"/>
    </w:tcPr>
    <w:tblStylePr w:type="firstRow">
      <w:pPr>
        <w:jc w:val="center"/>
      </w:pPr>
      <w:rPr>
        <w:rFonts w:ascii="Segoe UI" w:hAnsi="Segoe UI"/>
        <w:color w:val="FFFFFF" w:themeColor="background1"/>
        <w:sz w:val="18"/>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DA291C"/>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F8CBC8"/>
      </w:tcPr>
    </w:tblStylePr>
  </w:style>
  <w:style w:type="table" w:customStyle="1" w:styleId="TABLICAHAOP2">
    <w:name w:val="TABLICA_HAOP2"/>
    <w:basedOn w:val="TableNormal"/>
    <w:next w:val="TableGrid"/>
    <w:uiPriority w:val="39"/>
    <w:rsid w:val="00873B7B"/>
    <w:pPr>
      <w:spacing w:after="0" w:line="240" w:lineRule="auto"/>
    </w:pPr>
    <w:rPr>
      <w:sz w:val="18"/>
    </w:rPr>
    <w:tblPr>
      <w:tblStyleRowBandSize w:val="1"/>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Pr>
    <w:tblStylePr w:type="firstRow">
      <w:pPr>
        <w:jc w:val="center"/>
      </w:pPr>
      <w:rPr>
        <w:rFonts w:ascii="Segoe UI" w:hAnsi="Segoe UI"/>
        <w:sz w:val="18"/>
      </w:rPr>
      <w:tblPr/>
      <w:tcPr>
        <w:tcBorders>
          <w:insideV w:val="single" w:sz="4" w:space="0" w:color="FFFFFF" w:themeColor="background1"/>
        </w:tcBorders>
        <w:shd w:val="clear" w:color="auto" w:fill="003C71"/>
        <w:vAlign w:val="center"/>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D9E2F3"/>
      </w:tcPr>
    </w:tblStylePr>
  </w:style>
  <w:style w:type="table" w:customStyle="1" w:styleId="TABLICAHAOP35">
    <w:name w:val="TABLICA_HAOP35"/>
    <w:basedOn w:val="TableNormal"/>
    <w:next w:val="TableGrid"/>
    <w:uiPriority w:val="39"/>
    <w:rsid w:val="00EC4F76"/>
    <w:pPr>
      <w:spacing w:after="0" w:line="240" w:lineRule="auto"/>
    </w:pPr>
    <w:rPr>
      <w:sz w:val="18"/>
    </w:rPr>
    <w:tblPr>
      <w:tblStyleRowBandSize w:val="1"/>
      <w:tblBorders>
        <w:top w:val="single" w:sz="4" w:space="0" w:color="F2C75C"/>
        <w:left w:val="single" w:sz="4" w:space="0" w:color="F2C75C"/>
        <w:bottom w:val="single" w:sz="4" w:space="0" w:color="F2C75C"/>
        <w:right w:val="single" w:sz="4" w:space="0" w:color="F2C75C"/>
        <w:insideH w:val="single" w:sz="4" w:space="0" w:color="F2C75C"/>
        <w:insideV w:val="single" w:sz="4" w:space="0" w:color="F2C75C"/>
      </w:tblBorders>
    </w:tblPr>
    <w:tblStylePr w:type="firstRow">
      <w:pPr>
        <w:jc w:val="center"/>
      </w:pPr>
      <w:rPr>
        <w:rFonts w:ascii="Segoe UI" w:hAnsi="Segoe UI"/>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2C75C"/>
      </w:tcPr>
    </w:tblStylePr>
    <w:tblStylePr w:type="lastRow">
      <w:rPr>
        <w:b/>
      </w:rPr>
    </w:tblStylePr>
    <w:tblStylePr w:type="firstCol">
      <w:rPr>
        <w:rFonts w:ascii="Segoe UI" w:hAnsi="Segoe UI"/>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341"/>
      </w:tcPr>
    </w:tblStylePr>
    <w:tblStylePr w:type="band1Horz">
      <w:tblPr/>
      <w:tcPr>
        <w:shd w:val="clear" w:color="auto" w:fill="FDF6E3"/>
      </w:tcPr>
    </w:tblStylePr>
  </w:style>
  <w:style w:type="table" w:customStyle="1" w:styleId="TABLICAHAOP21">
    <w:name w:val="TABLICA_HAOP21"/>
    <w:basedOn w:val="TableNormal"/>
    <w:next w:val="TableGrid"/>
    <w:uiPriority w:val="39"/>
    <w:rsid w:val="00150554"/>
    <w:pPr>
      <w:spacing w:after="0" w:line="240" w:lineRule="auto"/>
    </w:pPr>
    <w:rPr>
      <w:sz w:val="18"/>
    </w:rPr>
    <w:tblPr>
      <w:tblStyleRowBandSize w:val="1"/>
      <w:tblBorders>
        <w:top w:val="single" w:sz="4" w:space="0" w:color="64CCC9"/>
        <w:left w:val="single" w:sz="4" w:space="0" w:color="64CCC9"/>
        <w:bottom w:val="single" w:sz="4" w:space="0" w:color="64CCC9"/>
        <w:right w:val="single" w:sz="4" w:space="0" w:color="64CCC9"/>
        <w:insideH w:val="single" w:sz="4" w:space="0" w:color="64CCC9"/>
        <w:insideV w:val="single" w:sz="4" w:space="0" w:color="64CCC9"/>
      </w:tblBorders>
    </w:tblPr>
    <w:tblStylePr w:type="firstRow">
      <w:pPr>
        <w:jc w:val="center"/>
      </w:pPr>
      <w:rPr>
        <w:rFonts w:ascii="Segoe UI" w:hAnsi="Segoe UI"/>
        <w:color w:val="FFFFFF" w:themeColor="background1"/>
        <w:sz w:val="18"/>
      </w:rPr>
      <w:tblPr/>
      <w:tcPr>
        <w:tcBorders>
          <w:insideV w:val="single" w:sz="4" w:space="0" w:color="FFFFFF" w:themeColor="background1"/>
        </w:tcBorders>
        <w:shd w:val="clear" w:color="auto" w:fill="64CCC9"/>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D9F4F3"/>
      </w:tcPr>
    </w:tblStylePr>
  </w:style>
  <w:style w:type="table" w:customStyle="1" w:styleId="Izvjescetablica2">
    <w:name w:val="Izvjescetablica2"/>
    <w:basedOn w:val="TableNormal"/>
    <w:next w:val="TableGrid"/>
    <w:uiPriority w:val="59"/>
    <w:rsid w:val="005B25AD"/>
    <w:pPr>
      <w:spacing w:after="0" w:line="240" w:lineRule="auto"/>
    </w:pPr>
    <w:rPr>
      <w:rFonts w:ascii="Times New Roman" w:eastAsia="Times New Roman" w:hAnsi="Times New Roman"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HAOP25">
    <w:name w:val="TABLICA_HAOP25"/>
    <w:basedOn w:val="TableNormal"/>
    <w:uiPriority w:val="39"/>
    <w:rsid w:val="00A97F6B"/>
    <w:pPr>
      <w:spacing w:after="0" w:line="240" w:lineRule="auto"/>
    </w:pPr>
    <w:rPr>
      <w:sz w:val="18"/>
    </w:rPr>
    <w:tblPr>
      <w:tblStyleRowBandSize w:val="1"/>
      <w:tblBorders>
        <w:top w:val="single" w:sz="4" w:space="0" w:color="C5B9AC"/>
        <w:left w:val="single" w:sz="4" w:space="0" w:color="C5B9AC"/>
        <w:bottom w:val="single" w:sz="4" w:space="0" w:color="C5B9AC"/>
        <w:right w:val="single" w:sz="4" w:space="0" w:color="C5B9AC"/>
        <w:insideH w:val="single" w:sz="4" w:space="0" w:color="C5B9AC"/>
        <w:insideV w:val="single" w:sz="4" w:space="0" w:color="C5B9AC"/>
      </w:tblBorders>
    </w:tblPr>
    <w:tblStylePr w:type="firstRow">
      <w:pPr>
        <w:jc w:val="center"/>
      </w:pPr>
      <w:rPr>
        <w:rFonts w:ascii="Segoe UI" w:hAnsi="Segoe UI"/>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5B9AC"/>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EEEAE6"/>
      </w:tcPr>
    </w:tblStylePr>
  </w:style>
  <w:style w:type="table" w:customStyle="1" w:styleId="TABLICAHAOP42">
    <w:name w:val="TABLICA_HAOP42"/>
    <w:basedOn w:val="TableNormal"/>
    <w:next w:val="TableGrid"/>
    <w:uiPriority w:val="39"/>
    <w:rsid w:val="002B0C7A"/>
    <w:pPr>
      <w:spacing w:after="0" w:line="240" w:lineRule="auto"/>
    </w:pPr>
    <w:rPr>
      <w:sz w:val="18"/>
    </w:rPr>
    <w:tblPr>
      <w:tblStyleRowBandSize w:val="1"/>
      <w:tblBorders>
        <w:top w:val="single" w:sz="4" w:space="0" w:color="006341"/>
        <w:left w:val="single" w:sz="4" w:space="0" w:color="006341"/>
        <w:bottom w:val="single" w:sz="4" w:space="0" w:color="006341"/>
        <w:right w:val="single" w:sz="4" w:space="0" w:color="006341"/>
        <w:insideH w:val="single" w:sz="4" w:space="0" w:color="006341"/>
        <w:insideV w:val="single" w:sz="4" w:space="0" w:color="006341"/>
      </w:tblBorders>
    </w:tblPr>
    <w:tblStylePr w:type="firstRow">
      <w:pPr>
        <w:jc w:val="center"/>
      </w:pPr>
      <w:rPr>
        <w:rFonts w:ascii="Segoe UI" w:hAnsi="Segoe UI"/>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341"/>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DAE2DF"/>
      </w:tcPr>
    </w:tblStylePr>
  </w:style>
  <w:style w:type="paragraph" w:customStyle="1" w:styleId="CharChar1CharCharCharCharCharCharChar">
    <w:name w:val="Char Char1 Char Char Char Char Char Char Char"/>
    <w:basedOn w:val="Normal"/>
    <w:uiPriority w:val="99"/>
    <w:rsid w:val="006A714D"/>
    <w:pPr>
      <w:spacing w:line="240" w:lineRule="exact"/>
    </w:pPr>
    <w:rPr>
      <w:rFonts w:ascii="Tahoma" w:eastAsia="Times New Roman" w:hAnsi="Tahoma" w:cs="Times New Roman"/>
      <w:lang w:val="en-US" w:eastAsia="hr-HR"/>
    </w:rPr>
  </w:style>
  <w:style w:type="paragraph" w:customStyle="1" w:styleId="Noparagraphstyle">
    <w:name w:val="[No paragraph style]"/>
    <w:uiPriority w:val="99"/>
    <w:rsid w:val="006A714D"/>
    <w:pPr>
      <w:autoSpaceDE w:val="0"/>
      <w:autoSpaceDN w:val="0"/>
      <w:adjustRightInd w:val="0"/>
      <w:spacing w:after="0" w:line="288" w:lineRule="auto"/>
      <w:textAlignment w:val="center"/>
    </w:pPr>
    <w:rPr>
      <w:rFonts w:ascii="Minion Pro" w:eastAsia="Times New Roman" w:hAnsi="Minion Pro" w:cs="Minion Pro"/>
      <w:color w:val="000000"/>
      <w:sz w:val="24"/>
      <w:szCs w:val="24"/>
      <w:lang w:val="en-US"/>
    </w:rPr>
  </w:style>
  <w:style w:type="paragraph" w:customStyle="1" w:styleId="AZOklasaBOLD">
    <w:name w:val="AZO klasa BOLD"/>
    <w:basedOn w:val="Normal"/>
    <w:uiPriority w:val="99"/>
    <w:rsid w:val="006A714D"/>
    <w:pPr>
      <w:autoSpaceDE w:val="0"/>
      <w:autoSpaceDN w:val="0"/>
      <w:adjustRightInd w:val="0"/>
      <w:textAlignment w:val="center"/>
    </w:pPr>
    <w:rPr>
      <w:rFonts w:ascii="Palatino Linotype" w:eastAsia="Times New Roman" w:hAnsi="Palatino Linotype" w:cs="Arial"/>
      <w:b/>
      <w:bCs/>
      <w:color w:val="000000"/>
      <w:szCs w:val="16"/>
      <w:lang w:eastAsia="hr-HR"/>
    </w:rPr>
  </w:style>
  <w:style w:type="paragraph" w:customStyle="1" w:styleId="AZOklasaROMAN">
    <w:name w:val="AZO klasa ROMAN"/>
    <w:basedOn w:val="Normal"/>
    <w:next w:val="AZOklasaBOLD"/>
    <w:uiPriority w:val="99"/>
    <w:rsid w:val="006A714D"/>
    <w:pPr>
      <w:autoSpaceDE w:val="0"/>
      <w:autoSpaceDN w:val="0"/>
      <w:adjustRightInd w:val="0"/>
      <w:textAlignment w:val="center"/>
    </w:pPr>
    <w:rPr>
      <w:rFonts w:ascii="Palatino Linotype" w:eastAsia="Times New Roman" w:hAnsi="Palatino Linotype" w:cs="Arial"/>
      <w:color w:val="000000"/>
      <w:szCs w:val="16"/>
      <w:lang w:eastAsia="hr-HR"/>
    </w:rPr>
  </w:style>
  <w:style w:type="paragraph" w:customStyle="1" w:styleId="AZOadresa">
    <w:name w:val="AZO adresa"/>
    <w:basedOn w:val="Normal"/>
    <w:uiPriority w:val="99"/>
    <w:rsid w:val="006A714D"/>
    <w:pPr>
      <w:autoSpaceDE w:val="0"/>
      <w:autoSpaceDN w:val="0"/>
      <w:adjustRightInd w:val="0"/>
      <w:textAlignment w:val="center"/>
    </w:pPr>
    <w:rPr>
      <w:rFonts w:ascii="Palatino Linotype" w:eastAsia="Times New Roman" w:hAnsi="Palatino Linotype" w:cs="Arial"/>
      <w:color w:val="000000"/>
      <w:szCs w:val="24"/>
      <w:lang w:eastAsia="hr-HR"/>
    </w:rPr>
  </w:style>
  <w:style w:type="paragraph" w:customStyle="1" w:styleId="AZOnaslov">
    <w:name w:val="AZO naslov"/>
    <w:basedOn w:val="Normal"/>
    <w:uiPriority w:val="99"/>
    <w:rsid w:val="006A714D"/>
    <w:pPr>
      <w:autoSpaceDE w:val="0"/>
      <w:autoSpaceDN w:val="0"/>
      <w:adjustRightInd w:val="0"/>
      <w:spacing w:line="288" w:lineRule="auto"/>
      <w:textAlignment w:val="center"/>
    </w:pPr>
    <w:rPr>
      <w:rFonts w:ascii="Palatino Linotype" w:eastAsia="Times New Roman" w:hAnsi="Palatino Linotype" w:cs="Arial"/>
      <w:color w:val="000000"/>
      <w:spacing w:val="14"/>
      <w:sz w:val="28"/>
      <w:szCs w:val="28"/>
      <w:lang w:eastAsia="hr-HR"/>
    </w:rPr>
  </w:style>
  <w:style w:type="paragraph" w:customStyle="1" w:styleId="AZOtext">
    <w:name w:val="AZO text"/>
    <w:basedOn w:val="Normal"/>
    <w:link w:val="AZOtextChar"/>
    <w:rsid w:val="006A714D"/>
    <w:pPr>
      <w:autoSpaceDE w:val="0"/>
      <w:autoSpaceDN w:val="0"/>
      <w:adjustRightInd w:val="0"/>
      <w:spacing w:line="288" w:lineRule="auto"/>
      <w:ind w:firstLine="170"/>
      <w:textAlignment w:val="center"/>
    </w:pPr>
    <w:rPr>
      <w:rFonts w:ascii="Palatino Linotype" w:eastAsia="Times New Roman" w:hAnsi="Palatino Linotype" w:cs="Arial"/>
      <w:color w:val="000000"/>
      <w:lang w:eastAsia="hr-HR"/>
    </w:rPr>
  </w:style>
  <w:style w:type="paragraph" w:customStyle="1" w:styleId="CharChar1">
    <w:name w:val="Char Char1"/>
    <w:basedOn w:val="Normal"/>
    <w:uiPriority w:val="99"/>
    <w:rsid w:val="006A714D"/>
    <w:pPr>
      <w:spacing w:line="240" w:lineRule="exact"/>
    </w:pPr>
    <w:rPr>
      <w:rFonts w:ascii="Tahoma" w:eastAsia="Times New Roman" w:hAnsi="Tahoma" w:cs="Times New Roman"/>
      <w:lang w:val="en-US" w:eastAsia="hr-HR"/>
    </w:rPr>
  </w:style>
  <w:style w:type="paragraph" w:customStyle="1" w:styleId="T-98-2">
    <w:name w:val="T-9/8-2"/>
    <w:uiPriority w:val="99"/>
    <w:rsid w:val="006A714D"/>
    <w:pPr>
      <w:widowControl w:val="0"/>
      <w:tabs>
        <w:tab w:val="left" w:pos="2153"/>
      </w:tabs>
      <w:autoSpaceDE w:val="0"/>
      <w:autoSpaceDN w:val="0"/>
      <w:adjustRightInd w:val="0"/>
      <w:spacing w:after="43" w:line="240" w:lineRule="auto"/>
      <w:ind w:firstLine="342"/>
    </w:pPr>
    <w:rPr>
      <w:rFonts w:ascii="Times-NewRoman" w:eastAsia="Times New Roman" w:hAnsi="Times-NewRoman" w:cs="Times New Roman"/>
      <w:sz w:val="19"/>
      <w:szCs w:val="19"/>
      <w:lang w:eastAsia="hr-HR"/>
    </w:rPr>
  </w:style>
  <w:style w:type="paragraph" w:styleId="PlainText">
    <w:name w:val="Plain Text"/>
    <w:basedOn w:val="Normal"/>
    <w:link w:val="PlainTextChar"/>
    <w:uiPriority w:val="99"/>
    <w:rsid w:val="006A714D"/>
    <w:rPr>
      <w:rFonts w:ascii="Courier New" w:eastAsia="Times New Roman" w:hAnsi="Courier New" w:cs="Courier New"/>
      <w:lang w:eastAsia="hr-HR"/>
    </w:rPr>
  </w:style>
  <w:style w:type="character" w:customStyle="1" w:styleId="PlainTextChar">
    <w:name w:val="Plain Text Char"/>
    <w:basedOn w:val="DefaultParagraphFont"/>
    <w:link w:val="PlainText"/>
    <w:uiPriority w:val="99"/>
    <w:rsid w:val="006A714D"/>
    <w:rPr>
      <w:rFonts w:ascii="Courier New" w:eastAsia="Times New Roman" w:hAnsi="Courier New" w:cs="Courier New"/>
      <w:lang w:eastAsia="hr-HR"/>
    </w:rPr>
  </w:style>
  <w:style w:type="paragraph" w:customStyle="1" w:styleId="n4">
    <w:name w:val="n4"/>
    <w:basedOn w:val="Normal"/>
    <w:uiPriority w:val="99"/>
    <w:rsid w:val="006A714D"/>
    <w:pPr>
      <w:spacing w:before="120"/>
    </w:pPr>
    <w:rPr>
      <w:rFonts w:ascii="Arial" w:eastAsia="Times New Roman" w:hAnsi="Arial" w:cs="Times New Roman"/>
      <w:color w:val="000000"/>
      <w:sz w:val="16"/>
      <w:lang w:val="en-US" w:eastAsia="hr-HR"/>
    </w:rPr>
  </w:style>
  <w:style w:type="paragraph" w:customStyle="1" w:styleId="t-98sredina">
    <w:name w:val="t-98sredina"/>
    <w:basedOn w:val="Normal"/>
    <w:uiPriority w:val="99"/>
    <w:rsid w:val="006A714D"/>
    <w:pPr>
      <w:autoSpaceDE w:val="0"/>
      <w:autoSpaceDN w:val="0"/>
      <w:spacing w:before="57" w:after="23"/>
      <w:jc w:val="center"/>
    </w:pPr>
    <w:rPr>
      <w:rFonts w:ascii="Minion Pro Cond" w:eastAsia="Times New Roman" w:hAnsi="Minion Pro Cond" w:cs="Times New Roman"/>
      <w:color w:val="000000"/>
      <w:sz w:val="19"/>
      <w:szCs w:val="19"/>
      <w:lang w:eastAsia="hr-HR"/>
    </w:rPr>
  </w:style>
  <w:style w:type="paragraph" w:customStyle="1" w:styleId="T-98bezuvl">
    <w:name w:val="T-9/8 bez uvl"/>
    <w:basedOn w:val="Normal"/>
    <w:uiPriority w:val="99"/>
    <w:rsid w:val="006A714D"/>
    <w:pPr>
      <w:widowControl w:val="0"/>
      <w:autoSpaceDE w:val="0"/>
      <w:autoSpaceDN w:val="0"/>
      <w:adjustRightInd w:val="0"/>
      <w:spacing w:after="43" w:line="210" w:lineRule="atLeast"/>
    </w:pPr>
    <w:rPr>
      <w:rFonts w:ascii="Minion Pro Cond" w:eastAsia="Times New Roman" w:hAnsi="Minion Pro Cond" w:cs="Minion Pro Cond"/>
      <w:color w:val="000000"/>
      <w:w w:val="95"/>
      <w:lang w:eastAsia="hr-HR"/>
    </w:rPr>
  </w:style>
  <w:style w:type="paragraph" w:customStyle="1" w:styleId="noparagraphstyle0">
    <w:name w:val="noparagraphstyle"/>
    <w:basedOn w:val="Normal"/>
    <w:uiPriority w:val="99"/>
    <w:rsid w:val="006A714D"/>
    <w:pPr>
      <w:autoSpaceDE w:val="0"/>
      <w:autoSpaceDN w:val="0"/>
      <w:spacing w:line="288" w:lineRule="auto"/>
    </w:pPr>
    <w:rPr>
      <w:rFonts w:ascii="Minion Pro Cond" w:eastAsia="Times New Roman" w:hAnsi="Minion Pro Cond" w:cs="Times New Roman"/>
      <w:color w:val="000000"/>
      <w:szCs w:val="24"/>
      <w:lang w:eastAsia="hr-HR"/>
    </w:rPr>
  </w:style>
  <w:style w:type="paragraph" w:customStyle="1" w:styleId="t-87-fusnota">
    <w:name w:val="t-87-fusnota"/>
    <w:basedOn w:val="Normal"/>
    <w:uiPriority w:val="99"/>
    <w:rsid w:val="006A714D"/>
    <w:pPr>
      <w:autoSpaceDE w:val="0"/>
      <w:autoSpaceDN w:val="0"/>
      <w:spacing w:after="43" w:line="276" w:lineRule="auto"/>
    </w:pPr>
    <w:rPr>
      <w:rFonts w:ascii="Minion Pro Cond" w:eastAsia="Times New Roman" w:hAnsi="Minion Pro Cond" w:cs="Times New Roman"/>
      <w:color w:val="000000"/>
      <w:sz w:val="17"/>
      <w:szCs w:val="17"/>
      <w:lang w:eastAsia="hr-HR"/>
    </w:rPr>
  </w:style>
  <w:style w:type="character" w:styleId="PageNumber">
    <w:name w:val="page number"/>
    <w:basedOn w:val="DefaultParagraphFont"/>
    <w:rsid w:val="006A714D"/>
  </w:style>
  <w:style w:type="character" w:styleId="CommentReference">
    <w:name w:val="annotation reference"/>
    <w:uiPriority w:val="99"/>
    <w:rsid w:val="006A714D"/>
    <w:rPr>
      <w:sz w:val="16"/>
      <w:szCs w:val="16"/>
    </w:rPr>
  </w:style>
  <w:style w:type="paragraph" w:styleId="CommentText">
    <w:name w:val="annotation text"/>
    <w:basedOn w:val="Normal"/>
    <w:link w:val="CommentTextChar"/>
    <w:uiPriority w:val="99"/>
    <w:rsid w:val="006A714D"/>
    <w:rPr>
      <w:rFonts w:ascii="Palatino Linotype" w:eastAsia="Times New Roman" w:hAnsi="Palatino Linotype" w:cs="Times New Roman"/>
      <w:lang w:eastAsia="hr-HR"/>
    </w:rPr>
  </w:style>
  <w:style w:type="character" w:customStyle="1" w:styleId="CommentTextChar">
    <w:name w:val="Comment Text Char"/>
    <w:basedOn w:val="DefaultParagraphFont"/>
    <w:link w:val="CommentText"/>
    <w:uiPriority w:val="99"/>
    <w:rsid w:val="006A714D"/>
    <w:rPr>
      <w:rFonts w:ascii="Palatino Linotype" w:eastAsia="Times New Roman" w:hAnsi="Palatino Linotype" w:cs="Times New Roman"/>
      <w:lang w:eastAsia="hr-HR"/>
    </w:rPr>
  </w:style>
  <w:style w:type="paragraph" w:styleId="CommentSubject">
    <w:name w:val="annotation subject"/>
    <w:basedOn w:val="CommentText"/>
    <w:next w:val="CommentText"/>
    <w:link w:val="CommentSubjectChar"/>
    <w:uiPriority w:val="99"/>
    <w:rsid w:val="006A714D"/>
    <w:rPr>
      <w:b/>
      <w:bCs/>
    </w:rPr>
  </w:style>
  <w:style w:type="character" w:customStyle="1" w:styleId="CommentSubjectChar">
    <w:name w:val="Comment Subject Char"/>
    <w:basedOn w:val="CommentTextChar"/>
    <w:link w:val="CommentSubject"/>
    <w:uiPriority w:val="99"/>
    <w:rsid w:val="006A714D"/>
    <w:rPr>
      <w:rFonts w:ascii="Palatino Linotype" w:eastAsia="Times New Roman" w:hAnsi="Palatino Linotype" w:cs="Times New Roman"/>
      <w:b/>
      <w:bCs/>
      <w:lang w:eastAsia="hr-HR"/>
    </w:rPr>
  </w:style>
  <w:style w:type="character" w:styleId="Emphasis">
    <w:name w:val="Emphasis"/>
    <w:basedOn w:val="DefaultParagraphFont"/>
    <w:uiPriority w:val="20"/>
    <w:qFormat/>
    <w:rsid w:val="00EE3488"/>
    <w:rPr>
      <w:i/>
      <w:iCs/>
      <w:color w:val="auto"/>
    </w:rPr>
  </w:style>
  <w:style w:type="character" w:customStyle="1" w:styleId="AZOtextChar">
    <w:name w:val="AZO text Char"/>
    <w:link w:val="AZOtext"/>
    <w:rsid w:val="006A714D"/>
    <w:rPr>
      <w:rFonts w:ascii="Palatino Linotype" w:eastAsia="Times New Roman" w:hAnsi="Palatino Linotype" w:cs="Arial"/>
      <w:color w:val="000000"/>
      <w:lang w:eastAsia="hr-HR"/>
    </w:rPr>
  </w:style>
  <w:style w:type="paragraph" w:styleId="NoSpacing">
    <w:name w:val="No Spacing"/>
    <w:uiPriority w:val="1"/>
    <w:qFormat/>
    <w:rsid w:val="00EE3488"/>
    <w:pPr>
      <w:spacing w:after="0" w:line="240" w:lineRule="auto"/>
    </w:pPr>
  </w:style>
  <w:style w:type="paragraph" w:styleId="List">
    <w:name w:val="List"/>
    <w:basedOn w:val="Normal"/>
    <w:uiPriority w:val="99"/>
    <w:rsid w:val="006A714D"/>
    <w:pPr>
      <w:ind w:left="283" w:hanging="283"/>
      <w:contextualSpacing/>
    </w:pPr>
    <w:rPr>
      <w:rFonts w:ascii="Palatino Linotype" w:eastAsia="Times New Roman" w:hAnsi="Palatino Linotype" w:cs="Times New Roman"/>
      <w:szCs w:val="24"/>
      <w:lang w:eastAsia="hr-HR"/>
    </w:rPr>
  </w:style>
  <w:style w:type="character" w:customStyle="1" w:styleId="StylePalatinoLinotype10pt1">
    <w:name w:val="Style Palatino Linotype 10 pt1"/>
    <w:uiPriority w:val="99"/>
    <w:rsid w:val="006A714D"/>
    <w:rPr>
      <w:rFonts w:ascii="Palatino Linotype" w:hAnsi="Palatino Linotype"/>
      <w:sz w:val="20"/>
    </w:rPr>
  </w:style>
  <w:style w:type="paragraph" w:customStyle="1" w:styleId="Slika">
    <w:name w:val="Slika"/>
    <w:basedOn w:val="Normal"/>
    <w:link w:val="SlikaChar"/>
    <w:rsid w:val="006A714D"/>
    <w:rPr>
      <w:rFonts w:ascii="Palatino Linotype" w:eastAsia="Times New Roman" w:hAnsi="Palatino Linotype" w:cs="Times New Roman"/>
      <w:lang w:eastAsia="x-none"/>
    </w:rPr>
  </w:style>
  <w:style w:type="character" w:customStyle="1" w:styleId="SlikaChar">
    <w:name w:val="Slika Char"/>
    <w:link w:val="Slika"/>
    <w:rsid w:val="006A714D"/>
    <w:rPr>
      <w:rFonts w:ascii="Palatino Linotype" w:eastAsia="Times New Roman" w:hAnsi="Palatino Linotype" w:cs="Times New Roman"/>
      <w:lang w:eastAsia="x-none"/>
    </w:rPr>
  </w:style>
  <w:style w:type="paragraph" w:customStyle="1" w:styleId="StylePalatinoLinotype10pt">
    <w:name w:val="Style Palatino Linotype 10 pt"/>
    <w:basedOn w:val="Normal"/>
    <w:uiPriority w:val="99"/>
    <w:rsid w:val="006A714D"/>
    <w:pPr>
      <w:spacing w:line="281" w:lineRule="auto"/>
    </w:pPr>
    <w:rPr>
      <w:rFonts w:ascii="Palatino Linotype" w:eastAsia="Times New Roman" w:hAnsi="Palatino Linotype" w:cs="Times New Roman"/>
      <w:lang w:eastAsia="hr-HR"/>
    </w:rPr>
  </w:style>
  <w:style w:type="paragraph" w:styleId="TOC4">
    <w:name w:val="toc 4"/>
    <w:basedOn w:val="Normal"/>
    <w:next w:val="Normal"/>
    <w:autoRedefine/>
    <w:uiPriority w:val="39"/>
    <w:unhideWhenUsed/>
    <w:rsid w:val="006A714D"/>
    <w:pPr>
      <w:ind w:left="660"/>
    </w:pPr>
    <w:rPr>
      <w:rFonts w:ascii="Calibri" w:eastAsia="Times New Roman" w:hAnsi="Calibri" w:cs="Times New Roman"/>
      <w:lang w:eastAsia="hr-HR"/>
    </w:rPr>
  </w:style>
  <w:style w:type="paragraph" w:styleId="TOC5">
    <w:name w:val="toc 5"/>
    <w:basedOn w:val="Normal"/>
    <w:next w:val="Normal"/>
    <w:autoRedefine/>
    <w:uiPriority w:val="39"/>
    <w:unhideWhenUsed/>
    <w:rsid w:val="006A714D"/>
    <w:pPr>
      <w:ind w:left="880"/>
    </w:pPr>
    <w:rPr>
      <w:rFonts w:ascii="Calibri" w:eastAsia="Times New Roman" w:hAnsi="Calibri" w:cs="Times New Roman"/>
      <w:lang w:eastAsia="hr-HR"/>
    </w:rPr>
  </w:style>
  <w:style w:type="paragraph" w:styleId="TOC6">
    <w:name w:val="toc 6"/>
    <w:basedOn w:val="Normal"/>
    <w:next w:val="Normal"/>
    <w:autoRedefine/>
    <w:uiPriority w:val="39"/>
    <w:unhideWhenUsed/>
    <w:rsid w:val="006A714D"/>
    <w:pPr>
      <w:ind w:left="1100"/>
    </w:pPr>
    <w:rPr>
      <w:rFonts w:ascii="Calibri" w:eastAsia="Times New Roman" w:hAnsi="Calibri" w:cs="Times New Roman"/>
      <w:lang w:eastAsia="hr-HR"/>
    </w:rPr>
  </w:style>
  <w:style w:type="paragraph" w:styleId="TOC7">
    <w:name w:val="toc 7"/>
    <w:basedOn w:val="Normal"/>
    <w:next w:val="Normal"/>
    <w:autoRedefine/>
    <w:uiPriority w:val="39"/>
    <w:unhideWhenUsed/>
    <w:rsid w:val="006A714D"/>
    <w:pPr>
      <w:ind w:left="1320"/>
    </w:pPr>
    <w:rPr>
      <w:rFonts w:ascii="Calibri" w:eastAsia="Times New Roman" w:hAnsi="Calibri" w:cs="Times New Roman"/>
      <w:lang w:eastAsia="hr-HR"/>
    </w:rPr>
  </w:style>
  <w:style w:type="paragraph" w:customStyle="1" w:styleId="NASLOV12Char">
    <w:name w:val="NASLOV 12 Char"/>
    <w:basedOn w:val="Normal"/>
    <w:next w:val="Normal"/>
    <w:link w:val="NASLOV12CharChar"/>
    <w:uiPriority w:val="99"/>
    <w:rsid w:val="006A714D"/>
    <w:pPr>
      <w:tabs>
        <w:tab w:val="left" w:pos="284"/>
      </w:tabs>
      <w:ind w:left="284"/>
      <w:outlineLvl w:val="1"/>
    </w:pPr>
    <w:rPr>
      <w:rFonts w:ascii="Arial" w:eastAsia="Times New Roman" w:hAnsi="Arial" w:cs="Times New Roman"/>
      <w:b/>
      <w:caps/>
      <w:szCs w:val="24"/>
      <w:lang w:eastAsia="x-none"/>
    </w:rPr>
  </w:style>
  <w:style w:type="character" w:customStyle="1" w:styleId="NASLOV12CharChar">
    <w:name w:val="NASLOV 12 Char Char"/>
    <w:link w:val="NASLOV12Char"/>
    <w:uiPriority w:val="99"/>
    <w:rsid w:val="006A714D"/>
    <w:rPr>
      <w:rFonts w:ascii="Arial" w:eastAsia="Times New Roman" w:hAnsi="Arial" w:cs="Times New Roman"/>
      <w:b/>
      <w:caps/>
      <w:sz w:val="22"/>
      <w:szCs w:val="24"/>
      <w:lang w:eastAsia="x-none"/>
    </w:rPr>
  </w:style>
  <w:style w:type="character" w:customStyle="1" w:styleId="osnivac1">
    <w:name w:val="osnivac1"/>
    <w:semiHidden/>
    <w:rsid w:val="006A714D"/>
    <w:rPr>
      <w:rFonts w:ascii="Verdana" w:hAnsi="Verdana" w:hint="default"/>
      <w:color w:val="006699"/>
      <w:sz w:val="21"/>
      <w:szCs w:val="21"/>
    </w:rPr>
  </w:style>
  <w:style w:type="paragraph" w:customStyle="1" w:styleId="TABLICAChar">
    <w:name w:val="TABLICA Char"/>
    <w:basedOn w:val="Normal"/>
    <w:link w:val="TABLICACharChar1"/>
    <w:uiPriority w:val="99"/>
    <w:rsid w:val="006A714D"/>
    <w:pPr>
      <w:outlineLvl w:val="6"/>
    </w:pPr>
    <w:rPr>
      <w:rFonts w:ascii="Palatino Linotype" w:eastAsia="Times New Roman" w:hAnsi="Palatino Linotype" w:cs="Times New Roman"/>
      <w:i/>
      <w:snapToGrid w:val="0"/>
    </w:rPr>
  </w:style>
  <w:style w:type="character" w:customStyle="1" w:styleId="TABLICACharChar1">
    <w:name w:val="TABLICA Char Char1"/>
    <w:link w:val="TABLICAChar"/>
    <w:uiPriority w:val="99"/>
    <w:rsid w:val="006A714D"/>
    <w:rPr>
      <w:rFonts w:ascii="Palatino Linotype" w:eastAsia="Times New Roman" w:hAnsi="Palatino Linotype" w:cs="Times New Roman"/>
      <w:i/>
      <w:snapToGrid w:val="0"/>
    </w:rPr>
  </w:style>
  <w:style w:type="table" w:customStyle="1" w:styleId="TableGrid0">
    <w:name w:val="TableGrid"/>
    <w:rsid w:val="006A714D"/>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paragraph" w:customStyle="1" w:styleId="Podnaslovxxxx">
    <w:name w:val="Podnaslov x.x.x.x"/>
    <w:basedOn w:val="Normal"/>
    <w:link w:val="PodnaslovxxxxChar"/>
    <w:rsid w:val="006A714D"/>
    <w:pPr>
      <w:keepNext/>
      <w:outlineLvl w:val="3"/>
    </w:pPr>
    <w:rPr>
      <w:rFonts w:ascii="Arial" w:eastAsia="Times New Roman" w:hAnsi="Arial" w:cs="Times New Roman"/>
      <w:b/>
      <w:lang w:eastAsia="x-none"/>
    </w:rPr>
  </w:style>
  <w:style w:type="character" w:customStyle="1" w:styleId="PodnaslovxxxxChar">
    <w:name w:val="Podnaslov x.x.x.x Char"/>
    <w:link w:val="Podnaslovxxxx"/>
    <w:rsid w:val="006A714D"/>
    <w:rPr>
      <w:rFonts w:ascii="Arial" w:eastAsia="Times New Roman" w:hAnsi="Arial" w:cs="Times New Roman"/>
      <w:b/>
      <w:sz w:val="22"/>
      <w:lang w:eastAsia="x-none"/>
    </w:rPr>
  </w:style>
  <w:style w:type="paragraph" w:customStyle="1" w:styleId="StyleNASLOVPisanoBold11PalatinoLinotype10pt">
    <w:name w:val="Style NASLOV Pisano Bold 11 + Palatino Linotype 10 pt"/>
    <w:basedOn w:val="Normal"/>
    <w:uiPriority w:val="99"/>
    <w:rsid w:val="006A714D"/>
    <w:pPr>
      <w:keepNext/>
      <w:outlineLvl w:val="3"/>
    </w:pPr>
    <w:rPr>
      <w:rFonts w:ascii="Palatino Linotype" w:eastAsia="Times New Roman" w:hAnsi="Palatino Linotype" w:cs="Times New Roman"/>
      <w:b/>
      <w:bCs/>
      <w:lang w:val="en-US" w:eastAsia="hr-HR"/>
    </w:rPr>
  </w:style>
  <w:style w:type="character" w:customStyle="1" w:styleId="hps">
    <w:name w:val="hps"/>
    <w:rsid w:val="006A714D"/>
  </w:style>
  <w:style w:type="character" w:customStyle="1" w:styleId="BodyText3Char">
    <w:name w:val="Body Text 3 Char"/>
    <w:rsid w:val="006A714D"/>
    <w:rPr>
      <w:rFonts w:cs="Times New Roman"/>
      <w:sz w:val="22"/>
      <w:lang w:val="hr-HR" w:eastAsia="hr-HR" w:bidi="ar-SA"/>
    </w:rPr>
  </w:style>
  <w:style w:type="paragraph" w:customStyle="1" w:styleId="NASLOV11">
    <w:name w:val="NASLOV 11"/>
    <w:basedOn w:val="Title"/>
    <w:uiPriority w:val="99"/>
    <w:rsid w:val="006A714D"/>
    <w:pPr>
      <w:jc w:val="both"/>
      <w:outlineLvl w:val="2"/>
    </w:pPr>
    <w:rPr>
      <w:rFonts w:ascii="Arial" w:hAnsi="Arial"/>
      <w:bCs w:val="0"/>
      <w:caps/>
      <w:sz w:val="22"/>
      <w:szCs w:val="22"/>
      <w:lang w:eastAsia="x-none"/>
    </w:rPr>
  </w:style>
  <w:style w:type="paragraph" w:styleId="Title">
    <w:name w:val="Title"/>
    <w:basedOn w:val="Normal"/>
    <w:next w:val="Normal"/>
    <w:link w:val="TitleChar"/>
    <w:uiPriority w:val="10"/>
    <w:qFormat/>
    <w:rsid w:val="00EE3488"/>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NaslovChar1">
    <w:name w:val="Naslov Char1"/>
    <w:basedOn w:val="DefaultParagraphFont"/>
    <w:uiPriority w:val="99"/>
    <w:rsid w:val="006A714D"/>
    <w:rPr>
      <w:rFonts w:ascii="Calibri Light" w:eastAsia="Times New Roman" w:hAnsi="Calibri Light" w:cs="Times New Roman"/>
      <w:b/>
      <w:bCs/>
      <w:kern w:val="28"/>
      <w:sz w:val="32"/>
      <w:szCs w:val="32"/>
      <w:lang w:eastAsia="hr-HR"/>
    </w:rPr>
  </w:style>
  <w:style w:type="paragraph" w:customStyle="1" w:styleId="NASLOVPisanoBold11">
    <w:name w:val="NASLOV Pisano Bold 11"/>
    <w:basedOn w:val="Normal"/>
    <w:link w:val="NASLOVPisanoBold11Char"/>
    <w:rsid w:val="006A714D"/>
    <w:pPr>
      <w:keepNext/>
      <w:outlineLvl w:val="3"/>
    </w:pPr>
    <w:rPr>
      <w:rFonts w:ascii="Arial" w:eastAsia="Times New Roman" w:hAnsi="Arial" w:cs="Times New Roman"/>
      <w:b/>
      <w:i/>
      <w:lang w:val="x-none" w:eastAsia="x-none"/>
    </w:rPr>
  </w:style>
  <w:style w:type="character" w:customStyle="1" w:styleId="NASLOVPisanoBold11Char">
    <w:name w:val="NASLOV Pisano Bold 11 Char"/>
    <w:link w:val="NASLOVPisanoBold11"/>
    <w:rsid w:val="006A714D"/>
    <w:rPr>
      <w:rFonts w:ascii="Arial" w:eastAsia="Times New Roman" w:hAnsi="Arial" w:cs="Times New Roman"/>
      <w:b/>
      <w:i/>
      <w:sz w:val="22"/>
      <w:lang w:val="x-none" w:eastAsia="x-none"/>
    </w:rPr>
  </w:style>
  <w:style w:type="numbering" w:customStyle="1" w:styleId="NoList1">
    <w:name w:val="No List1"/>
    <w:next w:val="NoList"/>
    <w:uiPriority w:val="99"/>
    <w:rsid w:val="006A714D"/>
  </w:style>
  <w:style w:type="paragraph" w:styleId="BodyText3">
    <w:name w:val="Body Text 3"/>
    <w:basedOn w:val="Normal"/>
    <w:link w:val="BodyText3Char1"/>
    <w:uiPriority w:val="99"/>
    <w:rsid w:val="006A714D"/>
    <w:pPr>
      <w:spacing w:after="120"/>
    </w:pPr>
    <w:rPr>
      <w:rFonts w:ascii="Arial" w:eastAsia="Times New Roman" w:hAnsi="Arial" w:cs="Times New Roman"/>
      <w:sz w:val="16"/>
      <w:szCs w:val="16"/>
      <w:lang w:eastAsia="hr-HR"/>
    </w:rPr>
  </w:style>
  <w:style w:type="character" w:customStyle="1" w:styleId="BodyText3Char1">
    <w:name w:val="Body Text 3 Char1"/>
    <w:basedOn w:val="DefaultParagraphFont"/>
    <w:link w:val="BodyText3"/>
    <w:uiPriority w:val="99"/>
    <w:rsid w:val="006A714D"/>
    <w:rPr>
      <w:rFonts w:ascii="Arial" w:eastAsia="Times New Roman" w:hAnsi="Arial" w:cs="Times New Roman"/>
      <w:sz w:val="16"/>
      <w:szCs w:val="16"/>
      <w:lang w:eastAsia="hr-HR"/>
    </w:rPr>
  </w:style>
  <w:style w:type="paragraph" w:styleId="BodyText2">
    <w:name w:val="Body Text 2"/>
    <w:basedOn w:val="Normal"/>
    <w:link w:val="BodyText2Char"/>
    <w:uiPriority w:val="99"/>
    <w:rsid w:val="006A714D"/>
    <w:pPr>
      <w:spacing w:after="120" w:line="480" w:lineRule="auto"/>
    </w:pPr>
    <w:rPr>
      <w:rFonts w:ascii="Arial" w:eastAsia="Times New Roman" w:hAnsi="Arial" w:cs="Times New Roman"/>
      <w:lang w:eastAsia="x-none"/>
    </w:rPr>
  </w:style>
  <w:style w:type="character" w:customStyle="1" w:styleId="BodyText2Char">
    <w:name w:val="Body Text 2 Char"/>
    <w:basedOn w:val="DefaultParagraphFont"/>
    <w:link w:val="BodyText2"/>
    <w:uiPriority w:val="99"/>
    <w:rsid w:val="006A714D"/>
    <w:rPr>
      <w:rFonts w:ascii="Arial" w:eastAsia="Times New Roman" w:hAnsi="Arial" w:cs="Times New Roman"/>
      <w:sz w:val="22"/>
      <w:lang w:eastAsia="x-none"/>
    </w:rPr>
  </w:style>
  <w:style w:type="paragraph" w:customStyle="1" w:styleId="Style1">
    <w:name w:val="Style1"/>
    <w:basedOn w:val="Normal"/>
    <w:uiPriority w:val="99"/>
    <w:semiHidden/>
    <w:rsid w:val="006A714D"/>
    <w:rPr>
      <w:rFonts w:ascii="Univers" w:eastAsia="Times New Roman" w:hAnsi="Univers" w:cs="Times New Roman"/>
      <w:lang w:eastAsia="hr-HR"/>
    </w:rPr>
  </w:style>
  <w:style w:type="paragraph" w:customStyle="1" w:styleId="BodyText1">
    <w:name w:val="Body Text1"/>
    <w:uiPriority w:val="99"/>
    <w:rsid w:val="006A714D"/>
    <w:pPr>
      <w:spacing w:after="80" w:line="240" w:lineRule="auto"/>
    </w:pPr>
    <w:rPr>
      <w:rFonts w:ascii="GarmdITC Bk BT" w:eastAsia="Times New Roman" w:hAnsi="GarmdITC Bk BT" w:cs="Times New Roman"/>
      <w:sz w:val="21"/>
      <w:lang w:eastAsia="hr-HR"/>
    </w:rPr>
  </w:style>
  <w:style w:type="paragraph" w:styleId="BodyTextIndent">
    <w:name w:val="Body Text Indent"/>
    <w:basedOn w:val="Normal"/>
    <w:link w:val="BodyTextIndentChar"/>
    <w:uiPriority w:val="99"/>
    <w:rsid w:val="006A714D"/>
    <w:pPr>
      <w:keepLines/>
      <w:ind w:left="425" w:hanging="425"/>
    </w:pPr>
    <w:rPr>
      <w:rFonts w:ascii="Palatino Linotype" w:eastAsia="Times New Roman" w:hAnsi="Palatino Linotype" w:cs="Times New Roman"/>
      <w:color w:val="000000"/>
      <w:lang w:val="x-none" w:eastAsia="x-none"/>
    </w:rPr>
  </w:style>
  <w:style w:type="character" w:customStyle="1" w:styleId="BodyTextIndentChar">
    <w:name w:val="Body Text Indent Char"/>
    <w:basedOn w:val="DefaultParagraphFont"/>
    <w:link w:val="BodyTextIndent"/>
    <w:uiPriority w:val="99"/>
    <w:rsid w:val="006A714D"/>
    <w:rPr>
      <w:rFonts w:ascii="Palatino Linotype" w:eastAsia="Times New Roman" w:hAnsi="Palatino Linotype" w:cs="Times New Roman"/>
      <w:color w:val="000000"/>
      <w:lang w:val="x-none" w:eastAsia="x-none"/>
    </w:rPr>
  </w:style>
  <w:style w:type="paragraph" w:customStyle="1" w:styleId="DefinitionTerm">
    <w:name w:val="Definition Term"/>
    <w:basedOn w:val="Normal"/>
    <w:next w:val="Normal"/>
    <w:uiPriority w:val="99"/>
    <w:semiHidden/>
    <w:rsid w:val="006A714D"/>
    <w:rPr>
      <w:rFonts w:ascii="Palatino Linotype" w:eastAsia="Times New Roman" w:hAnsi="Palatino Linotype" w:cs="Times New Roman"/>
      <w:snapToGrid w:val="0"/>
    </w:rPr>
  </w:style>
  <w:style w:type="paragraph" w:styleId="Subtitle">
    <w:name w:val="Subtitle"/>
    <w:basedOn w:val="Normal"/>
    <w:next w:val="Normal"/>
    <w:link w:val="SubtitleChar"/>
    <w:uiPriority w:val="11"/>
    <w:qFormat/>
    <w:rsid w:val="00EE3488"/>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E3488"/>
    <w:rPr>
      <w:rFonts w:asciiTheme="majorHAnsi" w:eastAsiaTheme="majorEastAsia" w:hAnsiTheme="majorHAnsi" w:cstheme="majorBidi"/>
      <w:sz w:val="24"/>
      <w:szCs w:val="24"/>
    </w:rPr>
  </w:style>
  <w:style w:type="paragraph" w:customStyle="1" w:styleId="NASLOV14">
    <w:name w:val="NASLOV 14"/>
    <w:basedOn w:val="Normal"/>
    <w:next w:val="BodyText1"/>
    <w:link w:val="NASLOV14Char"/>
    <w:autoRedefine/>
    <w:uiPriority w:val="99"/>
    <w:rsid w:val="006A714D"/>
    <w:pPr>
      <w:numPr>
        <w:numId w:val="5"/>
      </w:numPr>
      <w:outlineLvl w:val="0"/>
    </w:pPr>
    <w:rPr>
      <w:rFonts w:ascii="Palatino Linotype" w:eastAsia="Times New Roman" w:hAnsi="Palatino Linotype" w:cs="Times New Roman"/>
      <w:b/>
      <w:sz w:val="28"/>
      <w:szCs w:val="28"/>
      <w:lang w:val="x-none" w:eastAsia="x-none"/>
    </w:rPr>
  </w:style>
  <w:style w:type="character" w:customStyle="1" w:styleId="NASLOV14Char">
    <w:name w:val="NASLOV 14 Char"/>
    <w:link w:val="NASLOV14"/>
    <w:uiPriority w:val="99"/>
    <w:rsid w:val="006A714D"/>
    <w:rPr>
      <w:rFonts w:ascii="Palatino Linotype" w:eastAsia="Times New Roman" w:hAnsi="Palatino Linotype" w:cs="Times New Roman"/>
      <w:b/>
      <w:sz w:val="28"/>
      <w:szCs w:val="28"/>
      <w:lang w:val="x-none" w:eastAsia="x-none"/>
    </w:rPr>
  </w:style>
  <w:style w:type="paragraph" w:styleId="ListBullet2">
    <w:name w:val="List Bullet 2"/>
    <w:basedOn w:val="ListBullet"/>
    <w:autoRedefine/>
    <w:uiPriority w:val="99"/>
    <w:rsid w:val="006A714D"/>
    <w:pPr>
      <w:tabs>
        <w:tab w:val="clear" w:pos="360"/>
      </w:tabs>
      <w:overflowPunct w:val="0"/>
      <w:autoSpaceDE w:val="0"/>
      <w:autoSpaceDN w:val="0"/>
      <w:adjustRightInd w:val="0"/>
      <w:spacing w:after="20" w:line="240" w:lineRule="exact"/>
      <w:ind w:left="1321" w:hanging="357"/>
      <w:textAlignment w:val="baseline"/>
    </w:pPr>
    <w:rPr>
      <w:color w:val="000000"/>
      <w:sz w:val="20"/>
    </w:rPr>
  </w:style>
  <w:style w:type="paragraph" w:styleId="ListBullet">
    <w:name w:val="List Bullet"/>
    <w:basedOn w:val="Normal"/>
    <w:autoRedefine/>
    <w:uiPriority w:val="99"/>
    <w:rsid w:val="006A714D"/>
    <w:pPr>
      <w:tabs>
        <w:tab w:val="num" w:pos="360"/>
      </w:tabs>
      <w:ind w:left="360" w:hanging="360"/>
    </w:pPr>
    <w:rPr>
      <w:rFonts w:ascii="Arial" w:eastAsia="Times New Roman" w:hAnsi="Arial" w:cs="Times New Roman"/>
    </w:rPr>
  </w:style>
  <w:style w:type="paragraph" w:customStyle="1" w:styleId="Text">
    <w:name w:val="Text"/>
    <w:uiPriority w:val="99"/>
    <w:semiHidden/>
    <w:rsid w:val="006A714D"/>
    <w:pPr>
      <w:spacing w:before="40" w:after="20" w:line="240" w:lineRule="auto"/>
    </w:pPr>
    <w:rPr>
      <w:rFonts w:ascii="Arial" w:eastAsia="Times New Roman" w:hAnsi="Arial" w:cs="Times New Roman"/>
      <w:lang w:val="en-GB" w:eastAsia="hr-HR"/>
    </w:rPr>
  </w:style>
  <w:style w:type="paragraph" w:customStyle="1" w:styleId="body">
    <w:name w:val="body"/>
    <w:aliases w:val="text,A"/>
    <w:uiPriority w:val="99"/>
    <w:semiHidden/>
    <w:rsid w:val="006A714D"/>
    <w:pPr>
      <w:spacing w:before="40" w:after="100" w:line="240" w:lineRule="auto"/>
    </w:pPr>
    <w:rPr>
      <w:rFonts w:ascii="Times New Roman" w:eastAsia="Times New Roman" w:hAnsi="Times New Roman" w:cs="Times New Roman"/>
      <w:lang w:val="en-GB" w:eastAsia="hr-HR"/>
    </w:rPr>
  </w:style>
  <w:style w:type="paragraph" w:customStyle="1" w:styleId="KM">
    <w:name w:val="KM"/>
    <w:aliases w:val="Head,4"/>
    <w:basedOn w:val="Heading4"/>
    <w:uiPriority w:val="99"/>
    <w:semiHidden/>
    <w:rsid w:val="006A714D"/>
    <w:pPr>
      <w:ind w:left="720"/>
    </w:pPr>
    <w:rPr>
      <w:rFonts w:ascii="Times New Roman Bold" w:eastAsia="Times New Roman" w:hAnsi="Times New Roman Bold"/>
      <w:b/>
      <w:sz w:val="22"/>
    </w:rPr>
  </w:style>
  <w:style w:type="paragraph" w:customStyle="1" w:styleId="EXECUTIVESUMMARY">
    <w:name w:val="EXECUTIVE SUMMARY"/>
    <w:basedOn w:val="NASLOV14"/>
    <w:uiPriority w:val="99"/>
    <w:rsid w:val="006A714D"/>
    <w:pPr>
      <w:numPr>
        <w:numId w:val="0"/>
      </w:numPr>
    </w:pPr>
  </w:style>
  <w:style w:type="paragraph" w:customStyle="1" w:styleId="tekst0">
    <w:name w:val="tekst"/>
    <w:basedOn w:val="Normal"/>
    <w:uiPriority w:val="99"/>
    <w:semiHidden/>
    <w:rsid w:val="006A714D"/>
    <w:pPr>
      <w:shd w:val="clear" w:color="auto" w:fill="FFFFFF"/>
      <w:spacing w:before="100" w:beforeAutospacing="1" w:after="100" w:afterAutospacing="1"/>
    </w:pPr>
    <w:rPr>
      <w:rFonts w:ascii="Arial" w:eastAsia="Times New Roman" w:hAnsi="Arial" w:cs="Arial"/>
      <w:color w:val="003366"/>
      <w:sz w:val="17"/>
      <w:szCs w:val="17"/>
      <w:lang w:eastAsia="hr-HR"/>
    </w:rPr>
  </w:style>
  <w:style w:type="paragraph" w:customStyle="1" w:styleId="TABLICACharChar">
    <w:name w:val="TABLICA Char Char"/>
    <w:basedOn w:val="Normal"/>
    <w:next w:val="BodyText1"/>
    <w:uiPriority w:val="99"/>
    <w:rsid w:val="006A714D"/>
    <w:rPr>
      <w:rFonts w:ascii="Arial" w:eastAsia="Times New Roman" w:hAnsi="Arial" w:cs="Times New Roman"/>
      <w:i/>
      <w:snapToGrid w:val="0"/>
    </w:rPr>
  </w:style>
  <w:style w:type="character" w:customStyle="1" w:styleId="TABLICACharCharCharChar">
    <w:name w:val="TABLICA Char Char Char Char"/>
    <w:rsid w:val="006A714D"/>
    <w:rPr>
      <w:rFonts w:ascii="Arial" w:hAnsi="Arial"/>
      <w:i/>
      <w:noProof w:val="0"/>
      <w:snapToGrid w:val="0"/>
      <w:sz w:val="22"/>
      <w:lang w:val="en-GB" w:eastAsia="en-US" w:bidi="ar-SA"/>
    </w:rPr>
  </w:style>
  <w:style w:type="character" w:customStyle="1" w:styleId="TABLICACharCharCharCharChar">
    <w:name w:val="TABLICA Char Char Char Char Char"/>
    <w:rsid w:val="006A714D"/>
    <w:rPr>
      <w:rFonts w:ascii="Arial" w:hAnsi="Arial"/>
      <w:i/>
      <w:snapToGrid w:val="0"/>
      <w:sz w:val="22"/>
      <w:szCs w:val="22"/>
      <w:lang w:val="en-GB" w:eastAsia="en-US" w:bidi="ar-SA"/>
    </w:rPr>
  </w:style>
  <w:style w:type="paragraph" w:customStyle="1" w:styleId="SLIKAChar0">
    <w:name w:val="SLIKA Char"/>
    <w:basedOn w:val="Normal"/>
    <w:next w:val="BodyText1"/>
    <w:link w:val="SLIKACharChar"/>
    <w:rsid w:val="006A714D"/>
    <w:pPr>
      <w:jc w:val="center"/>
    </w:pPr>
    <w:rPr>
      <w:rFonts w:ascii="Arial" w:eastAsia="Times New Roman" w:hAnsi="Arial" w:cs="Times New Roman"/>
      <w:i/>
      <w:lang w:eastAsia="hr-HR"/>
    </w:rPr>
  </w:style>
  <w:style w:type="character" w:customStyle="1" w:styleId="SLIKACharChar">
    <w:name w:val="SLIKA Char Char"/>
    <w:link w:val="SLIKAChar0"/>
    <w:rsid w:val="006A714D"/>
    <w:rPr>
      <w:rFonts w:ascii="Arial" w:eastAsia="Times New Roman" w:hAnsi="Arial" w:cs="Times New Roman"/>
      <w:i/>
      <w:sz w:val="22"/>
      <w:lang w:eastAsia="hr-HR"/>
    </w:rPr>
  </w:style>
  <w:style w:type="paragraph" w:customStyle="1" w:styleId="Naslovmala">
    <w:name w:val="Naslov mala"/>
    <w:basedOn w:val="Normal"/>
    <w:next w:val="BodyText1"/>
    <w:uiPriority w:val="99"/>
    <w:semiHidden/>
    <w:rsid w:val="006A714D"/>
    <w:rPr>
      <w:rFonts w:ascii="Arial" w:eastAsia="Times New Roman" w:hAnsi="Arial" w:cs="Times New Roman"/>
      <w:b/>
      <w:lang w:eastAsia="hr-HR"/>
    </w:rPr>
  </w:style>
  <w:style w:type="paragraph" w:customStyle="1" w:styleId="JASMINA2">
    <w:name w:val="JASMINA 2"/>
    <w:basedOn w:val="Normal"/>
    <w:uiPriority w:val="99"/>
    <w:semiHidden/>
    <w:rsid w:val="006A714D"/>
    <w:rPr>
      <w:rFonts w:ascii="Arial" w:eastAsia="Times New Roman" w:hAnsi="Arial" w:cs="Times New Roman"/>
      <w:lang w:eastAsia="hr-HR"/>
    </w:rPr>
  </w:style>
  <w:style w:type="paragraph" w:customStyle="1" w:styleId="JASMINA3">
    <w:name w:val="JASMINA 3"/>
    <w:basedOn w:val="Normal"/>
    <w:uiPriority w:val="99"/>
    <w:semiHidden/>
    <w:rsid w:val="006A714D"/>
    <w:rPr>
      <w:rFonts w:ascii="Arial" w:eastAsia="Times New Roman" w:hAnsi="Arial" w:cs="Times New Roman"/>
      <w:lang w:eastAsia="hr-HR"/>
    </w:rPr>
  </w:style>
  <w:style w:type="paragraph" w:customStyle="1" w:styleId="Jasmina4">
    <w:name w:val="Jasmina 4"/>
    <w:basedOn w:val="Normal"/>
    <w:uiPriority w:val="99"/>
    <w:semiHidden/>
    <w:rsid w:val="006A714D"/>
    <w:rPr>
      <w:rFonts w:ascii="Arial" w:eastAsia="Times New Roman" w:hAnsi="Arial" w:cs="Times New Roman"/>
      <w:lang w:eastAsia="hr-HR"/>
    </w:rPr>
  </w:style>
  <w:style w:type="paragraph" w:styleId="Index1">
    <w:name w:val="index 1"/>
    <w:basedOn w:val="Normal"/>
    <w:next w:val="Normal"/>
    <w:autoRedefine/>
    <w:uiPriority w:val="99"/>
    <w:rsid w:val="006A714D"/>
    <w:pPr>
      <w:ind w:left="220" w:hanging="220"/>
    </w:pPr>
    <w:rPr>
      <w:rFonts w:ascii="Arial" w:eastAsia="Times New Roman" w:hAnsi="Arial" w:cs="Times New Roman"/>
      <w:lang w:eastAsia="hr-HR"/>
    </w:rPr>
  </w:style>
  <w:style w:type="paragraph" w:customStyle="1" w:styleId="ReferencesCitation">
    <w:name w:val="References Citation"/>
    <w:uiPriority w:val="99"/>
    <w:semiHidden/>
    <w:rsid w:val="006A714D"/>
    <w:pPr>
      <w:tabs>
        <w:tab w:val="num" w:pos="360"/>
      </w:tabs>
      <w:spacing w:after="0" w:line="240" w:lineRule="auto"/>
      <w:ind w:left="340" w:hanging="340"/>
    </w:pPr>
    <w:rPr>
      <w:rFonts w:ascii="Times New Roman" w:eastAsia="Times New Roman" w:hAnsi="Times New Roman" w:cs="Times New Roman"/>
      <w:lang w:val="en-GB"/>
    </w:rPr>
  </w:style>
  <w:style w:type="paragraph" w:customStyle="1" w:styleId="TABLICACharChar2">
    <w:name w:val="TABLICA Char Char2"/>
    <w:basedOn w:val="Normal"/>
    <w:next w:val="BodyText1"/>
    <w:link w:val="TABLICACharCharChar"/>
    <w:rsid w:val="006A714D"/>
    <w:pPr>
      <w:outlineLvl w:val="6"/>
    </w:pPr>
    <w:rPr>
      <w:rFonts w:ascii="Arial" w:eastAsia="Times New Roman" w:hAnsi="Arial" w:cs="Times New Roman"/>
      <w:i/>
      <w:snapToGrid w:val="0"/>
    </w:rPr>
  </w:style>
  <w:style w:type="character" w:customStyle="1" w:styleId="TABLICACharCharChar">
    <w:name w:val="TABLICA Char Char Char"/>
    <w:link w:val="TABLICACharChar2"/>
    <w:rsid w:val="006A714D"/>
    <w:rPr>
      <w:rFonts w:ascii="Arial" w:eastAsia="Times New Roman" w:hAnsi="Arial" w:cs="Times New Roman"/>
      <w:i/>
      <w:snapToGrid w:val="0"/>
      <w:sz w:val="22"/>
    </w:rPr>
  </w:style>
  <w:style w:type="character" w:styleId="FollowedHyperlink">
    <w:name w:val="FollowedHyperlink"/>
    <w:uiPriority w:val="99"/>
    <w:rsid w:val="006A714D"/>
    <w:rPr>
      <w:color w:val="800080"/>
      <w:u w:val="single"/>
    </w:rPr>
  </w:style>
  <w:style w:type="paragraph" w:customStyle="1" w:styleId="NASLOVPOGLAVLJA">
    <w:name w:val="NASLOV POGLAVLJA"/>
    <w:basedOn w:val="Normal"/>
    <w:uiPriority w:val="99"/>
    <w:rsid w:val="006A714D"/>
    <w:rPr>
      <w:rFonts w:ascii="Arial" w:eastAsia="Times New Roman" w:hAnsi="Arial" w:cs="Times New Roman"/>
      <w:lang w:eastAsia="hr-HR"/>
    </w:rPr>
  </w:style>
  <w:style w:type="paragraph" w:customStyle="1" w:styleId="PRVIPODNASLOVPOGLAVLJA">
    <w:name w:val="PRVI PODNASLOV POGLAVLJA"/>
    <w:basedOn w:val="Normal"/>
    <w:uiPriority w:val="99"/>
    <w:semiHidden/>
    <w:rsid w:val="006A714D"/>
    <w:rPr>
      <w:rFonts w:ascii="Arial" w:eastAsia="Times New Roman" w:hAnsi="Arial" w:cs="Times New Roman"/>
      <w:lang w:eastAsia="hr-HR"/>
    </w:rPr>
  </w:style>
  <w:style w:type="paragraph" w:customStyle="1" w:styleId="DRUGIPODNASLOVPOGLAVLJA">
    <w:name w:val="DRUGI PODNASLOV POGLAVLJA"/>
    <w:basedOn w:val="Normal"/>
    <w:uiPriority w:val="99"/>
    <w:semiHidden/>
    <w:rsid w:val="006A714D"/>
    <w:rPr>
      <w:rFonts w:ascii="Arial" w:eastAsia="Times New Roman" w:hAnsi="Arial" w:cs="Times New Roman"/>
      <w:lang w:eastAsia="hr-HR"/>
    </w:rPr>
  </w:style>
  <w:style w:type="paragraph" w:customStyle="1" w:styleId="Treipodnaslovpoglavlja">
    <w:name w:val="Treći podnaslov poglavlja"/>
    <w:basedOn w:val="Normal"/>
    <w:uiPriority w:val="99"/>
    <w:semiHidden/>
    <w:rsid w:val="006A714D"/>
    <w:rPr>
      <w:rFonts w:ascii="Arial" w:eastAsia="Times New Roman" w:hAnsi="Arial" w:cs="Times New Roman"/>
      <w:lang w:eastAsia="hr-HR"/>
    </w:rPr>
  </w:style>
  <w:style w:type="paragraph" w:customStyle="1" w:styleId="SUMMARY1">
    <w:name w:val="SUMMARY 1"/>
    <w:basedOn w:val="NASLOV14"/>
    <w:next w:val="Normal"/>
    <w:uiPriority w:val="99"/>
    <w:rsid w:val="006A714D"/>
    <w:pPr>
      <w:numPr>
        <w:numId w:val="0"/>
      </w:numPr>
    </w:pPr>
  </w:style>
  <w:style w:type="paragraph" w:customStyle="1" w:styleId="SUMMARY2Char">
    <w:name w:val="SUMMARY 2 Char"/>
    <w:basedOn w:val="NASLOV12Char"/>
    <w:next w:val="PlainText"/>
    <w:link w:val="SUMMARY2CharChar"/>
    <w:rsid w:val="006A714D"/>
    <w:pPr>
      <w:ind w:left="0"/>
    </w:pPr>
  </w:style>
  <w:style w:type="character" w:customStyle="1" w:styleId="SUMMARY2CharChar">
    <w:name w:val="SUMMARY 2 Char Char"/>
    <w:link w:val="SUMMARY2Char"/>
    <w:rsid w:val="006A714D"/>
    <w:rPr>
      <w:rFonts w:ascii="Arial" w:eastAsia="Times New Roman" w:hAnsi="Arial" w:cs="Times New Roman"/>
      <w:b/>
      <w:caps/>
      <w:sz w:val="22"/>
      <w:szCs w:val="24"/>
      <w:lang w:eastAsia="x-none"/>
    </w:rPr>
  </w:style>
  <w:style w:type="paragraph" w:customStyle="1" w:styleId="SUMMARY3">
    <w:name w:val="SUMMARY 3"/>
    <w:basedOn w:val="NASLOV11"/>
    <w:next w:val="PlainText"/>
    <w:uiPriority w:val="99"/>
    <w:rsid w:val="006A714D"/>
  </w:style>
  <w:style w:type="paragraph" w:customStyle="1" w:styleId="SUMMARY4">
    <w:name w:val="SUMMARY 4"/>
    <w:basedOn w:val="Heading1"/>
    <w:next w:val="PlainText"/>
    <w:uiPriority w:val="99"/>
    <w:rsid w:val="006A714D"/>
    <w:rPr>
      <w:rFonts w:ascii="Arial" w:eastAsia="Times New Roman" w:hAnsi="Arial"/>
      <w:b w:val="0"/>
      <w:sz w:val="24"/>
      <w:lang w:val="x-none" w:eastAsia="x-none"/>
    </w:rPr>
  </w:style>
  <w:style w:type="paragraph" w:customStyle="1" w:styleId="a">
    <w:name w:val="табл"/>
    <w:basedOn w:val="Normal"/>
    <w:uiPriority w:val="99"/>
    <w:semiHidden/>
    <w:rsid w:val="006A714D"/>
    <w:rPr>
      <w:rFonts w:ascii="Palatino Linotype" w:eastAsia="Times New Roman" w:hAnsi="Palatino Linotype" w:cs="Times New Roman"/>
      <w:sz w:val="16"/>
      <w:szCs w:val="16"/>
      <w:lang w:val="en-US" w:eastAsia="ru-RU"/>
    </w:rPr>
  </w:style>
  <w:style w:type="paragraph" w:customStyle="1" w:styleId="10pt">
    <w:name w:val="Стиль табл + 10 pt"/>
    <w:basedOn w:val="a"/>
    <w:uiPriority w:val="99"/>
    <w:semiHidden/>
    <w:rsid w:val="006A714D"/>
    <w:rPr>
      <w:sz w:val="20"/>
    </w:rPr>
  </w:style>
  <w:style w:type="paragraph" w:styleId="Index2">
    <w:name w:val="index 2"/>
    <w:basedOn w:val="Normal"/>
    <w:next w:val="Normal"/>
    <w:autoRedefine/>
    <w:uiPriority w:val="99"/>
    <w:rsid w:val="006A714D"/>
    <w:pPr>
      <w:ind w:left="440" w:hanging="220"/>
    </w:pPr>
    <w:rPr>
      <w:rFonts w:ascii="Arial" w:eastAsia="Times New Roman" w:hAnsi="Arial" w:cs="Times New Roman"/>
      <w:lang w:eastAsia="hr-HR"/>
    </w:rPr>
  </w:style>
  <w:style w:type="paragraph" w:styleId="Index3">
    <w:name w:val="index 3"/>
    <w:basedOn w:val="Normal"/>
    <w:next w:val="Normal"/>
    <w:autoRedefine/>
    <w:uiPriority w:val="99"/>
    <w:rsid w:val="006A714D"/>
    <w:pPr>
      <w:ind w:left="660" w:hanging="220"/>
    </w:pPr>
    <w:rPr>
      <w:rFonts w:ascii="Arial" w:eastAsia="Times New Roman" w:hAnsi="Arial" w:cs="Times New Roman"/>
      <w:lang w:eastAsia="hr-HR"/>
    </w:rPr>
  </w:style>
  <w:style w:type="paragraph" w:styleId="Index4">
    <w:name w:val="index 4"/>
    <w:basedOn w:val="Normal"/>
    <w:next w:val="Normal"/>
    <w:autoRedefine/>
    <w:uiPriority w:val="99"/>
    <w:rsid w:val="006A714D"/>
    <w:pPr>
      <w:ind w:left="880" w:hanging="220"/>
    </w:pPr>
    <w:rPr>
      <w:rFonts w:ascii="Arial" w:eastAsia="Times New Roman" w:hAnsi="Arial" w:cs="Times New Roman"/>
      <w:lang w:eastAsia="hr-HR"/>
    </w:rPr>
  </w:style>
  <w:style w:type="paragraph" w:styleId="Index5">
    <w:name w:val="index 5"/>
    <w:basedOn w:val="Normal"/>
    <w:next w:val="Normal"/>
    <w:autoRedefine/>
    <w:uiPriority w:val="99"/>
    <w:rsid w:val="006A714D"/>
    <w:pPr>
      <w:ind w:left="1100" w:hanging="220"/>
    </w:pPr>
    <w:rPr>
      <w:rFonts w:ascii="Arial" w:eastAsia="Times New Roman" w:hAnsi="Arial" w:cs="Times New Roman"/>
      <w:lang w:eastAsia="hr-HR"/>
    </w:rPr>
  </w:style>
  <w:style w:type="paragraph" w:styleId="Index6">
    <w:name w:val="index 6"/>
    <w:basedOn w:val="Normal"/>
    <w:next w:val="Normal"/>
    <w:autoRedefine/>
    <w:uiPriority w:val="99"/>
    <w:rsid w:val="006A714D"/>
    <w:pPr>
      <w:ind w:left="1320" w:hanging="220"/>
    </w:pPr>
    <w:rPr>
      <w:rFonts w:ascii="Arial" w:eastAsia="Times New Roman" w:hAnsi="Arial" w:cs="Times New Roman"/>
      <w:lang w:eastAsia="hr-HR"/>
    </w:rPr>
  </w:style>
  <w:style w:type="paragraph" w:styleId="Index7">
    <w:name w:val="index 7"/>
    <w:basedOn w:val="Normal"/>
    <w:next w:val="Normal"/>
    <w:autoRedefine/>
    <w:uiPriority w:val="99"/>
    <w:rsid w:val="006A714D"/>
    <w:pPr>
      <w:ind w:left="1540" w:hanging="220"/>
    </w:pPr>
    <w:rPr>
      <w:rFonts w:ascii="Arial" w:eastAsia="Times New Roman" w:hAnsi="Arial" w:cs="Times New Roman"/>
      <w:lang w:eastAsia="hr-HR"/>
    </w:rPr>
  </w:style>
  <w:style w:type="paragraph" w:styleId="Index8">
    <w:name w:val="index 8"/>
    <w:basedOn w:val="Normal"/>
    <w:next w:val="Normal"/>
    <w:autoRedefine/>
    <w:uiPriority w:val="99"/>
    <w:rsid w:val="006A714D"/>
    <w:pPr>
      <w:ind w:left="1760" w:hanging="220"/>
    </w:pPr>
    <w:rPr>
      <w:rFonts w:ascii="Arial" w:eastAsia="Times New Roman" w:hAnsi="Arial" w:cs="Times New Roman"/>
      <w:lang w:eastAsia="hr-HR"/>
    </w:rPr>
  </w:style>
  <w:style w:type="paragraph" w:styleId="Index9">
    <w:name w:val="index 9"/>
    <w:basedOn w:val="Normal"/>
    <w:next w:val="Normal"/>
    <w:autoRedefine/>
    <w:uiPriority w:val="99"/>
    <w:rsid w:val="006A714D"/>
    <w:pPr>
      <w:ind w:left="1980" w:hanging="220"/>
    </w:pPr>
    <w:rPr>
      <w:rFonts w:ascii="Arial" w:eastAsia="Times New Roman" w:hAnsi="Arial" w:cs="Times New Roman"/>
      <w:lang w:eastAsia="hr-HR"/>
    </w:rPr>
  </w:style>
  <w:style w:type="paragraph" w:styleId="DocumentMap">
    <w:name w:val="Document Map"/>
    <w:basedOn w:val="Normal"/>
    <w:link w:val="DocumentMapChar"/>
    <w:uiPriority w:val="99"/>
    <w:rsid w:val="006A714D"/>
    <w:pPr>
      <w:shd w:val="clear" w:color="auto" w:fill="000080"/>
    </w:pPr>
    <w:rPr>
      <w:rFonts w:ascii="Tahoma" w:eastAsia="Times New Roman" w:hAnsi="Tahoma" w:cs="Times New Roman"/>
      <w:lang w:eastAsia="x-none"/>
    </w:rPr>
  </w:style>
  <w:style w:type="character" w:customStyle="1" w:styleId="DocumentMapChar">
    <w:name w:val="Document Map Char"/>
    <w:basedOn w:val="DefaultParagraphFont"/>
    <w:link w:val="DocumentMap"/>
    <w:uiPriority w:val="99"/>
    <w:rsid w:val="006A714D"/>
    <w:rPr>
      <w:rFonts w:ascii="Tahoma" w:eastAsia="Times New Roman" w:hAnsi="Tahoma" w:cs="Times New Roman"/>
      <w:sz w:val="22"/>
      <w:shd w:val="clear" w:color="auto" w:fill="000080"/>
      <w:lang w:eastAsia="x-none"/>
    </w:rPr>
  </w:style>
  <w:style w:type="paragraph" w:styleId="IndexHeading">
    <w:name w:val="index heading"/>
    <w:basedOn w:val="Normal"/>
    <w:next w:val="Index1"/>
    <w:uiPriority w:val="99"/>
    <w:rsid w:val="006A714D"/>
    <w:rPr>
      <w:rFonts w:ascii="Arial" w:eastAsia="Times New Roman" w:hAnsi="Arial" w:cs="Arial"/>
      <w:b/>
      <w:bCs/>
      <w:lang w:eastAsia="hr-HR"/>
    </w:rPr>
  </w:style>
  <w:style w:type="paragraph" w:styleId="TOAHeading">
    <w:name w:val="toa heading"/>
    <w:basedOn w:val="Normal"/>
    <w:next w:val="Normal"/>
    <w:uiPriority w:val="99"/>
    <w:rsid w:val="006A714D"/>
    <w:pPr>
      <w:spacing w:before="120"/>
    </w:pPr>
    <w:rPr>
      <w:rFonts w:ascii="Arial" w:eastAsia="Times New Roman" w:hAnsi="Arial" w:cs="Arial"/>
      <w:b/>
      <w:bCs/>
      <w:szCs w:val="24"/>
      <w:lang w:eastAsia="hr-HR"/>
    </w:rPr>
  </w:style>
  <w:style w:type="paragraph" w:styleId="TableofAuthorities">
    <w:name w:val="table of authorities"/>
    <w:basedOn w:val="Normal"/>
    <w:next w:val="Normal"/>
    <w:uiPriority w:val="99"/>
    <w:rsid w:val="006A714D"/>
    <w:pPr>
      <w:ind w:left="220" w:hanging="220"/>
    </w:pPr>
    <w:rPr>
      <w:rFonts w:ascii="Arial" w:eastAsia="Times New Roman" w:hAnsi="Arial" w:cs="Times New Roman"/>
      <w:lang w:eastAsia="hr-HR"/>
    </w:rPr>
  </w:style>
  <w:style w:type="paragraph" w:styleId="MacroText">
    <w:name w:val="macro"/>
    <w:link w:val="MacroTextChar"/>
    <w:uiPriority w:val="99"/>
    <w:rsid w:val="006A714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lang w:val="en-GB" w:eastAsia="hr-HR"/>
    </w:rPr>
  </w:style>
  <w:style w:type="character" w:customStyle="1" w:styleId="MacroTextChar">
    <w:name w:val="Macro Text Char"/>
    <w:basedOn w:val="DefaultParagraphFont"/>
    <w:link w:val="MacroText"/>
    <w:uiPriority w:val="99"/>
    <w:rsid w:val="006A714D"/>
    <w:rPr>
      <w:rFonts w:ascii="Courier New" w:eastAsia="Times New Roman" w:hAnsi="Courier New" w:cs="Courier New"/>
      <w:lang w:val="en-GB" w:eastAsia="hr-HR"/>
    </w:rPr>
  </w:style>
  <w:style w:type="paragraph" w:customStyle="1" w:styleId="SLIKA0">
    <w:name w:val="SLIKA"/>
    <w:basedOn w:val="Normal"/>
    <w:next w:val="BodyText1"/>
    <w:link w:val="SLIKAChar1"/>
    <w:uiPriority w:val="99"/>
    <w:rsid w:val="006A714D"/>
    <w:pPr>
      <w:jc w:val="center"/>
    </w:pPr>
    <w:rPr>
      <w:rFonts w:ascii="Arial" w:eastAsia="Times New Roman" w:hAnsi="Arial" w:cs="Times New Roman"/>
      <w:i/>
      <w:lang w:eastAsia="x-none"/>
    </w:rPr>
  </w:style>
  <w:style w:type="character" w:customStyle="1" w:styleId="SLIKAChar1">
    <w:name w:val="SLIKA Char1"/>
    <w:link w:val="SLIKA0"/>
    <w:uiPriority w:val="99"/>
    <w:rsid w:val="006A714D"/>
    <w:rPr>
      <w:rFonts w:ascii="Arial" w:eastAsia="Times New Roman" w:hAnsi="Arial" w:cs="Times New Roman"/>
      <w:i/>
      <w:sz w:val="22"/>
      <w:lang w:eastAsia="x-none"/>
    </w:rPr>
  </w:style>
  <w:style w:type="paragraph" w:customStyle="1" w:styleId="ListParagraph1">
    <w:name w:val="List Paragraph1"/>
    <w:aliases w:val="Tablice"/>
    <w:basedOn w:val="Normal"/>
    <w:uiPriority w:val="99"/>
    <w:rsid w:val="006A714D"/>
    <w:pPr>
      <w:ind w:left="720"/>
    </w:pPr>
    <w:rPr>
      <w:rFonts w:ascii="Arial" w:eastAsia="Times New Roman" w:hAnsi="Arial" w:cs="Times New Roman"/>
      <w:lang w:eastAsia="hr-HR"/>
    </w:rPr>
  </w:style>
  <w:style w:type="paragraph" w:customStyle="1" w:styleId="Slike">
    <w:name w:val="Slike"/>
    <w:basedOn w:val="Normal"/>
    <w:uiPriority w:val="99"/>
    <w:rsid w:val="006A714D"/>
    <w:pPr>
      <w:jc w:val="center"/>
    </w:pPr>
    <w:rPr>
      <w:rFonts w:ascii="Arial" w:eastAsia="Times New Roman" w:hAnsi="Arial" w:cs="Times New Roman"/>
      <w:i/>
      <w:color w:val="000000"/>
      <w:lang w:val="pt-PT"/>
    </w:rPr>
  </w:style>
  <w:style w:type="paragraph" w:customStyle="1" w:styleId="RegHead1">
    <w:name w:val="RegHead1"/>
    <w:basedOn w:val="Normal"/>
    <w:next w:val="RegHead2"/>
    <w:uiPriority w:val="99"/>
    <w:rsid w:val="006A714D"/>
    <w:pPr>
      <w:keepNext/>
      <w:spacing w:before="180"/>
      <w:jc w:val="center"/>
    </w:pPr>
    <w:rPr>
      <w:rFonts w:ascii="Palatino Linotype" w:eastAsia="Times New Roman" w:hAnsi="Palatino Linotype" w:cs="Times New Roman"/>
      <w:b/>
      <w:sz w:val="28"/>
      <w:lang w:eastAsia="de-DE"/>
    </w:rPr>
  </w:style>
  <w:style w:type="paragraph" w:customStyle="1" w:styleId="RegHead2">
    <w:name w:val="RegHead2"/>
    <w:basedOn w:val="Normal"/>
    <w:next w:val="RegHead3"/>
    <w:uiPriority w:val="99"/>
    <w:rsid w:val="006A714D"/>
    <w:pPr>
      <w:keepNext/>
      <w:spacing w:before="180"/>
      <w:jc w:val="center"/>
    </w:pPr>
    <w:rPr>
      <w:rFonts w:ascii="Palatino Linotype" w:eastAsia="Times New Roman" w:hAnsi="Palatino Linotype" w:cs="Times New Roman"/>
      <w:b/>
      <w:lang w:eastAsia="de-DE"/>
    </w:rPr>
  </w:style>
  <w:style w:type="paragraph" w:customStyle="1" w:styleId="RegHead3">
    <w:name w:val="RegHead3"/>
    <w:basedOn w:val="Normal"/>
    <w:next w:val="RegPara"/>
    <w:uiPriority w:val="99"/>
    <w:rsid w:val="006A714D"/>
    <w:pPr>
      <w:spacing w:before="180"/>
      <w:jc w:val="center"/>
    </w:pPr>
    <w:rPr>
      <w:rFonts w:ascii="Palatino Linotype" w:eastAsia="Times New Roman" w:hAnsi="Palatino Linotype" w:cs="Times New Roman"/>
      <w:u w:val="single"/>
      <w:lang w:eastAsia="de-DE"/>
    </w:rPr>
  </w:style>
  <w:style w:type="paragraph" w:customStyle="1" w:styleId="RegPara">
    <w:name w:val="RegPara"/>
    <w:basedOn w:val="Normal"/>
    <w:uiPriority w:val="99"/>
    <w:rsid w:val="006A714D"/>
    <w:pPr>
      <w:tabs>
        <w:tab w:val="num" w:pos="360"/>
      </w:tabs>
      <w:spacing w:before="180"/>
    </w:pPr>
    <w:rPr>
      <w:rFonts w:ascii="Palatino Linotype" w:eastAsia="Times New Roman" w:hAnsi="Palatino Linotype" w:cs="Times New Roman"/>
      <w:lang w:eastAsia="de-DE"/>
    </w:rPr>
  </w:style>
  <w:style w:type="paragraph" w:customStyle="1" w:styleId="NASLOVSTUDIJE">
    <w:name w:val="NASLOV STUDIJE"/>
    <w:basedOn w:val="Normal"/>
    <w:uiPriority w:val="99"/>
    <w:rsid w:val="006A714D"/>
    <w:pPr>
      <w:jc w:val="right"/>
    </w:pPr>
    <w:rPr>
      <w:rFonts w:ascii="Arial" w:eastAsia="MS Mincho" w:hAnsi="Arial" w:cs="Times New Roman"/>
      <w:b/>
      <w:bCs/>
      <w:sz w:val="32"/>
      <w:lang w:eastAsia="ja-JP"/>
    </w:rPr>
  </w:style>
  <w:style w:type="paragraph" w:customStyle="1" w:styleId="NASLOV12">
    <w:name w:val="NASLOV 12"/>
    <w:basedOn w:val="Normal"/>
    <w:next w:val="BodyText"/>
    <w:uiPriority w:val="99"/>
    <w:rsid w:val="006A714D"/>
    <w:pPr>
      <w:tabs>
        <w:tab w:val="left" w:pos="284"/>
        <w:tab w:val="num" w:pos="1440"/>
      </w:tabs>
      <w:ind w:left="1440" w:hanging="360"/>
      <w:outlineLvl w:val="1"/>
    </w:pPr>
    <w:rPr>
      <w:rFonts w:ascii="Arial" w:eastAsia="Times New Roman" w:hAnsi="Arial" w:cs="Times New Roman"/>
      <w:b/>
      <w:caps/>
      <w:szCs w:val="24"/>
      <w:lang w:eastAsia="x-none"/>
    </w:rPr>
  </w:style>
  <w:style w:type="character" w:customStyle="1" w:styleId="TABLICACharCharChar1">
    <w:name w:val="TABLICA Char Char Char1"/>
    <w:rsid w:val="006A714D"/>
    <w:rPr>
      <w:rFonts w:ascii="Arial" w:hAnsi="Arial"/>
      <w:i/>
      <w:noProof w:val="0"/>
      <w:snapToGrid w:val="0"/>
      <w:sz w:val="22"/>
      <w:lang w:val="en-GB" w:eastAsia="en-US" w:bidi="ar-SA"/>
    </w:rPr>
  </w:style>
  <w:style w:type="paragraph" w:customStyle="1" w:styleId="SUMMARY2">
    <w:name w:val="SUMMARY 2"/>
    <w:basedOn w:val="NASLOV12"/>
    <w:next w:val="PlainText"/>
    <w:uiPriority w:val="99"/>
    <w:rsid w:val="006A714D"/>
    <w:pPr>
      <w:tabs>
        <w:tab w:val="clear" w:pos="1440"/>
      </w:tabs>
      <w:ind w:left="0" w:firstLine="0"/>
    </w:pPr>
    <w:rPr>
      <w:lang w:eastAsia="hr-HR"/>
    </w:rPr>
  </w:style>
  <w:style w:type="paragraph" w:customStyle="1" w:styleId="CharChar1CharChar1">
    <w:name w:val="Char Char1 Char Char1"/>
    <w:basedOn w:val="Normal"/>
    <w:next w:val="Normal"/>
    <w:uiPriority w:val="99"/>
    <w:semiHidden/>
    <w:rsid w:val="006A714D"/>
    <w:pPr>
      <w:spacing w:line="240" w:lineRule="exact"/>
    </w:pPr>
    <w:rPr>
      <w:rFonts w:ascii="Tahoma" w:eastAsia="Times New Roman" w:hAnsi="Tahoma" w:cs="Times New Roman"/>
      <w:lang w:val="en-US"/>
    </w:rPr>
  </w:style>
  <w:style w:type="paragraph" w:customStyle="1" w:styleId="CharCharCharCharCharCharCharCharChar">
    <w:name w:val="Char Char Char Char Char Char Char Char Char"/>
    <w:basedOn w:val="Normal"/>
    <w:uiPriority w:val="99"/>
    <w:semiHidden/>
    <w:rsid w:val="006A714D"/>
    <w:pPr>
      <w:spacing w:line="240" w:lineRule="exact"/>
    </w:pPr>
    <w:rPr>
      <w:rFonts w:ascii="Tahoma" w:eastAsia="Times New Roman" w:hAnsi="Tahoma" w:cs="Times New Roman"/>
      <w:lang w:val="en-US"/>
    </w:rPr>
  </w:style>
  <w:style w:type="paragraph" w:customStyle="1" w:styleId="CharCharCharCharCharCharChar">
    <w:name w:val="Char Char Char Char Char Char Char"/>
    <w:basedOn w:val="Normal"/>
    <w:uiPriority w:val="99"/>
    <w:semiHidden/>
    <w:rsid w:val="006A714D"/>
    <w:pPr>
      <w:spacing w:line="240" w:lineRule="exact"/>
    </w:pPr>
    <w:rPr>
      <w:rFonts w:ascii="Tahoma" w:eastAsia="Times New Roman" w:hAnsi="Tahoma" w:cs="Times New Roman"/>
      <w:lang w:val="en-US"/>
    </w:rPr>
  </w:style>
  <w:style w:type="paragraph" w:customStyle="1" w:styleId="Odlomak">
    <w:name w:val="Odlomak"/>
    <w:basedOn w:val="BodyText"/>
    <w:link w:val="OdlomakChar"/>
    <w:autoRedefine/>
    <w:rsid w:val="006A714D"/>
    <w:pPr>
      <w:numPr>
        <w:ilvl w:val="1"/>
      </w:numPr>
      <w:tabs>
        <w:tab w:val="num" w:pos="360"/>
        <w:tab w:val="left" w:pos="412"/>
      </w:tabs>
    </w:pPr>
    <w:rPr>
      <w:rFonts w:ascii="Arial" w:eastAsia="Times New Roman" w:hAnsi="Arial" w:cs="Times New Roman"/>
      <w:lang w:val="x-none" w:eastAsia="x-none"/>
    </w:rPr>
  </w:style>
  <w:style w:type="character" w:customStyle="1" w:styleId="OdlomakChar">
    <w:name w:val="Odlomak Char"/>
    <w:link w:val="Odlomak"/>
    <w:rsid w:val="006A714D"/>
    <w:rPr>
      <w:rFonts w:ascii="Arial" w:eastAsia="Times New Roman" w:hAnsi="Arial" w:cs="Times New Roman"/>
      <w:sz w:val="22"/>
      <w:szCs w:val="22"/>
      <w:lang w:val="x-none" w:eastAsia="x-none"/>
    </w:rPr>
  </w:style>
  <w:style w:type="table" w:styleId="LightList-Accent5">
    <w:name w:val="Light List Accent 5"/>
    <w:basedOn w:val="TableNormal"/>
    <w:uiPriority w:val="61"/>
    <w:rsid w:val="006A714D"/>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PlaceholderText">
    <w:name w:val="Placeholder Text"/>
    <w:uiPriority w:val="99"/>
    <w:semiHidden/>
    <w:rsid w:val="006A714D"/>
    <w:rPr>
      <w:color w:val="808080"/>
    </w:rPr>
  </w:style>
  <w:style w:type="paragraph" w:customStyle="1" w:styleId="Default">
    <w:name w:val="Default"/>
    <w:rsid w:val="006A714D"/>
    <w:pPr>
      <w:autoSpaceDE w:val="0"/>
      <w:autoSpaceDN w:val="0"/>
      <w:adjustRightInd w:val="0"/>
      <w:spacing w:after="0" w:line="240" w:lineRule="auto"/>
    </w:pPr>
    <w:rPr>
      <w:rFonts w:ascii="Verdana" w:eastAsia="Times New Roman" w:hAnsi="Verdana" w:cs="Verdana"/>
      <w:color w:val="000000"/>
      <w:sz w:val="24"/>
      <w:szCs w:val="24"/>
      <w:lang w:eastAsia="hr-HR"/>
    </w:rPr>
  </w:style>
  <w:style w:type="paragraph" w:customStyle="1" w:styleId="Podnaslovxx">
    <w:name w:val="Podnaslov x.x"/>
    <w:basedOn w:val="NASLOV12Char"/>
    <w:link w:val="PodnaslovxxChar"/>
    <w:rsid w:val="006A714D"/>
    <w:rPr>
      <w:iCs/>
      <w:lang w:val="en-US"/>
    </w:rPr>
  </w:style>
  <w:style w:type="character" w:customStyle="1" w:styleId="PodnaslovxxChar">
    <w:name w:val="Podnaslov x.x Char"/>
    <w:link w:val="Podnaslovxx"/>
    <w:rsid w:val="006A714D"/>
    <w:rPr>
      <w:rFonts w:ascii="Arial" w:eastAsia="Times New Roman" w:hAnsi="Arial" w:cs="Times New Roman"/>
      <w:b/>
      <w:iCs/>
      <w:caps/>
      <w:sz w:val="22"/>
      <w:szCs w:val="24"/>
      <w:lang w:val="en-US" w:eastAsia="x-none"/>
    </w:rPr>
  </w:style>
  <w:style w:type="paragraph" w:customStyle="1" w:styleId="Naslov30">
    <w:name w:val="Naslov3"/>
    <w:basedOn w:val="NASLOV14"/>
    <w:uiPriority w:val="99"/>
    <w:rsid w:val="006A714D"/>
  </w:style>
  <w:style w:type="character" w:customStyle="1" w:styleId="TitleChar">
    <w:name w:val="Title Char"/>
    <w:basedOn w:val="DefaultParagraphFont"/>
    <w:link w:val="Title"/>
    <w:uiPriority w:val="10"/>
    <w:rsid w:val="00EE3488"/>
    <w:rPr>
      <w:rFonts w:asciiTheme="majorHAnsi" w:eastAsiaTheme="majorEastAsia" w:hAnsiTheme="majorHAnsi" w:cstheme="majorBidi"/>
      <w:b/>
      <w:bCs/>
      <w:spacing w:val="-7"/>
      <w:sz w:val="48"/>
      <w:szCs w:val="48"/>
    </w:rPr>
  </w:style>
  <w:style w:type="table" w:styleId="LightShading-Accent3">
    <w:name w:val="Light Shading Accent 3"/>
    <w:basedOn w:val="TableNormal"/>
    <w:uiPriority w:val="60"/>
    <w:rsid w:val="006A714D"/>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Revision">
    <w:name w:val="Revision"/>
    <w:hidden/>
    <w:uiPriority w:val="99"/>
    <w:semiHidden/>
    <w:rsid w:val="006A714D"/>
    <w:pPr>
      <w:spacing w:after="0" w:line="240" w:lineRule="auto"/>
    </w:pPr>
    <w:rPr>
      <w:rFonts w:ascii="Arial" w:eastAsia="Times New Roman" w:hAnsi="Arial" w:cs="Times New Roman"/>
      <w:lang w:val="en-GB" w:eastAsia="hr-HR"/>
    </w:rPr>
  </w:style>
  <w:style w:type="table" w:styleId="MediumShading1-Accent6">
    <w:name w:val="Medium Shading 1 Accent 6"/>
    <w:basedOn w:val="TableNormal"/>
    <w:uiPriority w:val="63"/>
    <w:rsid w:val="006A714D"/>
    <w:pPr>
      <w:spacing w:after="0" w:line="240" w:lineRule="auto"/>
    </w:pPr>
    <w:rPr>
      <w:rFonts w:ascii="Calibri" w:eastAsia="Calibri" w:hAnsi="Calibri"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mojaSlika">
    <w:name w:val="mojaSlika"/>
    <w:next w:val="Normal"/>
    <w:uiPriority w:val="99"/>
    <w:rsid w:val="006A714D"/>
    <w:pPr>
      <w:spacing w:after="0" w:line="300" w:lineRule="atLeast"/>
      <w:jc w:val="center"/>
    </w:pPr>
    <w:rPr>
      <w:rFonts w:ascii="Arial" w:eastAsia="Times New Roman" w:hAnsi="Arial" w:cs="Times New Roman"/>
      <w:i/>
      <w:szCs w:val="24"/>
      <w:lang w:eastAsia="hr-HR"/>
    </w:rPr>
  </w:style>
  <w:style w:type="character" w:customStyle="1" w:styleId="Char23">
    <w:name w:val="Char23"/>
    <w:rsid w:val="006A714D"/>
    <w:rPr>
      <w:rFonts w:ascii="Arial" w:hAnsi="Arial"/>
      <w:b/>
      <w:sz w:val="22"/>
      <w:lang w:val="en-US"/>
    </w:rPr>
  </w:style>
  <w:style w:type="character" w:customStyle="1" w:styleId="Char22">
    <w:name w:val="Char22"/>
    <w:rsid w:val="006A714D"/>
    <w:rPr>
      <w:rFonts w:ascii="Arial" w:hAnsi="Arial"/>
      <w:b/>
      <w:sz w:val="40"/>
    </w:rPr>
  </w:style>
  <w:style w:type="paragraph" w:customStyle="1" w:styleId="BodyText11">
    <w:name w:val="Body Text11"/>
    <w:uiPriority w:val="99"/>
    <w:rsid w:val="006A714D"/>
    <w:pPr>
      <w:spacing w:after="80" w:line="240" w:lineRule="auto"/>
    </w:pPr>
    <w:rPr>
      <w:rFonts w:ascii="GarmdITC Bk BT" w:eastAsia="Times New Roman" w:hAnsi="GarmdITC Bk BT" w:cs="Times New Roman"/>
      <w:sz w:val="21"/>
      <w:lang w:eastAsia="hr-HR"/>
    </w:rPr>
  </w:style>
  <w:style w:type="character" w:customStyle="1" w:styleId="shorttext">
    <w:name w:val="short_text"/>
    <w:rsid w:val="006A714D"/>
  </w:style>
  <w:style w:type="character" w:customStyle="1" w:styleId="atn">
    <w:name w:val="atn"/>
    <w:rsid w:val="006A714D"/>
  </w:style>
  <w:style w:type="paragraph" w:customStyle="1" w:styleId="Trecipodnaslovpoglavlja">
    <w:name w:val="Treci podnaslov poglavlja"/>
    <w:basedOn w:val="DRUGIPODNASLOVPOGLAVLJA"/>
    <w:uiPriority w:val="99"/>
    <w:rsid w:val="006A714D"/>
    <w:pPr>
      <w:spacing w:line="400" w:lineRule="exact"/>
    </w:pPr>
    <w:rPr>
      <w:b/>
    </w:rPr>
  </w:style>
  <w:style w:type="paragraph" w:customStyle="1" w:styleId="Slikeitablica">
    <w:name w:val="Slike i tablica"/>
    <w:basedOn w:val="tekst0"/>
    <w:uiPriority w:val="99"/>
    <w:rsid w:val="006A714D"/>
    <w:pPr>
      <w:shd w:val="clear" w:color="auto" w:fill="auto"/>
      <w:spacing w:before="0" w:beforeAutospacing="0" w:after="0" w:afterAutospacing="0" w:line="280" w:lineRule="exact"/>
      <w:jc w:val="center"/>
    </w:pPr>
    <w:rPr>
      <w:rFonts w:cs="Times New Roman"/>
      <w:i/>
      <w:color w:val="auto"/>
      <w:sz w:val="22"/>
      <w:szCs w:val="22"/>
      <w:lang w:val="en-GB"/>
    </w:rPr>
  </w:style>
  <w:style w:type="character" w:customStyle="1" w:styleId="longtext">
    <w:name w:val="long_text"/>
    <w:uiPriority w:val="99"/>
    <w:rsid w:val="006A714D"/>
  </w:style>
  <w:style w:type="paragraph" w:customStyle="1" w:styleId="Peruskpl">
    <w:name w:val="Peruskpl"/>
    <w:basedOn w:val="Normal"/>
    <w:uiPriority w:val="99"/>
    <w:rsid w:val="006A714D"/>
    <w:pPr>
      <w:tabs>
        <w:tab w:val="left" w:pos="432"/>
        <w:tab w:val="left" w:pos="864"/>
        <w:tab w:val="left" w:pos="2592"/>
        <w:tab w:val="left" w:pos="3024"/>
        <w:tab w:val="left" w:pos="3456"/>
      </w:tabs>
      <w:spacing w:before="240" w:line="240" w:lineRule="atLeast"/>
      <w:ind w:left="2591"/>
    </w:pPr>
    <w:rPr>
      <w:rFonts w:ascii="Palatino Linotype" w:eastAsia="Times New Roman" w:hAnsi="Palatino Linotype" w:cs="Times New Roman"/>
      <w:lang w:eastAsia="fi-FI"/>
    </w:rPr>
  </w:style>
  <w:style w:type="paragraph" w:customStyle="1" w:styleId="CharChar1CharChar11">
    <w:name w:val="Char Char1 Char Char11"/>
    <w:basedOn w:val="Normal"/>
    <w:next w:val="Normal"/>
    <w:uiPriority w:val="99"/>
    <w:semiHidden/>
    <w:rsid w:val="006A714D"/>
    <w:pPr>
      <w:spacing w:line="240" w:lineRule="exact"/>
    </w:pPr>
    <w:rPr>
      <w:rFonts w:ascii="Tahoma" w:eastAsia="Times New Roman" w:hAnsi="Tahoma" w:cs="Times New Roman"/>
      <w:lang w:val="en-US"/>
    </w:rPr>
  </w:style>
  <w:style w:type="paragraph" w:customStyle="1" w:styleId="CharCharCharCharCharCharCharCharChar1">
    <w:name w:val="Char Char Char Char Char Char Char Char Char1"/>
    <w:basedOn w:val="Normal"/>
    <w:uiPriority w:val="99"/>
    <w:semiHidden/>
    <w:rsid w:val="006A714D"/>
    <w:pPr>
      <w:spacing w:line="240" w:lineRule="exact"/>
    </w:pPr>
    <w:rPr>
      <w:rFonts w:ascii="Tahoma" w:eastAsia="Times New Roman" w:hAnsi="Tahoma" w:cs="Times New Roman"/>
      <w:lang w:val="en-US"/>
    </w:rPr>
  </w:style>
  <w:style w:type="paragraph" w:customStyle="1" w:styleId="CharChar11">
    <w:name w:val="Char Char11"/>
    <w:basedOn w:val="Normal"/>
    <w:uiPriority w:val="99"/>
    <w:semiHidden/>
    <w:rsid w:val="006A714D"/>
    <w:pPr>
      <w:spacing w:line="240" w:lineRule="exact"/>
    </w:pPr>
    <w:rPr>
      <w:rFonts w:ascii="Tahoma" w:eastAsia="Times New Roman" w:hAnsi="Tahoma" w:cs="Times New Roman"/>
      <w:lang w:val="en-US"/>
    </w:rPr>
  </w:style>
  <w:style w:type="paragraph" w:customStyle="1" w:styleId="CharCharCharCharCharCharChar1">
    <w:name w:val="Char Char Char Char Char Char Char1"/>
    <w:basedOn w:val="Normal"/>
    <w:uiPriority w:val="99"/>
    <w:semiHidden/>
    <w:rsid w:val="006A714D"/>
    <w:pPr>
      <w:spacing w:line="240" w:lineRule="exact"/>
    </w:pPr>
    <w:rPr>
      <w:rFonts w:ascii="Tahoma" w:eastAsia="Times New Roman" w:hAnsi="Tahoma" w:cs="Times New Roman"/>
      <w:lang w:val="en-US"/>
    </w:rPr>
  </w:style>
  <w:style w:type="character" w:customStyle="1" w:styleId="Char231">
    <w:name w:val="Char231"/>
    <w:rsid w:val="006A714D"/>
    <w:rPr>
      <w:rFonts w:ascii="Arial" w:hAnsi="Arial"/>
      <w:b/>
      <w:sz w:val="22"/>
      <w:lang w:val="en-US"/>
    </w:rPr>
  </w:style>
  <w:style w:type="character" w:customStyle="1" w:styleId="Char221">
    <w:name w:val="Char221"/>
    <w:rsid w:val="006A714D"/>
    <w:rPr>
      <w:rFonts w:ascii="Arial" w:hAnsi="Arial"/>
      <w:b/>
      <w:sz w:val="40"/>
    </w:rPr>
  </w:style>
  <w:style w:type="character" w:customStyle="1" w:styleId="BodyTextChar1">
    <w:name w:val="Body Text Char1"/>
    <w:aliases w:val="uvlaka 2 Char1,Tijelo teksta1 Char1,uvlaka 21 Char1,uvlaka 211 Char1,uvlaka 3 Char1,uvlaka 31 Char1,uvlaka 311 Char1,Tijelo teksta11 Char1,Tijelo teksta111 Char1,uvlaka 2111 Char1,Tijelo teksta1111 Char1,uvlaka 21111 Char1"/>
    <w:uiPriority w:val="99"/>
    <w:semiHidden/>
    <w:rsid w:val="006A714D"/>
    <w:rPr>
      <w:rFonts w:ascii="Arial" w:eastAsia="Times New Roman" w:hAnsi="Arial" w:cs="Times New Roman"/>
      <w:szCs w:val="20"/>
      <w:lang w:val="en-GB" w:eastAsia="hr-HR"/>
    </w:rPr>
  </w:style>
  <w:style w:type="paragraph" w:customStyle="1" w:styleId="Textkrper1">
    <w:name w:val="Textkörper1"/>
    <w:uiPriority w:val="99"/>
    <w:rsid w:val="006A714D"/>
    <w:pPr>
      <w:spacing w:after="80" w:line="240" w:lineRule="auto"/>
    </w:pPr>
    <w:rPr>
      <w:rFonts w:ascii="GarmdITC Bk BT" w:eastAsia="Times New Roman" w:hAnsi="GarmdITC Bk BT" w:cs="Times New Roman"/>
      <w:sz w:val="21"/>
      <w:lang w:eastAsia="hr-HR"/>
    </w:rPr>
  </w:style>
  <w:style w:type="paragraph" w:customStyle="1" w:styleId="Naslov20">
    <w:name w:val="Naslov2"/>
    <w:basedOn w:val="NASLOV14"/>
    <w:uiPriority w:val="99"/>
    <w:rsid w:val="006A714D"/>
  </w:style>
  <w:style w:type="character" w:customStyle="1" w:styleId="FootnoteTextChar1">
    <w:name w:val="Footnote Text Char1"/>
    <w:aliases w:val="Footnote Char1 Char,Footnote Char Char Char Char Char,Footnote Char Char Char1 Char,Footnote Char Char1 Char,Footnote Char Char Char Char1,Footnote Char2,Geneva 9 Char2"/>
    <w:uiPriority w:val="99"/>
    <w:rsid w:val="006A714D"/>
    <w:rPr>
      <w:rFonts w:ascii="Arial" w:eastAsia="Times New Roman" w:hAnsi="Arial" w:cs="Times New Roman"/>
      <w:sz w:val="20"/>
      <w:szCs w:val="20"/>
      <w:lang w:val="en-GB" w:eastAsia="hr-HR"/>
    </w:rPr>
  </w:style>
  <w:style w:type="character" w:customStyle="1" w:styleId="alt-edited1">
    <w:name w:val="alt-edited1"/>
    <w:rsid w:val="006A714D"/>
    <w:rPr>
      <w:color w:val="4D90F0"/>
    </w:rPr>
  </w:style>
  <w:style w:type="paragraph" w:customStyle="1" w:styleId="Naslov4">
    <w:name w:val="Naslov4"/>
    <w:basedOn w:val="NASLOV14"/>
    <w:uiPriority w:val="99"/>
    <w:rsid w:val="006A714D"/>
    <w:pPr>
      <w:numPr>
        <w:numId w:val="4"/>
      </w:numPr>
    </w:pPr>
  </w:style>
  <w:style w:type="character" w:customStyle="1" w:styleId="st1">
    <w:name w:val="st1"/>
    <w:rsid w:val="006A714D"/>
  </w:style>
  <w:style w:type="table" w:customStyle="1" w:styleId="TableGrid1">
    <w:name w:val="Table Grid1"/>
    <w:basedOn w:val="TableNormal"/>
    <w:next w:val="TableGrid"/>
    <w:uiPriority w:val="59"/>
    <w:rsid w:val="006A71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A714D"/>
  </w:style>
  <w:style w:type="paragraph" w:customStyle="1" w:styleId="font5">
    <w:name w:val="font5"/>
    <w:basedOn w:val="Normal"/>
    <w:uiPriority w:val="99"/>
    <w:rsid w:val="006A714D"/>
    <w:pPr>
      <w:spacing w:before="100" w:beforeAutospacing="1" w:after="100" w:afterAutospacing="1"/>
    </w:pPr>
    <w:rPr>
      <w:rFonts w:ascii="Palatino Linotype" w:eastAsia="Times New Roman" w:hAnsi="Palatino Linotype" w:cs="Times New Roman"/>
      <w:color w:val="000000"/>
      <w:lang w:eastAsia="hr-HR"/>
    </w:rPr>
  </w:style>
  <w:style w:type="paragraph" w:customStyle="1" w:styleId="xl65">
    <w:name w:val="xl65"/>
    <w:basedOn w:val="Normal"/>
    <w:uiPriority w:val="99"/>
    <w:rsid w:val="006A714D"/>
    <w:pPr>
      <w:spacing w:before="100" w:beforeAutospacing="1" w:after="100" w:afterAutospacing="1"/>
      <w:textAlignment w:val="center"/>
    </w:pPr>
    <w:rPr>
      <w:rFonts w:ascii="Palatino Linotype" w:eastAsia="Times New Roman" w:hAnsi="Palatino Linotype" w:cs="Times New Roman"/>
      <w:lang w:eastAsia="hr-HR"/>
    </w:rPr>
  </w:style>
  <w:style w:type="paragraph" w:customStyle="1" w:styleId="xl66">
    <w:name w:val="xl66"/>
    <w:basedOn w:val="Normal"/>
    <w:uiPriority w:val="99"/>
    <w:rsid w:val="006A714D"/>
    <w:pPr>
      <w:spacing w:before="100" w:beforeAutospacing="1" w:after="100" w:afterAutospacing="1"/>
      <w:textAlignment w:val="center"/>
    </w:pPr>
    <w:rPr>
      <w:rFonts w:ascii="Palatino Linotype" w:eastAsia="Times New Roman" w:hAnsi="Palatino Linotype" w:cs="Times New Roman"/>
      <w:lang w:eastAsia="hr-HR"/>
    </w:rPr>
  </w:style>
  <w:style w:type="paragraph" w:customStyle="1" w:styleId="xl67">
    <w:name w:val="xl67"/>
    <w:basedOn w:val="Normal"/>
    <w:uiPriority w:val="99"/>
    <w:rsid w:val="006A714D"/>
    <w:pPr>
      <w:spacing w:before="100" w:beforeAutospacing="1" w:after="100" w:afterAutospacing="1"/>
      <w:textAlignment w:val="center"/>
    </w:pPr>
    <w:rPr>
      <w:rFonts w:ascii="Palatino Linotype" w:eastAsia="Times New Roman" w:hAnsi="Palatino Linotype" w:cs="Times New Roman"/>
      <w:b/>
      <w:bCs/>
      <w:color w:val="000000"/>
      <w:lang w:eastAsia="hr-HR"/>
    </w:rPr>
  </w:style>
  <w:style w:type="paragraph" w:customStyle="1" w:styleId="xl68">
    <w:name w:val="xl68"/>
    <w:basedOn w:val="Normal"/>
    <w:uiPriority w:val="99"/>
    <w:rsid w:val="006A714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Palatino Linotype" w:eastAsia="Times New Roman" w:hAnsi="Palatino Linotype" w:cs="Times New Roman"/>
      <w:b/>
      <w:bCs/>
      <w:color w:val="000000"/>
      <w:lang w:eastAsia="hr-HR"/>
    </w:rPr>
  </w:style>
  <w:style w:type="paragraph" w:customStyle="1" w:styleId="xl69">
    <w:name w:val="xl69"/>
    <w:basedOn w:val="Normal"/>
    <w:uiPriority w:val="99"/>
    <w:rsid w:val="006A714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Palatino Linotype" w:eastAsia="Times New Roman" w:hAnsi="Palatino Linotype" w:cs="Times New Roman"/>
      <w:b/>
      <w:bCs/>
      <w:i/>
      <w:iCs/>
      <w:color w:val="000000"/>
      <w:lang w:eastAsia="hr-HR"/>
    </w:rPr>
  </w:style>
  <w:style w:type="paragraph" w:customStyle="1" w:styleId="xl70">
    <w:name w:val="xl70"/>
    <w:basedOn w:val="Normal"/>
    <w:uiPriority w:val="99"/>
    <w:rsid w:val="006A7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Palatino Linotype" w:eastAsia="Times New Roman" w:hAnsi="Palatino Linotype" w:cs="Times New Roman"/>
      <w:b/>
      <w:bCs/>
      <w:color w:val="000000"/>
      <w:lang w:eastAsia="hr-HR"/>
    </w:rPr>
  </w:style>
  <w:style w:type="paragraph" w:customStyle="1" w:styleId="xl71">
    <w:name w:val="xl71"/>
    <w:basedOn w:val="Normal"/>
    <w:uiPriority w:val="99"/>
    <w:rsid w:val="006A7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Palatino Linotype" w:eastAsia="Times New Roman" w:hAnsi="Palatino Linotype" w:cs="Times New Roman"/>
      <w:b/>
      <w:bCs/>
      <w:color w:val="000000"/>
      <w:lang w:eastAsia="hr-HR"/>
    </w:rPr>
  </w:style>
  <w:style w:type="paragraph" w:customStyle="1" w:styleId="xl72">
    <w:name w:val="xl72"/>
    <w:basedOn w:val="Normal"/>
    <w:uiPriority w:val="99"/>
    <w:rsid w:val="006A7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Palatino Linotype" w:eastAsia="Times New Roman" w:hAnsi="Palatino Linotype" w:cs="Times New Roman"/>
      <w:i/>
      <w:iCs/>
      <w:color w:val="000000"/>
      <w:lang w:eastAsia="hr-HR"/>
    </w:rPr>
  </w:style>
  <w:style w:type="paragraph" w:customStyle="1" w:styleId="xl73">
    <w:name w:val="xl73"/>
    <w:basedOn w:val="Normal"/>
    <w:uiPriority w:val="99"/>
    <w:rsid w:val="006A714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Palatino Linotype" w:eastAsia="Times New Roman" w:hAnsi="Palatino Linotype" w:cs="Times New Roman"/>
      <w:color w:val="000000"/>
      <w:lang w:eastAsia="hr-HR"/>
    </w:rPr>
  </w:style>
  <w:style w:type="paragraph" w:customStyle="1" w:styleId="xl74">
    <w:name w:val="xl74"/>
    <w:basedOn w:val="Normal"/>
    <w:uiPriority w:val="99"/>
    <w:rsid w:val="006A7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Palatino Linotype" w:eastAsia="Times New Roman" w:hAnsi="Palatino Linotype" w:cs="Times New Roman"/>
      <w:b/>
      <w:bCs/>
      <w:color w:val="000000"/>
      <w:lang w:eastAsia="hr-HR"/>
    </w:rPr>
  </w:style>
  <w:style w:type="paragraph" w:customStyle="1" w:styleId="xl75">
    <w:name w:val="xl75"/>
    <w:basedOn w:val="Normal"/>
    <w:uiPriority w:val="99"/>
    <w:rsid w:val="006A71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Palatino Linotype" w:eastAsia="Times New Roman" w:hAnsi="Palatino Linotype" w:cs="Times New Roman"/>
      <w:color w:val="000000"/>
      <w:lang w:eastAsia="hr-HR"/>
    </w:rPr>
  </w:style>
  <w:style w:type="paragraph" w:customStyle="1" w:styleId="xl76">
    <w:name w:val="xl76"/>
    <w:basedOn w:val="Normal"/>
    <w:uiPriority w:val="99"/>
    <w:rsid w:val="006A714D"/>
    <w:pPr>
      <w:pBdr>
        <w:top w:val="single" w:sz="4" w:space="0" w:color="auto"/>
        <w:left w:val="single" w:sz="4" w:space="0" w:color="auto"/>
        <w:bottom w:val="single" w:sz="4" w:space="0" w:color="auto"/>
        <w:right w:val="single" w:sz="4" w:space="0" w:color="auto"/>
      </w:pBdr>
      <w:spacing w:before="100" w:beforeAutospacing="1" w:after="100" w:afterAutospacing="1"/>
    </w:pPr>
    <w:rPr>
      <w:rFonts w:ascii="Palatino Linotype" w:eastAsia="Times New Roman" w:hAnsi="Palatino Linotype" w:cs="Times New Roman"/>
      <w:szCs w:val="24"/>
      <w:lang w:eastAsia="hr-HR"/>
    </w:rPr>
  </w:style>
  <w:style w:type="paragraph" w:customStyle="1" w:styleId="xl77">
    <w:name w:val="xl77"/>
    <w:basedOn w:val="Normal"/>
    <w:uiPriority w:val="99"/>
    <w:rsid w:val="006A71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Palatino Linotype" w:eastAsia="Times New Roman" w:hAnsi="Palatino Linotype" w:cs="Times New Roman"/>
      <w:lang w:eastAsia="hr-HR"/>
    </w:rPr>
  </w:style>
  <w:style w:type="paragraph" w:customStyle="1" w:styleId="xl78">
    <w:name w:val="xl78"/>
    <w:basedOn w:val="Normal"/>
    <w:uiPriority w:val="99"/>
    <w:rsid w:val="006A714D"/>
    <w:pPr>
      <w:pBdr>
        <w:top w:val="single" w:sz="8" w:space="0" w:color="9BBB59"/>
        <w:left w:val="single" w:sz="8" w:space="0" w:color="FFFFFF"/>
        <w:bottom w:val="single" w:sz="8" w:space="0" w:color="FFFFFF"/>
        <w:right w:val="single" w:sz="8" w:space="0" w:color="9BBB59"/>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79">
    <w:name w:val="xl79"/>
    <w:basedOn w:val="Normal"/>
    <w:uiPriority w:val="99"/>
    <w:rsid w:val="006A714D"/>
    <w:pPr>
      <w:pBdr>
        <w:left w:val="single" w:sz="8" w:space="0" w:color="9BBB59"/>
        <w:bottom w:val="single" w:sz="8" w:space="0" w:color="FFFFFF"/>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0">
    <w:name w:val="xl80"/>
    <w:basedOn w:val="Normal"/>
    <w:uiPriority w:val="99"/>
    <w:rsid w:val="006A714D"/>
    <w:pPr>
      <w:pBdr>
        <w:top w:val="single" w:sz="8" w:space="0" w:color="FFFFFF"/>
        <w:left w:val="single" w:sz="8" w:space="0" w:color="9BBB59"/>
        <w:bottom w:val="single" w:sz="8" w:space="0" w:color="FFFFFF"/>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1">
    <w:name w:val="xl81"/>
    <w:basedOn w:val="Normal"/>
    <w:uiPriority w:val="99"/>
    <w:rsid w:val="006A714D"/>
    <w:pPr>
      <w:pBdr>
        <w:top w:val="single" w:sz="8" w:space="0" w:color="FFFFFF"/>
        <w:left w:val="single" w:sz="8" w:space="0" w:color="9BBB59"/>
        <w:bottom w:val="single" w:sz="8" w:space="0" w:color="9BBB59"/>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2">
    <w:name w:val="xl82"/>
    <w:basedOn w:val="Normal"/>
    <w:uiPriority w:val="99"/>
    <w:rsid w:val="006A714D"/>
    <w:pPr>
      <w:pBdr>
        <w:top w:val="single" w:sz="8" w:space="0" w:color="9BBB59"/>
        <w:left w:val="single" w:sz="8" w:space="0" w:color="9BBB59"/>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3">
    <w:name w:val="xl83"/>
    <w:basedOn w:val="Normal"/>
    <w:uiPriority w:val="99"/>
    <w:rsid w:val="006A714D"/>
    <w:pPr>
      <w:pBdr>
        <w:left w:val="single" w:sz="8" w:space="0" w:color="9BBB59"/>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4">
    <w:name w:val="xl84"/>
    <w:basedOn w:val="Normal"/>
    <w:uiPriority w:val="99"/>
    <w:rsid w:val="006A714D"/>
    <w:pPr>
      <w:pBdr>
        <w:left w:val="single" w:sz="8" w:space="0" w:color="9BBB59"/>
        <w:bottom w:val="single" w:sz="8" w:space="0" w:color="9BBB59"/>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5">
    <w:name w:val="xl85"/>
    <w:basedOn w:val="Normal"/>
    <w:uiPriority w:val="99"/>
    <w:rsid w:val="006A714D"/>
    <w:pPr>
      <w:pBdr>
        <w:top w:val="single" w:sz="8" w:space="0" w:color="9BBB59"/>
        <w:bottom w:val="single" w:sz="8" w:space="0" w:color="FFFFFF"/>
        <w:right w:val="single" w:sz="8" w:space="0" w:color="FFFFFF"/>
      </w:pBdr>
      <w:shd w:val="clear" w:color="000000" w:fill="C4D79B"/>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6">
    <w:name w:val="xl86"/>
    <w:basedOn w:val="Normal"/>
    <w:uiPriority w:val="99"/>
    <w:rsid w:val="006A714D"/>
    <w:pPr>
      <w:pBdr>
        <w:top w:val="single" w:sz="8" w:space="0" w:color="9BBB59"/>
        <w:left w:val="single" w:sz="8" w:space="0" w:color="FFFFFF"/>
        <w:bottom w:val="single" w:sz="8" w:space="0" w:color="FFFFFF"/>
        <w:right w:val="single" w:sz="8" w:space="0" w:color="FFFFFF"/>
      </w:pBdr>
      <w:shd w:val="clear" w:color="000000" w:fill="C4D79B"/>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7">
    <w:name w:val="xl87"/>
    <w:basedOn w:val="Normal"/>
    <w:uiPriority w:val="99"/>
    <w:rsid w:val="006A714D"/>
    <w:pPr>
      <w:pBdr>
        <w:top w:val="single" w:sz="8" w:space="0" w:color="9BBB59"/>
        <w:left w:val="single" w:sz="8" w:space="0" w:color="FFFFFF"/>
        <w:bottom w:val="single" w:sz="8" w:space="0" w:color="FFFFFF"/>
        <w:right w:val="single" w:sz="8" w:space="0" w:color="9BBB59"/>
      </w:pBdr>
      <w:shd w:val="clear" w:color="000000" w:fill="C4D79B"/>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8">
    <w:name w:val="xl88"/>
    <w:basedOn w:val="Normal"/>
    <w:uiPriority w:val="99"/>
    <w:rsid w:val="006A714D"/>
    <w:pPr>
      <w:pBdr>
        <w:top w:val="single" w:sz="8" w:space="0" w:color="FFFFFF"/>
        <w:bottom w:val="single" w:sz="8" w:space="0" w:color="FFFFFF"/>
        <w:right w:val="single" w:sz="8" w:space="0" w:color="FFFFFF"/>
      </w:pBdr>
      <w:shd w:val="clear" w:color="000000" w:fill="C4D79B"/>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89">
    <w:name w:val="xl89"/>
    <w:basedOn w:val="Normal"/>
    <w:uiPriority w:val="99"/>
    <w:rsid w:val="006A714D"/>
    <w:pPr>
      <w:pBdr>
        <w:top w:val="single" w:sz="8" w:space="0" w:color="FFFFFF"/>
        <w:left w:val="single" w:sz="8" w:space="0" w:color="FFFFFF"/>
        <w:bottom w:val="single" w:sz="8" w:space="0" w:color="FFFFFF"/>
        <w:right w:val="single" w:sz="8" w:space="0" w:color="FFFFFF"/>
      </w:pBdr>
      <w:shd w:val="clear" w:color="000000" w:fill="C4D79B"/>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90">
    <w:name w:val="xl90"/>
    <w:basedOn w:val="Normal"/>
    <w:uiPriority w:val="99"/>
    <w:rsid w:val="006A714D"/>
    <w:pPr>
      <w:pBdr>
        <w:top w:val="single" w:sz="8" w:space="0" w:color="FFFFFF"/>
        <w:left w:val="single" w:sz="8" w:space="0" w:color="FFFFFF"/>
        <w:bottom w:val="single" w:sz="8" w:space="0" w:color="FFFFFF"/>
        <w:right w:val="single" w:sz="8" w:space="0" w:color="9BBB59"/>
      </w:pBdr>
      <w:shd w:val="clear" w:color="000000" w:fill="C4D79B"/>
      <w:spacing w:before="100" w:beforeAutospacing="1" w:after="100" w:afterAutospacing="1"/>
      <w:jc w:val="center"/>
      <w:textAlignment w:val="center"/>
    </w:pPr>
    <w:rPr>
      <w:rFonts w:ascii="Palatino Linotype" w:eastAsia="Times New Roman" w:hAnsi="Palatino Linotype" w:cs="Times New Roman"/>
      <w:b/>
      <w:bCs/>
      <w:i/>
      <w:iCs/>
      <w:color w:val="FFFFFF"/>
      <w:lang w:eastAsia="hr-HR"/>
    </w:rPr>
  </w:style>
  <w:style w:type="paragraph" w:customStyle="1" w:styleId="xl91">
    <w:name w:val="xl91"/>
    <w:basedOn w:val="Normal"/>
    <w:uiPriority w:val="99"/>
    <w:rsid w:val="006A714D"/>
    <w:pPr>
      <w:pBdr>
        <w:top w:val="single" w:sz="8" w:space="0" w:color="FFFFFF"/>
        <w:left w:val="single" w:sz="8" w:space="0" w:color="FFFFFF"/>
        <w:bottom w:val="single" w:sz="8" w:space="0" w:color="9BBB59"/>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i/>
      <w:iCs/>
      <w:color w:val="FFFFFF"/>
      <w:lang w:eastAsia="hr-HR"/>
    </w:rPr>
  </w:style>
  <w:style w:type="paragraph" w:customStyle="1" w:styleId="xl92">
    <w:name w:val="xl92"/>
    <w:basedOn w:val="Normal"/>
    <w:uiPriority w:val="99"/>
    <w:rsid w:val="006A714D"/>
    <w:pPr>
      <w:pBdr>
        <w:top w:val="single" w:sz="8" w:space="0" w:color="9BBB59"/>
        <w:left w:val="single" w:sz="8" w:space="0" w:color="FFFFFF"/>
        <w:bottom w:val="single" w:sz="8" w:space="0" w:color="9BBB59"/>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93">
    <w:name w:val="xl93"/>
    <w:basedOn w:val="Normal"/>
    <w:uiPriority w:val="99"/>
    <w:rsid w:val="006A714D"/>
    <w:pPr>
      <w:pBdr>
        <w:top w:val="single" w:sz="8" w:space="0" w:color="9BBB59"/>
        <w:left w:val="single" w:sz="8" w:space="0" w:color="FFFFFF"/>
        <w:bottom w:val="single" w:sz="8" w:space="0" w:color="9BBB59"/>
        <w:right w:val="single" w:sz="8" w:space="0" w:color="9BBB59"/>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94">
    <w:name w:val="xl94"/>
    <w:basedOn w:val="Normal"/>
    <w:uiPriority w:val="99"/>
    <w:rsid w:val="006A714D"/>
    <w:pPr>
      <w:pBdr>
        <w:top w:val="single" w:sz="8" w:space="0" w:color="9BBB59"/>
        <w:left w:val="single" w:sz="8" w:space="0" w:color="9BBB59"/>
        <w:bottom w:val="single" w:sz="8" w:space="0" w:color="9BBB59"/>
        <w:right w:val="single" w:sz="8" w:space="0" w:color="9BBB59"/>
      </w:pBdr>
      <w:spacing w:before="100" w:beforeAutospacing="1" w:after="100" w:afterAutospacing="1"/>
      <w:jc w:val="right"/>
      <w:textAlignment w:val="center"/>
    </w:pPr>
    <w:rPr>
      <w:rFonts w:ascii="Palatino Linotype" w:eastAsia="Times New Roman" w:hAnsi="Palatino Linotype" w:cs="Times New Roman"/>
      <w:b/>
      <w:bCs/>
      <w:color w:val="000000"/>
      <w:lang w:eastAsia="hr-HR"/>
    </w:rPr>
  </w:style>
  <w:style w:type="paragraph" w:customStyle="1" w:styleId="xl95">
    <w:name w:val="xl95"/>
    <w:basedOn w:val="Normal"/>
    <w:uiPriority w:val="99"/>
    <w:rsid w:val="006A714D"/>
    <w:pPr>
      <w:pBdr>
        <w:top w:val="single" w:sz="8" w:space="0" w:color="9BBB59"/>
        <w:left w:val="single" w:sz="8" w:space="0" w:color="9BBB59"/>
        <w:bottom w:val="single" w:sz="8" w:space="0" w:color="9BBB59"/>
        <w:right w:val="single" w:sz="8" w:space="0" w:color="9BBB59"/>
      </w:pBdr>
      <w:spacing w:before="100" w:beforeAutospacing="1" w:after="100" w:afterAutospacing="1"/>
      <w:jc w:val="right"/>
      <w:textAlignment w:val="center"/>
    </w:pPr>
    <w:rPr>
      <w:rFonts w:ascii="Palatino Linotype" w:eastAsia="Times New Roman" w:hAnsi="Palatino Linotype" w:cs="Times New Roman"/>
      <w:color w:val="000000"/>
      <w:lang w:eastAsia="hr-HR"/>
    </w:rPr>
  </w:style>
  <w:style w:type="paragraph" w:customStyle="1" w:styleId="xl96">
    <w:name w:val="xl96"/>
    <w:basedOn w:val="Normal"/>
    <w:uiPriority w:val="99"/>
    <w:rsid w:val="006A714D"/>
    <w:pPr>
      <w:pBdr>
        <w:top w:val="single" w:sz="8" w:space="0" w:color="FFFFFF"/>
        <w:left w:val="single" w:sz="8" w:space="0" w:color="9BBB59"/>
        <w:bottom w:val="single" w:sz="8" w:space="0" w:color="9BBB59"/>
        <w:right w:val="single" w:sz="8" w:space="0" w:color="FFFFFF"/>
      </w:pBdr>
      <w:shd w:val="clear" w:color="000000" w:fill="C4D79B"/>
      <w:spacing w:before="100" w:beforeAutospacing="1" w:after="100" w:afterAutospacing="1"/>
      <w:jc w:val="right"/>
      <w:textAlignment w:val="center"/>
    </w:pPr>
    <w:rPr>
      <w:rFonts w:ascii="Palatino Linotype" w:eastAsia="Times New Roman" w:hAnsi="Palatino Linotype" w:cs="Times New Roman"/>
      <w:b/>
      <w:bCs/>
      <w:color w:val="FFFFFF"/>
      <w:lang w:eastAsia="hr-HR"/>
    </w:rPr>
  </w:style>
  <w:style w:type="paragraph" w:customStyle="1" w:styleId="xl97">
    <w:name w:val="xl97"/>
    <w:basedOn w:val="Normal"/>
    <w:uiPriority w:val="99"/>
    <w:rsid w:val="006A714D"/>
    <w:pPr>
      <w:pBdr>
        <w:top w:val="single" w:sz="8" w:space="0" w:color="FFFFFF"/>
        <w:left w:val="single" w:sz="8" w:space="0" w:color="FFFFFF"/>
        <w:bottom w:val="single" w:sz="8" w:space="0" w:color="9BBB59"/>
        <w:right w:val="single" w:sz="8" w:space="0" w:color="FFFFFF"/>
      </w:pBdr>
      <w:shd w:val="clear" w:color="000000" w:fill="C4D79B"/>
      <w:spacing w:before="100" w:beforeAutospacing="1" w:after="100" w:afterAutospacing="1"/>
      <w:jc w:val="right"/>
      <w:textAlignment w:val="center"/>
    </w:pPr>
    <w:rPr>
      <w:rFonts w:ascii="Palatino Linotype" w:eastAsia="Times New Roman" w:hAnsi="Palatino Linotype" w:cs="Times New Roman"/>
      <w:b/>
      <w:bCs/>
      <w:color w:val="FFFFFF"/>
      <w:lang w:eastAsia="hr-HR"/>
    </w:rPr>
  </w:style>
  <w:style w:type="paragraph" w:customStyle="1" w:styleId="xl98">
    <w:name w:val="xl98"/>
    <w:basedOn w:val="Normal"/>
    <w:uiPriority w:val="99"/>
    <w:rsid w:val="006A714D"/>
    <w:pPr>
      <w:pBdr>
        <w:top w:val="single" w:sz="8" w:space="0" w:color="FFFFFF"/>
        <w:left w:val="single" w:sz="8" w:space="0" w:color="FFFFFF"/>
        <w:bottom w:val="single" w:sz="8" w:space="0" w:color="9BBB59"/>
        <w:right w:val="single" w:sz="8" w:space="0" w:color="9BBB59"/>
      </w:pBdr>
      <w:shd w:val="clear" w:color="000000" w:fill="C4D79B"/>
      <w:spacing w:before="100" w:beforeAutospacing="1" w:after="100" w:afterAutospacing="1"/>
      <w:jc w:val="right"/>
      <w:textAlignment w:val="center"/>
    </w:pPr>
    <w:rPr>
      <w:rFonts w:ascii="Palatino Linotype" w:eastAsia="Times New Roman" w:hAnsi="Palatino Linotype" w:cs="Times New Roman"/>
      <w:b/>
      <w:bCs/>
      <w:color w:val="FFFFFF"/>
      <w:lang w:eastAsia="hr-HR"/>
    </w:rPr>
  </w:style>
  <w:style w:type="paragraph" w:customStyle="1" w:styleId="xl99">
    <w:name w:val="xl99"/>
    <w:basedOn w:val="Normal"/>
    <w:uiPriority w:val="99"/>
    <w:rsid w:val="006A714D"/>
    <w:pPr>
      <w:pBdr>
        <w:top w:val="single" w:sz="8" w:space="0" w:color="FFFFFF"/>
        <w:left w:val="single" w:sz="8" w:space="0" w:color="FFFFFF"/>
        <w:bottom w:val="single" w:sz="8" w:space="0" w:color="FFFFFF"/>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i/>
      <w:iCs/>
      <w:color w:val="FFFFFF"/>
      <w:lang w:eastAsia="hr-HR"/>
    </w:rPr>
  </w:style>
  <w:style w:type="paragraph" w:customStyle="1" w:styleId="xl100">
    <w:name w:val="xl100"/>
    <w:basedOn w:val="Normal"/>
    <w:uiPriority w:val="99"/>
    <w:rsid w:val="006A714D"/>
    <w:pPr>
      <w:pBdr>
        <w:top w:val="single" w:sz="8" w:space="0" w:color="FFFFFF"/>
        <w:left w:val="single" w:sz="8" w:space="0" w:color="FFFFFF"/>
        <w:bottom w:val="single" w:sz="8" w:space="0" w:color="9BBB59"/>
        <w:right w:val="single" w:sz="8" w:space="0" w:color="FFFFFF"/>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xl101">
    <w:name w:val="xl101"/>
    <w:basedOn w:val="Normal"/>
    <w:uiPriority w:val="99"/>
    <w:rsid w:val="006A714D"/>
    <w:pPr>
      <w:pBdr>
        <w:top w:val="single" w:sz="8" w:space="0" w:color="FFFFFF"/>
        <w:left w:val="single" w:sz="8" w:space="0" w:color="FFFFFF"/>
        <w:bottom w:val="single" w:sz="8" w:space="0" w:color="9BBB59"/>
        <w:right w:val="single" w:sz="8" w:space="0" w:color="9BBB59"/>
      </w:pBdr>
      <w:shd w:val="clear" w:color="000000" w:fill="9BBB59"/>
      <w:spacing w:before="100" w:beforeAutospacing="1" w:after="100" w:afterAutospacing="1"/>
      <w:jc w:val="center"/>
      <w:textAlignment w:val="center"/>
    </w:pPr>
    <w:rPr>
      <w:rFonts w:ascii="Palatino Linotype" w:eastAsia="Times New Roman" w:hAnsi="Palatino Linotype" w:cs="Times New Roman"/>
      <w:b/>
      <w:bCs/>
      <w:color w:val="FFFFFF"/>
      <w:lang w:eastAsia="hr-HR"/>
    </w:rPr>
  </w:style>
  <w:style w:type="paragraph" w:customStyle="1" w:styleId="BodyText20">
    <w:name w:val="Body Text2"/>
    <w:uiPriority w:val="99"/>
    <w:rsid w:val="006A714D"/>
    <w:pPr>
      <w:spacing w:after="80" w:line="240" w:lineRule="auto"/>
    </w:pPr>
    <w:rPr>
      <w:rFonts w:ascii="GarmdITC Bk BT" w:eastAsia="Times New Roman" w:hAnsi="GarmdITC Bk BT" w:cs="Times New Roman"/>
      <w:sz w:val="21"/>
      <w:lang w:eastAsia="hr-HR"/>
    </w:rPr>
  </w:style>
  <w:style w:type="table" w:customStyle="1" w:styleId="LightList-Accent51">
    <w:name w:val="Light List - Accent 51"/>
    <w:basedOn w:val="TableNormal"/>
    <w:next w:val="LightList-Accent5"/>
    <w:uiPriority w:val="61"/>
    <w:rsid w:val="006A714D"/>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rsid w:val="006A714D"/>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1">
    <w:name w:val="Medium Shading 1 - Accent 61"/>
    <w:basedOn w:val="TableNormal"/>
    <w:next w:val="MediumShading1-Accent6"/>
    <w:uiPriority w:val="63"/>
    <w:rsid w:val="006A714D"/>
    <w:pPr>
      <w:spacing w:after="0" w:line="240" w:lineRule="auto"/>
    </w:pPr>
    <w:rPr>
      <w:rFonts w:ascii="Calibri" w:eastAsia="Calibri" w:hAnsi="Calibri"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2">
    <w:name w:val="Table Grid2"/>
    <w:basedOn w:val="TableNormal"/>
    <w:next w:val="TableGrid"/>
    <w:uiPriority w:val="99"/>
    <w:rsid w:val="006A7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rsid w:val="006A714D"/>
  </w:style>
  <w:style w:type="paragraph" w:customStyle="1" w:styleId="BodyText30">
    <w:name w:val="Body Text3"/>
    <w:uiPriority w:val="99"/>
    <w:rsid w:val="006A714D"/>
    <w:pPr>
      <w:spacing w:after="80" w:line="240" w:lineRule="auto"/>
    </w:pPr>
    <w:rPr>
      <w:rFonts w:ascii="GarmdITC Bk BT" w:eastAsia="Times New Roman" w:hAnsi="GarmdITC Bk BT" w:cs="Times New Roman"/>
      <w:sz w:val="21"/>
      <w:lang w:eastAsia="hr-HR"/>
    </w:rPr>
  </w:style>
  <w:style w:type="table" w:customStyle="1" w:styleId="LightList-Accent52">
    <w:name w:val="Light List - Accent 52"/>
    <w:basedOn w:val="TableNormal"/>
    <w:next w:val="LightList-Accent5"/>
    <w:uiPriority w:val="61"/>
    <w:rsid w:val="006A714D"/>
    <w:pPr>
      <w:spacing w:after="0" w:line="240" w:lineRule="auto"/>
    </w:pPr>
    <w:rPr>
      <w:rFonts w:ascii="Times New Roman" w:eastAsia="Times New Roman" w:hAnsi="Times New Roman"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
    <w:name w:val="Light Shading - Accent 32"/>
    <w:basedOn w:val="TableNormal"/>
    <w:next w:val="LightShading-Accent3"/>
    <w:uiPriority w:val="60"/>
    <w:rsid w:val="006A714D"/>
    <w:pPr>
      <w:spacing w:after="0" w:line="240" w:lineRule="auto"/>
    </w:pPr>
    <w:rPr>
      <w:rFonts w:ascii="Times New Roman" w:eastAsia="Times New Roman" w:hAnsi="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2">
    <w:name w:val="Medium Shading 1 - Accent 62"/>
    <w:basedOn w:val="TableNormal"/>
    <w:next w:val="MediumShading1-Accent6"/>
    <w:uiPriority w:val="63"/>
    <w:rsid w:val="006A714D"/>
    <w:pPr>
      <w:spacing w:after="0" w:line="240" w:lineRule="auto"/>
    </w:pPr>
    <w:rPr>
      <w:rFonts w:ascii="Calibri" w:eastAsia="Calibri" w:hAnsi="Calibri" w:cs="Times New Roman"/>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NoList12">
    <w:name w:val="No List12"/>
    <w:next w:val="NoList"/>
    <w:uiPriority w:val="99"/>
    <w:semiHidden/>
    <w:unhideWhenUsed/>
    <w:rsid w:val="006A714D"/>
  </w:style>
  <w:style w:type="paragraph" w:customStyle="1" w:styleId="Legend">
    <w:name w:val="Legend"/>
    <w:basedOn w:val="Normal"/>
    <w:next w:val="Normal"/>
    <w:uiPriority w:val="99"/>
    <w:rsid w:val="006A714D"/>
    <w:pPr>
      <w:keepNext/>
      <w:widowControl w:val="0"/>
      <w:tabs>
        <w:tab w:val="left" w:pos="1789"/>
        <w:tab w:val="left" w:pos="3579"/>
        <w:tab w:val="left" w:pos="5368"/>
        <w:tab w:val="left" w:pos="7158"/>
        <w:tab w:val="left" w:pos="8948"/>
      </w:tabs>
    </w:pPr>
    <w:rPr>
      <w:rFonts w:ascii="NewBskvll BT" w:eastAsia="Times New Roman" w:hAnsi="NewBskvll BT" w:cs="Times New Roman"/>
      <w:b/>
      <w:sz w:val="16"/>
      <w:lang w:val="en-GB"/>
    </w:rPr>
  </w:style>
  <w:style w:type="numbering" w:customStyle="1" w:styleId="NoList3">
    <w:name w:val="No List3"/>
    <w:next w:val="NoList"/>
    <w:uiPriority w:val="99"/>
    <w:semiHidden/>
    <w:unhideWhenUsed/>
    <w:rsid w:val="006A714D"/>
  </w:style>
  <w:style w:type="numbering" w:customStyle="1" w:styleId="NoList13">
    <w:name w:val="No List13"/>
    <w:next w:val="NoList"/>
    <w:uiPriority w:val="99"/>
    <w:semiHidden/>
    <w:unhideWhenUsed/>
    <w:rsid w:val="006A714D"/>
  </w:style>
  <w:style w:type="paragraph" w:customStyle="1" w:styleId="uvlaka3111">
    <w:name w:val="uvlaka 3111"/>
    <w:basedOn w:val="Normal"/>
    <w:next w:val="BodyText"/>
    <w:uiPriority w:val="99"/>
    <w:semiHidden/>
    <w:unhideWhenUsed/>
    <w:rsid w:val="006A714D"/>
    <w:rPr>
      <w:rFonts w:ascii="Arial" w:eastAsia="Calibri" w:hAnsi="Arial" w:cs="Arial"/>
      <w:lang w:eastAsia="x-none"/>
    </w:rPr>
  </w:style>
  <w:style w:type="table" w:customStyle="1" w:styleId="LightShading-Accent33">
    <w:name w:val="Light Shading - Accent 33"/>
    <w:basedOn w:val="TableNormal"/>
    <w:next w:val="LightShading-Accent3"/>
    <w:uiPriority w:val="60"/>
    <w:rsid w:val="006A714D"/>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
    <w:name w:val="Light List - Accent 53"/>
    <w:basedOn w:val="TableNormal"/>
    <w:next w:val="LightList-Accent5"/>
    <w:uiPriority w:val="61"/>
    <w:rsid w:val="006A714D"/>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63">
    <w:name w:val="Medium Shading 1 - Accent 63"/>
    <w:basedOn w:val="TableNormal"/>
    <w:next w:val="MediumShading1-Accent6"/>
    <w:uiPriority w:val="63"/>
    <w:rsid w:val="006A714D"/>
    <w:pPr>
      <w:spacing w:after="0" w:line="240" w:lineRule="auto"/>
    </w:pPr>
    <w:rPr>
      <w:rFonts w:ascii="Calibri" w:eastAsia="Calibri" w:hAnsi="Calibri"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10">
    <w:name w:val="TableGrid1"/>
    <w:rsid w:val="006A714D"/>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11">
    <w:name w:val="Table Grid11"/>
    <w:basedOn w:val="TableNormal"/>
    <w:uiPriority w:val="59"/>
    <w:rsid w:val="006A71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uiPriority w:val="61"/>
    <w:rsid w:val="006A714D"/>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uiPriority w:val="60"/>
    <w:rsid w:val="006A714D"/>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11">
    <w:name w:val="Medium Shading 1 - Accent 611"/>
    <w:basedOn w:val="TableNormal"/>
    <w:uiPriority w:val="63"/>
    <w:rsid w:val="006A714D"/>
    <w:pPr>
      <w:spacing w:after="0" w:line="240" w:lineRule="auto"/>
    </w:pPr>
    <w:rPr>
      <w:rFonts w:ascii="Calibri" w:eastAsia="Calibri" w:hAnsi="Calibri"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21">
    <w:name w:val="Table Grid21"/>
    <w:basedOn w:val="TableNormal"/>
    <w:uiPriority w:val="39"/>
    <w:rsid w:val="006A71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
    <w:name w:val="Light List - Accent 521"/>
    <w:basedOn w:val="TableNormal"/>
    <w:uiPriority w:val="61"/>
    <w:rsid w:val="006A714D"/>
    <w:pPr>
      <w:spacing w:after="0" w:line="240" w:lineRule="auto"/>
    </w:pPr>
    <w:rPr>
      <w:rFonts w:ascii="Times New Roman" w:eastAsia="Times New Roman" w:hAnsi="Times New Roman"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1">
    <w:name w:val="Light Shading - Accent 321"/>
    <w:basedOn w:val="TableNormal"/>
    <w:uiPriority w:val="60"/>
    <w:rsid w:val="006A714D"/>
    <w:pPr>
      <w:spacing w:after="0" w:line="240" w:lineRule="auto"/>
    </w:pPr>
    <w:rPr>
      <w:rFonts w:ascii="Times New Roman" w:eastAsia="Times New Roman" w:hAnsi="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21">
    <w:name w:val="Medium Shading 1 - Accent 621"/>
    <w:basedOn w:val="TableNormal"/>
    <w:uiPriority w:val="63"/>
    <w:rsid w:val="006A714D"/>
    <w:pPr>
      <w:spacing w:after="0" w:line="240" w:lineRule="auto"/>
    </w:pPr>
    <w:rPr>
      <w:rFonts w:ascii="Calibri" w:eastAsia="Calibri" w:hAnsi="Calibri" w:cs="Times New Roman"/>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BodyTextChar2">
    <w:name w:val="Body Text Char2"/>
    <w:basedOn w:val="DefaultParagraphFont"/>
    <w:uiPriority w:val="99"/>
    <w:semiHidden/>
    <w:rsid w:val="006A714D"/>
  </w:style>
  <w:style w:type="paragraph" w:customStyle="1" w:styleId="CharCharCharCharCharChar">
    <w:name w:val="Char Char Char Char Char Char"/>
    <w:basedOn w:val="Normal"/>
    <w:uiPriority w:val="99"/>
    <w:semiHidden/>
    <w:rsid w:val="006A714D"/>
    <w:pPr>
      <w:spacing w:line="240" w:lineRule="exact"/>
    </w:pPr>
    <w:rPr>
      <w:rFonts w:ascii="Tahoma" w:eastAsia="Times New Roman" w:hAnsi="Tahoma" w:cs="Times New Roman"/>
      <w:lang w:val="en-US"/>
    </w:rPr>
  </w:style>
  <w:style w:type="numbering" w:customStyle="1" w:styleId="NoList4">
    <w:name w:val="No List4"/>
    <w:next w:val="NoList"/>
    <w:uiPriority w:val="99"/>
    <w:semiHidden/>
    <w:unhideWhenUsed/>
    <w:rsid w:val="006A714D"/>
  </w:style>
  <w:style w:type="paragraph" w:customStyle="1" w:styleId="font6">
    <w:name w:val="font6"/>
    <w:basedOn w:val="Normal"/>
    <w:uiPriority w:val="99"/>
    <w:rsid w:val="006A714D"/>
    <w:pPr>
      <w:spacing w:before="100" w:beforeAutospacing="1" w:after="100" w:afterAutospacing="1"/>
    </w:pPr>
    <w:rPr>
      <w:rFonts w:ascii="Tahoma" w:eastAsia="Times New Roman" w:hAnsi="Tahoma" w:cs="Tahoma"/>
      <w:b/>
      <w:bCs/>
      <w:color w:val="000000"/>
      <w:sz w:val="18"/>
      <w:szCs w:val="18"/>
      <w:lang w:val="en-GB" w:eastAsia="en-GB"/>
    </w:rPr>
  </w:style>
  <w:style w:type="table" w:customStyle="1" w:styleId="TableGrid3">
    <w:name w:val="Table Grid3"/>
    <w:basedOn w:val="TableNormal"/>
    <w:next w:val="TableGrid"/>
    <w:uiPriority w:val="99"/>
    <w:rsid w:val="006A714D"/>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6A714D"/>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6A714D"/>
  </w:style>
  <w:style w:type="numbering" w:customStyle="1" w:styleId="NoList14">
    <w:name w:val="No List14"/>
    <w:next w:val="NoList"/>
    <w:uiPriority w:val="99"/>
    <w:semiHidden/>
    <w:unhideWhenUsed/>
    <w:rsid w:val="006A714D"/>
  </w:style>
  <w:style w:type="table" w:customStyle="1" w:styleId="TableGrid20">
    <w:name w:val="TableGrid2"/>
    <w:rsid w:val="006A714D"/>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numbering" w:customStyle="1" w:styleId="NoList111">
    <w:name w:val="No List111"/>
    <w:next w:val="NoList"/>
    <w:uiPriority w:val="99"/>
    <w:rsid w:val="006A714D"/>
  </w:style>
  <w:style w:type="table" w:customStyle="1" w:styleId="LightList-Accent54">
    <w:name w:val="Light List - Accent 54"/>
    <w:basedOn w:val="TableNormal"/>
    <w:next w:val="LightList-Accent5"/>
    <w:uiPriority w:val="61"/>
    <w:rsid w:val="006A714D"/>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4">
    <w:name w:val="Light Shading - Accent 34"/>
    <w:basedOn w:val="TableNormal"/>
    <w:next w:val="LightShading-Accent3"/>
    <w:uiPriority w:val="60"/>
    <w:rsid w:val="006A714D"/>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4">
    <w:name w:val="Medium Shading 1 - Accent 64"/>
    <w:basedOn w:val="TableNormal"/>
    <w:next w:val="MediumShading1-Accent6"/>
    <w:uiPriority w:val="63"/>
    <w:rsid w:val="006A714D"/>
    <w:pPr>
      <w:spacing w:after="0" w:line="240" w:lineRule="auto"/>
    </w:pPr>
    <w:rPr>
      <w:rFonts w:ascii="Calibri" w:eastAsia="Calibri" w:hAnsi="Calibri"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12">
    <w:name w:val="Table Grid12"/>
    <w:basedOn w:val="TableNormal"/>
    <w:next w:val="TableGrid"/>
    <w:uiPriority w:val="59"/>
    <w:rsid w:val="006A71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A714D"/>
  </w:style>
  <w:style w:type="table" w:customStyle="1" w:styleId="LightList-Accent512">
    <w:name w:val="Light List - Accent 512"/>
    <w:basedOn w:val="TableNormal"/>
    <w:next w:val="LightList-Accent5"/>
    <w:uiPriority w:val="61"/>
    <w:rsid w:val="006A714D"/>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TableNormal"/>
    <w:next w:val="LightShading-Accent3"/>
    <w:uiPriority w:val="60"/>
    <w:rsid w:val="006A714D"/>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12">
    <w:name w:val="Medium Shading 1 - Accent 612"/>
    <w:basedOn w:val="TableNormal"/>
    <w:next w:val="MediumShading1-Accent6"/>
    <w:uiPriority w:val="63"/>
    <w:rsid w:val="006A714D"/>
    <w:pPr>
      <w:spacing w:after="0" w:line="240" w:lineRule="auto"/>
    </w:pPr>
    <w:rPr>
      <w:rFonts w:ascii="Calibri" w:eastAsia="Calibri" w:hAnsi="Calibri"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22">
    <w:name w:val="Table Grid22"/>
    <w:basedOn w:val="TableNormal"/>
    <w:next w:val="TableGrid"/>
    <w:uiPriority w:val="39"/>
    <w:rsid w:val="006A7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rsid w:val="006A714D"/>
  </w:style>
  <w:style w:type="table" w:customStyle="1" w:styleId="LightList-Accent522">
    <w:name w:val="Light List - Accent 522"/>
    <w:basedOn w:val="TableNormal"/>
    <w:next w:val="LightList-Accent5"/>
    <w:uiPriority w:val="61"/>
    <w:rsid w:val="006A714D"/>
    <w:pPr>
      <w:spacing w:after="0" w:line="240" w:lineRule="auto"/>
    </w:pPr>
    <w:rPr>
      <w:rFonts w:ascii="Times New Roman" w:eastAsia="Times New Roman" w:hAnsi="Times New Roman"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2">
    <w:name w:val="Light Shading - Accent 322"/>
    <w:basedOn w:val="TableNormal"/>
    <w:next w:val="LightShading-Accent3"/>
    <w:uiPriority w:val="60"/>
    <w:rsid w:val="006A714D"/>
    <w:pPr>
      <w:spacing w:after="0" w:line="240" w:lineRule="auto"/>
    </w:pPr>
    <w:rPr>
      <w:rFonts w:ascii="Times New Roman" w:eastAsia="Times New Roman" w:hAnsi="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22">
    <w:name w:val="Medium Shading 1 - Accent 622"/>
    <w:basedOn w:val="TableNormal"/>
    <w:next w:val="MediumShading1-Accent6"/>
    <w:uiPriority w:val="63"/>
    <w:rsid w:val="006A714D"/>
    <w:pPr>
      <w:spacing w:after="0" w:line="240" w:lineRule="auto"/>
    </w:pPr>
    <w:rPr>
      <w:rFonts w:ascii="Calibri" w:eastAsia="Calibri" w:hAnsi="Calibri" w:cs="Times New Roman"/>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numbering" w:customStyle="1" w:styleId="NoList121">
    <w:name w:val="No List121"/>
    <w:next w:val="NoList"/>
    <w:uiPriority w:val="99"/>
    <w:semiHidden/>
    <w:unhideWhenUsed/>
    <w:rsid w:val="006A714D"/>
  </w:style>
  <w:style w:type="numbering" w:customStyle="1" w:styleId="NoList31">
    <w:name w:val="No List31"/>
    <w:next w:val="NoList"/>
    <w:uiPriority w:val="99"/>
    <w:semiHidden/>
    <w:unhideWhenUsed/>
    <w:rsid w:val="006A714D"/>
  </w:style>
  <w:style w:type="numbering" w:customStyle="1" w:styleId="NoList131">
    <w:name w:val="No List131"/>
    <w:next w:val="NoList"/>
    <w:uiPriority w:val="99"/>
    <w:semiHidden/>
    <w:unhideWhenUsed/>
    <w:rsid w:val="006A714D"/>
  </w:style>
  <w:style w:type="table" w:customStyle="1" w:styleId="Izvjescetablica11">
    <w:name w:val="Izvjescetablica11"/>
    <w:basedOn w:val="TableNormal"/>
    <w:next w:val="TableGrid"/>
    <w:rsid w:val="006A714D"/>
    <w:pPr>
      <w:spacing w:after="0" w:line="240" w:lineRule="auto"/>
    </w:pPr>
    <w:rPr>
      <w:rFonts w:ascii="Times New Roman" w:eastAsia="Times New Roman" w:hAnsi="Times New Roman"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31">
    <w:name w:val="Light Shading - Accent 331"/>
    <w:basedOn w:val="TableNormal"/>
    <w:next w:val="LightShading-Accent3"/>
    <w:uiPriority w:val="60"/>
    <w:rsid w:val="006A714D"/>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
    <w:name w:val="Light List - Accent 531"/>
    <w:basedOn w:val="TableNormal"/>
    <w:next w:val="LightList-Accent5"/>
    <w:uiPriority w:val="61"/>
    <w:rsid w:val="006A714D"/>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631">
    <w:name w:val="Medium Shading 1 - Accent 631"/>
    <w:basedOn w:val="TableNormal"/>
    <w:next w:val="MediumShading1-Accent6"/>
    <w:uiPriority w:val="63"/>
    <w:rsid w:val="006A714D"/>
    <w:pPr>
      <w:spacing w:after="0" w:line="240" w:lineRule="auto"/>
    </w:pPr>
    <w:rPr>
      <w:rFonts w:ascii="Calibri" w:eastAsia="Calibri" w:hAnsi="Calibri"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110">
    <w:name w:val="TableGrid11"/>
    <w:rsid w:val="006A714D"/>
    <w:pPr>
      <w:spacing w:after="0" w:line="240" w:lineRule="auto"/>
    </w:pPr>
    <w:rPr>
      <w:rFonts w:ascii="Calibri" w:eastAsia="Times New Roman" w:hAnsi="Calibri" w:cs="Times New Roman"/>
      <w:lang w:eastAsia="hr-HR"/>
    </w:rPr>
    <w:tblPr>
      <w:tblCellMar>
        <w:top w:w="0" w:type="dxa"/>
        <w:left w:w="0" w:type="dxa"/>
        <w:bottom w:w="0" w:type="dxa"/>
        <w:right w:w="0" w:type="dxa"/>
      </w:tblCellMar>
    </w:tblPr>
  </w:style>
  <w:style w:type="table" w:customStyle="1" w:styleId="TableGrid111">
    <w:name w:val="Table Grid111"/>
    <w:basedOn w:val="TableNormal"/>
    <w:uiPriority w:val="59"/>
    <w:rsid w:val="006A71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uiPriority w:val="61"/>
    <w:rsid w:val="006A714D"/>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
    <w:name w:val="Light Shading - Accent 3111"/>
    <w:basedOn w:val="TableNormal"/>
    <w:uiPriority w:val="60"/>
    <w:rsid w:val="006A714D"/>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111">
    <w:name w:val="Medium Shading 1 - Accent 6111"/>
    <w:basedOn w:val="TableNormal"/>
    <w:uiPriority w:val="63"/>
    <w:rsid w:val="006A714D"/>
    <w:pPr>
      <w:spacing w:after="0" w:line="240" w:lineRule="auto"/>
    </w:pPr>
    <w:rPr>
      <w:rFonts w:ascii="Calibri" w:eastAsia="Calibri" w:hAnsi="Calibri"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ableGrid211">
    <w:name w:val="Table Grid211"/>
    <w:basedOn w:val="TableNormal"/>
    <w:uiPriority w:val="39"/>
    <w:rsid w:val="006A71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1">
    <w:name w:val="Light List - Accent 5211"/>
    <w:basedOn w:val="TableNormal"/>
    <w:uiPriority w:val="61"/>
    <w:rsid w:val="006A714D"/>
    <w:pPr>
      <w:spacing w:after="0" w:line="240" w:lineRule="auto"/>
    </w:pPr>
    <w:rPr>
      <w:rFonts w:ascii="Times New Roman" w:eastAsia="Times New Roman" w:hAnsi="Times New Roman"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11">
    <w:name w:val="Light Shading - Accent 3211"/>
    <w:basedOn w:val="TableNormal"/>
    <w:uiPriority w:val="60"/>
    <w:rsid w:val="006A714D"/>
    <w:pPr>
      <w:spacing w:after="0" w:line="240" w:lineRule="auto"/>
    </w:pPr>
    <w:rPr>
      <w:rFonts w:ascii="Times New Roman" w:eastAsia="Times New Roman" w:hAnsi="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6211">
    <w:name w:val="Medium Shading 1 - Accent 6211"/>
    <w:basedOn w:val="TableNormal"/>
    <w:uiPriority w:val="63"/>
    <w:rsid w:val="006A714D"/>
    <w:pPr>
      <w:spacing w:after="0" w:line="240" w:lineRule="auto"/>
    </w:pPr>
    <w:rPr>
      <w:rFonts w:ascii="Calibri" w:eastAsia="Calibri" w:hAnsi="Calibri" w:cs="Times New Roman"/>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Naslov5">
    <w:name w:val="Naslov5"/>
    <w:basedOn w:val="NASLOV14"/>
    <w:uiPriority w:val="99"/>
    <w:rsid w:val="006A714D"/>
    <w:pPr>
      <w:numPr>
        <w:numId w:val="0"/>
      </w:numPr>
      <w:ind w:left="720" w:hanging="360"/>
    </w:pPr>
  </w:style>
  <w:style w:type="table" w:customStyle="1" w:styleId="TABLICAHAOP20">
    <w:name w:val="TABLICA HAOP2"/>
    <w:basedOn w:val="TableNormal"/>
    <w:uiPriority w:val="99"/>
    <w:rsid w:val="00120ACF"/>
    <w:pPr>
      <w:spacing w:after="0" w:line="240" w:lineRule="auto"/>
    </w:pPr>
    <w:tblPr/>
  </w:style>
  <w:style w:type="table" w:customStyle="1" w:styleId="TableGrid24">
    <w:name w:val="Table Grid24"/>
    <w:basedOn w:val="TableNormal"/>
    <w:next w:val="TableGrid"/>
    <w:uiPriority w:val="39"/>
    <w:rsid w:val="00E34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ASLOVNU">
    <w:name w:val="ZA NASLOVNU"/>
    <w:basedOn w:val="Normal"/>
    <w:uiPriority w:val="99"/>
    <w:rsid w:val="00DE7FD9"/>
    <w:pPr>
      <w:jc w:val="right"/>
    </w:pPr>
    <w:rPr>
      <w:rFonts w:eastAsia="MS Mincho" w:cs="Times New Roman"/>
      <w:b/>
      <w:bCs/>
      <w:lang w:eastAsia="ja-JP"/>
    </w:rPr>
  </w:style>
  <w:style w:type="paragraph" w:customStyle="1" w:styleId="HEADERFOOTER">
    <w:name w:val="HEADER/FOOTER"/>
    <w:basedOn w:val="Normal"/>
    <w:uiPriority w:val="99"/>
    <w:rsid w:val="007D3B37"/>
    <w:rPr>
      <w:rFonts w:eastAsia="MS Mincho" w:cs="Times New Roman"/>
      <w:sz w:val="16"/>
      <w:szCs w:val="24"/>
      <w:lang w:eastAsia="ja-JP"/>
    </w:rPr>
  </w:style>
  <w:style w:type="paragraph" w:customStyle="1" w:styleId="SlikaAZO">
    <w:name w:val="Slika_AZO"/>
    <w:basedOn w:val="Normal"/>
    <w:uiPriority w:val="99"/>
    <w:rsid w:val="00F85553"/>
    <w:pPr>
      <w:spacing w:before="120" w:line="360" w:lineRule="auto"/>
      <w:jc w:val="center"/>
    </w:pPr>
    <w:rPr>
      <w:rFonts w:ascii="Palatino Linotype" w:eastAsia="Times New Roman" w:hAnsi="Palatino Linotype" w:cs="Times New Roman"/>
      <w:sz w:val="20"/>
      <w:lang w:eastAsia="hr-HR"/>
    </w:rPr>
  </w:style>
  <w:style w:type="paragraph" w:customStyle="1" w:styleId="PRVIPODNASLOV">
    <w:name w:val="PRVI PODNASLOV"/>
    <w:basedOn w:val="Normal"/>
    <w:uiPriority w:val="99"/>
    <w:rsid w:val="000A4FFE"/>
    <w:pPr>
      <w:tabs>
        <w:tab w:val="left" w:pos="709"/>
      </w:tabs>
      <w:spacing w:after="120"/>
      <w:ind w:left="709" w:hanging="709"/>
      <w:outlineLvl w:val="1"/>
    </w:pPr>
    <w:rPr>
      <w:rFonts w:eastAsia="MS Mincho" w:cs="Times New Roman"/>
      <w:b/>
      <w:szCs w:val="24"/>
      <w:lang w:eastAsia="ja-JP"/>
    </w:rPr>
  </w:style>
  <w:style w:type="paragraph" w:customStyle="1" w:styleId="Typedudocument">
    <w:name w:val="Type du document"/>
    <w:basedOn w:val="Normal"/>
    <w:next w:val="Normal"/>
    <w:uiPriority w:val="99"/>
    <w:rsid w:val="000A4FFE"/>
    <w:pPr>
      <w:spacing w:before="360"/>
      <w:jc w:val="center"/>
    </w:pPr>
    <w:rPr>
      <w:rFonts w:eastAsia="Times New Roman" w:cs="Times New Roman"/>
      <w:b/>
      <w:lang w:val="en-GB" w:eastAsia="en-GB"/>
    </w:rPr>
  </w:style>
  <w:style w:type="paragraph" w:customStyle="1" w:styleId="TablicaAZO">
    <w:name w:val="Tablica_AZO"/>
    <w:basedOn w:val="Normal"/>
    <w:autoRedefine/>
    <w:uiPriority w:val="99"/>
    <w:rsid w:val="002024B2"/>
    <w:pPr>
      <w:keepNext/>
    </w:pPr>
    <w:rPr>
      <w:rFonts w:eastAsia="Times New Roman" w:cs="Times New Roman"/>
      <w:sz w:val="20"/>
      <w:lang w:eastAsia="hr-HR"/>
    </w:rPr>
  </w:style>
  <w:style w:type="paragraph" w:customStyle="1" w:styleId="DRUGIPODNASLOV">
    <w:name w:val="DRUGI PODNASLOV"/>
    <w:basedOn w:val="Normal"/>
    <w:uiPriority w:val="99"/>
    <w:rsid w:val="00A60271"/>
    <w:pPr>
      <w:tabs>
        <w:tab w:val="left" w:pos="851"/>
      </w:tabs>
      <w:spacing w:before="360" w:after="120" w:line="240" w:lineRule="auto"/>
      <w:ind w:left="851" w:hanging="851"/>
    </w:pPr>
    <w:rPr>
      <w:rFonts w:eastAsia="MS Mincho" w:cs="Times New Roman"/>
      <w:b/>
      <w:szCs w:val="24"/>
      <w:lang w:eastAsia="ja-JP"/>
    </w:rPr>
  </w:style>
  <w:style w:type="character" w:customStyle="1" w:styleId="NormalWebChar1">
    <w:name w:val="Normal (Web) Char1"/>
    <w:aliases w:val="Normal (Web) Char Char,Normal (Web) Char Char Char Char Char,Normal (Web) Char Char Char Char1"/>
    <w:basedOn w:val="DefaultParagraphFont"/>
    <w:link w:val="NormalWeb"/>
    <w:uiPriority w:val="99"/>
    <w:locked/>
    <w:rsid w:val="00A72D25"/>
    <w:rPr>
      <w:rFonts w:ascii="Times New Roman" w:hAnsi="Times New Roman"/>
      <w:sz w:val="24"/>
    </w:rPr>
  </w:style>
  <w:style w:type="character" w:customStyle="1" w:styleId="CommentTextChar1">
    <w:name w:val="Comment Text Char1"/>
    <w:basedOn w:val="DefaultParagraphFont"/>
    <w:uiPriority w:val="99"/>
    <w:semiHidden/>
    <w:rsid w:val="00A72D25"/>
    <w:rPr>
      <w:rFonts w:ascii="Times New Roman" w:eastAsia="MS Mincho" w:hAnsi="Times New Roman" w:cs="Times New Roman"/>
      <w:lang w:eastAsia="ja-JP"/>
    </w:rPr>
  </w:style>
  <w:style w:type="paragraph" w:customStyle="1" w:styleId="LITERATURA">
    <w:name w:val="LITERATURA"/>
    <w:basedOn w:val="Normal"/>
    <w:uiPriority w:val="99"/>
    <w:rsid w:val="00A72D25"/>
    <w:pPr>
      <w:spacing w:before="240" w:line="240" w:lineRule="auto"/>
      <w:ind w:left="992" w:hanging="992"/>
    </w:pPr>
    <w:rPr>
      <w:rFonts w:eastAsia="MS Mincho" w:cs="Times New Roman"/>
      <w:lang w:eastAsia="ja-JP"/>
    </w:rPr>
  </w:style>
  <w:style w:type="paragraph" w:customStyle="1" w:styleId="t-9-8">
    <w:name w:val="t-9-8"/>
    <w:basedOn w:val="Normal"/>
    <w:uiPriority w:val="99"/>
    <w:rsid w:val="00A72D25"/>
    <w:pPr>
      <w:spacing w:before="100" w:beforeAutospacing="1" w:after="100" w:afterAutospacing="1" w:line="240" w:lineRule="auto"/>
      <w:jc w:val="left"/>
    </w:pPr>
    <w:rPr>
      <w:rFonts w:eastAsia="Times New Roman" w:cs="Times New Roman"/>
      <w:szCs w:val="24"/>
      <w:lang w:eastAsia="hr-HR"/>
    </w:rPr>
  </w:style>
  <w:style w:type="character" w:customStyle="1" w:styleId="TekstChar">
    <w:name w:val="Tekst Char"/>
    <w:link w:val="Tekst"/>
    <w:locked/>
    <w:rsid w:val="00A72D25"/>
    <w:rPr>
      <w:rFonts w:eastAsia="Times New Roman" w:cs="Times New Roman"/>
      <w:noProof/>
      <w:sz w:val="18"/>
      <w:szCs w:val="18"/>
      <w:lang w:val="en-GB" w:eastAsia="hr-HR"/>
    </w:rPr>
  </w:style>
  <w:style w:type="paragraph" w:customStyle="1" w:styleId="t-98-20">
    <w:name w:val="t-98-2"/>
    <w:basedOn w:val="Normal"/>
    <w:uiPriority w:val="99"/>
    <w:rsid w:val="00A72D25"/>
    <w:pPr>
      <w:spacing w:before="100" w:beforeAutospacing="1" w:after="100" w:afterAutospacing="1" w:line="240" w:lineRule="auto"/>
      <w:jc w:val="left"/>
    </w:pPr>
    <w:rPr>
      <w:rFonts w:eastAsia="MS Mincho" w:cs="Times New Roman"/>
      <w:szCs w:val="24"/>
      <w:lang w:eastAsia="hr-HR"/>
    </w:rPr>
  </w:style>
  <w:style w:type="character" w:customStyle="1" w:styleId="IPAHeading2TextCharChar">
    <w:name w:val="IPA Heading 2 Text Char Char"/>
    <w:link w:val="IPAHeading2TextChar"/>
    <w:uiPriority w:val="99"/>
    <w:locked/>
    <w:rsid w:val="00A72D25"/>
    <w:rPr>
      <w:sz w:val="24"/>
      <w:szCs w:val="22"/>
      <w:lang w:val="en-GB" w:eastAsia="en-GB"/>
    </w:rPr>
  </w:style>
  <w:style w:type="paragraph" w:customStyle="1" w:styleId="IPAHeading2TextChar">
    <w:name w:val="IPA Heading 2 Text Char"/>
    <w:basedOn w:val="Normal"/>
    <w:link w:val="IPAHeading2TextCharChar"/>
    <w:uiPriority w:val="99"/>
    <w:rsid w:val="00A72D25"/>
    <w:pPr>
      <w:spacing w:line="240" w:lineRule="auto"/>
      <w:ind w:left="1134"/>
    </w:pPr>
    <w:rPr>
      <w:rFonts w:ascii="Segoe UI" w:hAnsi="Segoe UI"/>
      <w:lang w:val="en-GB" w:eastAsia="en-GB"/>
    </w:rPr>
  </w:style>
  <w:style w:type="paragraph" w:customStyle="1" w:styleId="t-9-8-bez-uvl">
    <w:name w:val="t-9-8-bez-uvl"/>
    <w:basedOn w:val="Normal"/>
    <w:uiPriority w:val="99"/>
    <w:rsid w:val="00A72D25"/>
    <w:pPr>
      <w:spacing w:before="100" w:beforeAutospacing="1" w:after="100" w:afterAutospacing="1" w:line="240" w:lineRule="auto"/>
      <w:jc w:val="left"/>
    </w:pPr>
    <w:rPr>
      <w:rFonts w:eastAsia="MS Mincho" w:cs="Times New Roman"/>
      <w:szCs w:val="24"/>
      <w:lang w:eastAsia="hr-HR"/>
    </w:rPr>
  </w:style>
  <w:style w:type="paragraph" w:customStyle="1" w:styleId="t-98bezuvl0">
    <w:name w:val="t-98bezuvl"/>
    <w:basedOn w:val="Normal"/>
    <w:uiPriority w:val="99"/>
    <w:rsid w:val="00A72D25"/>
    <w:pPr>
      <w:spacing w:before="100" w:beforeAutospacing="1" w:after="100" w:afterAutospacing="1" w:line="240" w:lineRule="auto"/>
      <w:jc w:val="left"/>
    </w:pPr>
    <w:rPr>
      <w:rFonts w:eastAsia="MS Mincho" w:cs="Times New Roman"/>
      <w:szCs w:val="24"/>
      <w:lang w:eastAsia="hr-HR"/>
    </w:rPr>
  </w:style>
  <w:style w:type="paragraph" w:customStyle="1" w:styleId="clanak-">
    <w:name w:val="clanak-"/>
    <w:basedOn w:val="Normal"/>
    <w:uiPriority w:val="99"/>
    <w:rsid w:val="00A72D25"/>
    <w:pPr>
      <w:spacing w:before="100" w:beforeAutospacing="1" w:after="100" w:afterAutospacing="1" w:line="240" w:lineRule="auto"/>
      <w:jc w:val="center"/>
    </w:pPr>
    <w:rPr>
      <w:rFonts w:eastAsia="Times New Roman" w:cs="Times New Roman"/>
      <w:szCs w:val="24"/>
      <w:lang w:eastAsia="hr-HR"/>
    </w:rPr>
  </w:style>
  <w:style w:type="paragraph" w:customStyle="1" w:styleId="t-10-9-kurz-s-fett">
    <w:name w:val="t-10-9-kurz-s-fett"/>
    <w:basedOn w:val="Normal"/>
    <w:uiPriority w:val="99"/>
    <w:rsid w:val="00A72D25"/>
    <w:pPr>
      <w:spacing w:before="100" w:beforeAutospacing="1" w:after="100" w:afterAutospacing="1" w:line="240" w:lineRule="auto"/>
      <w:jc w:val="center"/>
    </w:pPr>
    <w:rPr>
      <w:rFonts w:eastAsia="Times New Roman" w:cs="Times New Roman"/>
      <w:b/>
      <w:bCs/>
      <w:i/>
      <w:iCs/>
      <w:sz w:val="26"/>
      <w:szCs w:val="26"/>
      <w:lang w:eastAsia="hr-HR"/>
    </w:rPr>
  </w:style>
  <w:style w:type="paragraph" w:customStyle="1" w:styleId="CM4">
    <w:name w:val="CM4"/>
    <w:basedOn w:val="Default"/>
    <w:next w:val="Default"/>
    <w:uiPriority w:val="99"/>
    <w:rsid w:val="00A72D25"/>
    <w:rPr>
      <w:rFonts w:ascii="EUAlbertina" w:eastAsia="Calibri" w:hAnsi="EUAlbertina" w:cs="Times New Roman"/>
      <w:color w:val="auto"/>
      <w:lang w:eastAsia="en-US"/>
    </w:rPr>
  </w:style>
  <w:style w:type="paragraph" w:customStyle="1" w:styleId="CRNO">
    <w:name w:val="CRNO"/>
    <w:basedOn w:val="Normal"/>
    <w:uiPriority w:val="99"/>
    <w:rsid w:val="00A72D25"/>
    <w:pPr>
      <w:spacing w:line="288" w:lineRule="auto"/>
    </w:pPr>
    <w:rPr>
      <w:rFonts w:eastAsia="MS Mincho" w:cs="Calibri"/>
    </w:rPr>
  </w:style>
  <w:style w:type="character" w:customStyle="1" w:styleId="HeaderChar1">
    <w:name w:val="Header Char1"/>
    <w:basedOn w:val="DefaultParagraphFont"/>
    <w:uiPriority w:val="99"/>
    <w:semiHidden/>
    <w:rsid w:val="00A72D25"/>
    <w:rPr>
      <w:rFonts w:ascii="Times New Roman" w:eastAsia="MS Mincho" w:hAnsi="Times New Roman" w:cs="Times New Roman"/>
      <w:sz w:val="24"/>
      <w:szCs w:val="24"/>
      <w:lang w:eastAsia="ja-JP"/>
    </w:rPr>
  </w:style>
  <w:style w:type="character" w:customStyle="1" w:styleId="FooterChar1">
    <w:name w:val="Footer Char1"/>
    <w:basedOn w:val="DefaultParagraphFont"/>
    <w:uiPriority w:val="99"/>
    <w:semiHidden/>
    <w:rsid w:val="00A72D25"/>
    <w:rPr>
      <w:rFonts w:ascii="Times New Roman" w:eastAsia="MS Mincho" w:hAnsi="Times New Roman" w:cs="Times New Roman"/>
      <w:sz w:val="24"/>
      <w:szCs w:val="24"/>
      <w:lang w:eastAsia="ja-JP"/>
    </w:rPr>
  </w:style>
  <w:style w:type="character" w:customStyle="1" w:styleId="BalloonTextChar1">
    <w:name w:val="Balloon Text Char1"/>
    <w:basedOn w:val="DefaultParagraphFont"/>
    <w:uiPriority w:val="99"/>
    <w:semiHidden/>
    <w:rsid w:val="00A72D25"/>
    <w:rPr>
      <w:rFonts w:eastAsia="MS Mincho" w:cs="Segoe UI"/>
      <w:sz w:val="18"/>
      <w:szCs w:val="18"/>
      <w:lang w:eastAsia="ja-JP"/>
    </w:rPr>
  </w:style>
  <w:style w:type="character" w:customStyle="1" w:styleId="kurziv1">
    <w:name w:val="kurziv1"/>
    <w:uiPriority w:val="99"/>
    <w:rsid w:val="00A72D25"/>
    <w:rPr>
      <w:i/>
      <w:iCs w:val="0"/>
    </w:rPr>
  </w:style>
  <w:style w:type="character" w:customStyle="1" w:styleId="PlainTextChar1">
    <w:name w:val="Plain Text Char1"/>
    <w:basedOn w:val="DefaultParagraphFont"/>
    <w:uiPriority w:val="99"/>
    <w:semiHidden/>
    <w:rsid w:val="00A72D25"/>
    <w:rPr>
      <w:rFonts w:ascii="Consolas" w:eastAsia="MS Mincho" w:hAnsi="Consolas" w:cs="Consolas"/>
      <w:sz w:val="21"/>
      <w:szCs w:val="21"/>
      <w:lang w:eastAsia="ja-JP"/>
    </w:rPr>
  </w:style>
  <w:style w:type="character" w:customStyle="1" w:styleId="paragrafpalatinoivana">
    <w:name w:val="paragraf palatino ivana"/>
    <w:uiPriority w:val="99"/>
    <w:rsid w:val="00A72D25"/>
    <w:rPr>
      <w:rFonts w:ascii="Palatino Linotype" w:hAnsi="Palatino Linotype" w:hint="default"/>
      <w:sz w:val="20"/>
    </w:rPr>
  </w:style>
  <w:style w:type="character" w:customStyle="1" w:styleId="bold1">
    <w:name w:val="bold1"/>
    <w:uiPriority w:val="99"/>
    <w:rsid w:val="00A72D25"/>
    <w:rPr>
      <w:b/>
      <w:bCs w:val="0"/>
    </w:rPr>
  </w:style>
  <w:style w:type="character" w:customStyle="1" w:styleId="spelle">
    <w:name w:val="spelle"/>
    <w:uiPriority w:val="99"/>
    <w:rsid w:val="00A72D25"/>
  </w:style>
  <w:style w:type="character" w:customStyle="1" w:styleId="CommentSubjectChar1">
    <w:name w:val="Comment Subject Char1"/>
    <w:basedOn w:val="CommentTextChar1"/>
    <w:uiPriority w:val="99"/>
    <w:semiHidden/>
    <w:rsid w:val="00A72D25"/>
    <w:rPr>
      <w:rFonts w:ascii="Times New Roman" w:eastAsia="MS Mincho" w:hAnsi="Times New Roman" w:cs="Times New Roman"/>
      <w:b/>
      <w:bCs/>
      <w:lang w:eastAsia="ja-JP"/>
    </w:rPr>
  </w:style>
  <w:style w:type="character" w:customStyle="1" w:styleId="dolestoje-a">
    <w:name w:val="dolestoje-a"/>
    <w:rsid w:val="00A72D25"/>
  </w:style>
  <w:style w:type="character" w:customStyle="1" w:styleId="sub">
    <w:name w:val="sub"/>
    <w:rsid w:val="00A72D25"/>
  </w:style>
  <w:style w:type="character" w:customStyle="1" w:styleId="apple-converted-space">
    <w:name w:val="apple-converted-space"/>
    <w:basedOn w:val="DefaultParagraphFont"/>
    <w:rsid w:val="00A72D25"/>
  </w:style>
  <w:style w:type="character" w:customStyle="1" w:styleId="st">
    <w:name w:val="st"/>
    <w:basedOn w:val="DefaultParagraphFont"/>
    <w:rsid w:val="00A72D25"/>
  </w:style>
  <w:style w:type="table" w:customStyle="1" w:styleId="TableGrid5">
    <w:name w:val="Table Grid5"/>
    <w:uiPriority w:val="99"/>
    <w:rsid w:val="00A72D25"/>
    <w:pPr>
      <w:spacing w:after="0" w:line="240" w:lineRule="auto"/>
    </w:pPr>
    <w:rPr>
      <w:rFonts w:ascii="Times New Roman" w:eastAsia="MS Mincho"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A72D25"/>
    <w:pPr>
      <w:spacing w:after="0" w:line="240" w:lineRule="auto"/>
    </w:pPr>
    <w:rPr>
      <w:rFonts w:ascii="Times New Roman" w:eastAsia="MS Mincho"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uiPriority w:val="99"/>
    <w:locked/>
    <w:rsid w:val="00A72D25"/>
    <w:pPr>
      <w:spacing w:after="0" w:line="240" w:lineRule="auto"/>
    </w:pPr>
    <w:rPr>
      <w:rFonts w:ascii="Calibri" w:eastAsia="MS Mincho"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A72D2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A72D25"/>
    <w:pPr>
      <w:spacing w:after="0" w:line="240" w:lineRule="auto"/>
    </w:pPr>
    <w:rPr>
      <w:rFonts w:ascii="Calibri" w:eastAsia="Calibri" w:hAnsi="Calibri" w:cs="Times New Roman"/>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9">
    <w:name w:val="Table Grid9"/>
    <w:basedOn w:val="TableNormal"/>
    <w:uiPriority w:val="59"/>
    <w:rsid w:val="00A72D2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uiPriority w:val="59"/>
    <w:rsid w:val="00A72D2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A72D2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A72D2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156A97"/>
    <w:pPr>
      <w:autoSpaceDE w:val="0"/>
      <w:autoSpaceDN w:val="0"/>
      <w:adjustRightInd w:val="0"/>
      <w:spacing w:line="240" w:lineRule="auto"/>
      <w:jc w:val="left"/>
    </w:pPr>
    <w:rPr>
      <w:rFonts w:ascii="Times" w:hAnsi="Times" w:cs="Times"/>
      <w:szCs w:val="24"/>
    </w:rPr>
  </w:style>
  <w:style w:type="paragraph" w:customStyle="1" w:styleId="box462116">
    <w:name w:val="box_462116"/>
    <w:basedOn w:val="Normal"/>
    <w:uiPriority w:val="99"/>
    <w:rsid w:val="00775D7A"/>
    <w:pPr>
      <w:spacing w:before="100" w:beforeAutospacing="1" w:after="100" w:afterAutospacing="1" w:line="240" w:lineRule="auto"/>
      <w:jc w:val="left"/>
    </w:pPr>
    <w:rPr>
      <w:rFonts w:eastAsia="Times New Roman" w:cs="Times New Roman"/>
      <w:szCs w:val="24"/>
      <w:lang w:eastAsia="hr-HR"/>
    </w:rPr>
  </w:style>
  <w:style w:type="character" w:customStyle="1" w:styleId="TekstkomentaraChar1">
    <w:name w:val="Tekst komentara Char1"/>
    <w:basedOn w:val="DefaultParagraphFont"/>
    <w:uiPriority w:val="99"/>
    <w:semiHidden/>
    <w:rsid w:val="00522861"/>
    <w:rPr>
      <w:rFonts w:ascii="Times New Roman" w:hAnsi="Times New Roman"/>
    </w:rPr>
  </w:style>
  <w:style w:type="character" w:customStyle="1" w:styleId="ObinitekstChar1">
    <w:name w:val="Obični tekst Char1"/>
    <w:basedOn w:val="DefaultParagraphFont"/>
    <w:uiPriority w:val="99"/>
    <w:semiHidden/>
    <w:rsid w:val="00522861"/>
    <w:rPr>
      <w:rFonts w:ascii="Consolas" w:hAnsi="Consolas"/>
      <w:sz w:val="21"/>
      <w:szCs w:val="21"/>
    </w:rPr>
  </w:style>
  <w:style w:type="character" w:customStyle="1" w:styleId="Naslov7Char1">
    <w:name w:val="Naslov 7 Char1"/>
    <w:basedOn w:val="DefaultParagraphFont"/>
    <w:uiPriority w:val="99"/>
    <w:semiHidden/>
    <w:rsid w:val="00522861"/>
    <w:rPr>
      <w:rFonts w:asciiTheme="majorHAnsi" w:eastAsiaTheme="majorEastAsia" w:hAnsiTheme="majorHAnsi" w:cstheme="majorBidi" w:hint="default"/>
      <w:i/>
      <w:iCs/>
      <w:color w:val="1F4D78" w:themeColor="accent1" w:themeShade="7F"/>
      <w:sz w:val="24"/>
    </w:rPr>
  </w:style>
  <w:style w:type="character" w:customStyle="1" w:styleId="Naslov8Char1">
    <w:name w:val="Naslov 8 Char1"/>
    <w:basedOn w:val="DefaultParagraphFont"/>
    <w:uiPriority w:val="99"/>
    <w:semiHidden/>
    <w:rsid w:val="00522861"/>
    <w:rPr>
      <w:rFonts w:asciiTheme="majorHAnsi" w:eastAsiaTheme="majorEastAsia" w:hAnsiTheme="majorHAnsi" w:cstheme="majorBidi" w:hint="default"/>
      <w:color w:val="272727" w:themeColor="text1" w:themeTint="D8"/>
      <w:sz w:val="21"/>
      <w:szCs w:val="21"/>
    </w:rPr>
  </w:style>
  <w:style w:type="character" w:customStyle="1" w:styleId="Naslov9Char1">
    <w:name w:val="Naslov 9 Char1"/>
    <w:basedOn w:val="DefaultParagraphFont"/>
    <w:uiPriority w:val="99"/>
    <w:semiHidden/>
    <w:rsid w:val="00522861"/>
    <w:rPr>
      <w:rFonts w:asciiTheme="majorHAnsi" w:eastAsiaTheme="majorEastAsia" w:hAnsiTheme="majorHAnsi" w:cstheme="majorBidi" w:hint="default"/>
      <w:i/>
      <w:iCs/>
      <w:color w:val="272727" w:themeColor="text1" w:themeTint="D8"/>
      <w:sz w:val="21"/>
      <w:szCs w:val="21"/>
    </w:rPr>
  </w:style>
  <w:style w:type="character" w:customStyle="1" w:styleId="ZaglavljeChar1">
    <w:name w:val="Zaglavlje Char1"/>
    <w:basedOn w:val="DefaultParagraphFont"/>
    <w:uiPriority w:val="99"/>
    <w:semiHidden/>
    <w:rsid w:val="00522861"/>
    <w:rPr>
      <w:rFonts w:ascii="Times New Roman" w:hAnsi="Times New Roman"/>
      <w:sz w:val="24"/>
    </w:rPr>
  </w:style>
  <w:style w:type="character" w:customStyle="1" w:styleId="PodnojeChar1">
    <w:name w:val="Podnožje Char1"/>
    <w:basedOn w:val="DefaultParagraphFont"/>
    <w:uiPriority w:val="99"/>
    <w:semiHidden/>
    <w:rsid w:val="00522861"/>
    <w:rPr>
      <w:rFonts w:ascii="Times New Roman" w:hAnsi="Times New Roman"/>
      <w:sz w:val="24"/>
    </w:rPr>
  </w:style>
  <w:style w:type="character" w:customStyle="1" w:styleId="TekstkrajnjebiljekeChar1">
    <w:name w:val="Tekst krajnje bilješke Char1"/>
    <w:basedOn w:val="DefaultParagraphFont"/>
    <w:uiPriority w:val="99"/>
    <w:semiHidden/>
    <w:rsid w:val="00522861"/>
    <w:rPr>
      <w:rFonts w:ascii="Times New Roman" w:hAnsi="Times New Roman"/>
    </w:rPr>
  </w:style>
  <w:style w:type="character" w:customStyle="1" w:styleId="TekstmakronaredbeChar1">
    <w:name w:val="Tekst makronaredbe Char1"/>
    <w:basedOn w:val="DefaultParagraphFont"/>
    <w:uiPriority w:val="99"/>
    <w:semiHidden/>
    <w:rsid w:val="00522861"/>
    <w:rPr>
      <w:rFonts w:ascii="Consolas" w:hAnsi="Consolas"/>
    </w:rPr>
  </w:style>
  <w:style w:type="character" w:customStyle="1" w:styleId="UvuenotijelotekstaChar1">
    <w:name w:val="Uvučeno tijelo teksta Char1"/>
    <w:basedOn w:val="DefaultParagraphFont"/>
    <w:uiPriority w:val="99"/>
    <w:semiHidden/>
    <w:rsid w:val="00522861"/>
    <w:rPr>
      <w:rFonts w:ascii="Times New Roman" w:hAnsi="Times New Roman"/>
      <w:sz w:val="24"/>
    </w:rPr>
  </w:style>
  <w:style w:type="character" w:customStyle="1" w:styleId="PodnaslovChar1">
    <w:name w:val="Podnaslov Char1"/>
    <w:basedOn w:val="DefaultParagraphFont"/>
    <w:uiPriority w:val="99"/>
    <w:rsid w:val="00522861"/>
    <w:rPr>
      <w:rFonts w:asciiTheme="minorHAnsi" w:eastAsiaTheme="minorEastAsia" w:hAnsiTheme="minorHAnsi"/>
      <w:color w:val="5A5A5A" w:themeColor="text1" w:themeTint="A5"/>
      <w:spacing w:val="15"/>
      <w:sz w:val="22"/>
      <w:szCs w:val="22"/>
    </w:rPr>
  </w:style>
  <w:style w:type="character" w:customStyle="1" w:styleId="Tijeloteksta2Char1">
    <w:name w:val="Tijelo teksta 2 Char1"/>
    <w:basedOn w:val="DefaultParagraphFont"/>
    <w:uiPriority w:val="99"/>
    <w:semiHidden/>
    <w:rsid w:val="00522861"/>
    <w:rPr>
      <w:rFonts w:ascii="Times New Roman" w:hAnsi="Times New Roman"/>
      <w:sz w:val="24"/>
    </w:rPr>
  </w:style>
  <w:style w:type="character" w:customStyle="1" w:styleId="Tijeloteksta3Char1">
    <w:name w:val="Tijelo teksta 3 Char1"/>
    <w:basedOn w:val="DefaultParagraphFont"/>
    <w:uiPriority w:val="99"/>
    <w:semiHidden/>
    <w:rsid w:val="00522861"/>
    <w:rPr>
      <w:rFonts w:ascii="Times New Roman" w:hAnsi="Times New Roman"/>
      <w:sz w:val="16"/>
      <w:szCs w:val="16"/>
    </w:rPr>
  </w:style>
  <w:style w:type="character" w:customStyle="1" w:styleId="KartadokumentaChar1">
    <w:name w:val="Karta dokumenta Char1"/>
    <w:basedOn w:val="DefaultParagraphFont"/>
    <w:uiPriority w:val="99"/>
    <w:semiHidden/>
    <w:rsid w:val="00522861"/>
    <w:rPr>
      <w:rFonts w:cs="Segoe UI"/>
      <w:sz w:val="16"/>
      <w:szCs w:val="16"/>
    </w:rPr>
  </w:style>
  <w:style w:type="character" w:customStyle="1" w:styleId="PredmetkomentaraChar1">
    <w:name w:val="Predmet komentara Char1"/>
    <w:basedOn w:val="TekstkomentaraChar1"/>
    <w:uiPriority w:val="99"/>
    <w:semiHidden/>
    <w:rsid w:val="00522861"/>
    <w:rPr>
      <w:rFonts w:ascii="Times New Roman" w:hAnsi="Times New Roman"/>
      <w:b/>
      <w:bCs/>
    </w:rPr>
  </w:style>
  <w:style w:type="character" w:customStyle="1" w:styleId="TekstbaloniaChar1">
    <w:name w:val="Tekst balončića Char1"/>
    <w:basedOn w:val="DefaultParagraphFont"/>
    <w:uiPriority w:val="99"/>
    <w:semiHidden/>
    <w:rsid w:val="00522861"/>
    <w:rPr>
      <w:rFonts w:cs="Segoe UI"/>
      <w:sz w:val="18"/>
      <w:szCs w:val="18"/>
    </w:rPr>
  </w:style>
  <w:style w:type="character" w:customStyle="1" w:styleId="UnresolvedMention1">
    <w:name w:val="Unresolved Mention1"/>
    <w:basedOn w:val="DefaultParagraphFont"/>
    <w:uiPriority w:val="99"/>
    <w:semiHidden/>
    <w:unhideWhenUsed/>
    <w:rsid w:val="00D71DFB"/>
    <w:rPr>
      <w:color w:val="605E5C"/>
      <w:shd w:val="clear" w:color="auto" w:fill="E1DFDD"/>
    </w:rPr>
  </w:style>
  <w:style w:type="paragraph" w:customStyle="1" w:styleId="tekstutablicama">
    <w:name w:val="tekst u tablicama"/>
    <w:basedOn w:val="NoSpacing"/>
    <w:link w:val="tekstutablicamaChar"/>
    <w:rsid w:val="004F6674"/>
    <w:rPr>
      <w:rFonts w:ascii="Arial Narrow" w:eastAsiaTheme="minorHAnsi" w:hAnsi="Arial Narrow"/>
      <w:sz w:val="20"/>
      <w:szCs w:val="20"/>
    </w:rPr>
  </w:style>
  <w:style w:type="character" w:customStyle="1" w:styleId="tekstutablicamaChar">
    <w:name w:val="tekst u tablicama Char"/>
    <w:link w:val="tekstutablicama"/>
    <w:rsid w:val="004F6674"/>
    <w:rPr>
      <w:rFonts w:ascii="Arial Narrow" w:hAnsi="Arial Narrow"/>
    </w:rPr>
  </w:style>
  <w:style w:type="table" w:customStyle="1" w:styleId="Izvjescetablica3">
    <w:name w:val="Izvjescetablica3"/>
    <w:basedOn w:val="TableNormal"/>
    <w:next w:val="TableGrid"/>
    <w:uiPriority w:val="39"/>
    <w:rsid w:val="004F6674"/>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zvjescetablica4">
    <w:name w:val="Izvjescetablica4"/>
    <w:basedOn w:val="TableNormal"/>
    <w:next w:val="TableGrid"/>
    <w:uiPriority w:val="39"/>
    <w:rsid w:val="004F6674"/>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50491"/>
    <w:rPr>
      <w:color w:val="605E5C"/>
      <w:shd w:val="clear" w:color="auto" w:fill="E1DFDD"/>
    </w:rPr>
  </w:style>
  <w:style w:type="table" w:customStyle="1" w:styleId="Izvjescetablica5">
    <w:name w:val="Izvjescetablica5"/>
    <w:basedOn w:val="TableNormal"/>
    <w:next w:val="TableGrid"/>
    <w:uiPriority w:val="39"/>
    <w:rsid w:val="00291E5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555E2E"/>
    <w:rPr>
      <w:color w:val="605E5C"/>
      <w:shd w:val="clear" w:color="auto" w:fill="E1DFDD"/>
    </w:rPr>
  </w:style>
  <w:style w:type="paragraph" w:styleId="Quote">
    <w:name w:val="Quote"/>
    <w:basedOn w:val="Normal"/>
    <w:next w:val="Normal"/>
    <w:link w:val="QuoteChar"/>
    <w:uiPriority w:val="29"/>
    <w:qFormat/>
    <w:rsid w:val="00EE3488"/>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EE3488"/>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EE3488"/>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EE3488"/>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EE3488"/>
    <w:rPr>
      <w:i/>
      <w:iCs/>
      <w:color w:val="auto"/>
    </w:rPr>
  </w:style>
  <w:style w:type="character" w:styleId="IntenseEmphasis">
    <w:name w:val="Intense Emphasis"/>
    <w:basedOn w:val="DefaultParagraphFont"/>
    <w:uiPriority w:val="21"/>
    <w:qFormat/>
    <w:rsid w:val="00EE3488"/>
    <w:rPr>
      <w:b/>
      <w:bCs/>
      <w:i/>
      <w:iCs/>
      <w:color w:val="auto"/>
    </w:rPr>
  </w:style>
  <w:style w:type="character" w:styleId="SubtleReference">
    <w:name w:val="Subtle Reference"/>
    <w:basedOn w:val="DefaultParagraphFont"/>
    <w:uiPriority w:val="31"/>
    <w:qFormat/>
    <w:rsid w:val="00EE3488"/>
    <w:rPr>
      <w:smallCaps/>
      <w:color w:val="auto"/>
      <w:u w:val="single" w:color="7F7F7F" w:themeColor="text1" w:themeTint="80"/>
    </w:rPr>
  </w:style>
  <w:style w:type="character" w:styleId="IntenseReference">
    <w:name w:val="Intense Reference"/>
    <w:basedOn w:val="DefaultParagraphFont"/>
    <w:uiPriority w:val="32"/>
    <w:qFormat/>
    <w:rsid w:val="00EE3488"/>
    <w:rPr>
      <w:b/>
      <w:bCs/>
      <w:smallCaps/>
      <w:color w:val="auto"/>
      <w:u w:val="single"/>
    </w:rPr>
  </w:style>
  <w:style w:type="character" w:styleId="BookTitle">
    <w:name w:val="Book Title"/>
    <w:basedOn w:val="DefaultParagraphFont"/>
    <w:uiPriority w:val="33"/>
    <w:qFormat/>
    <w:rsid w:val="00EE3488"/>
    <w:rPr>
      <w:b/>
      <w:bCs/>
      <w:smallCaps/>
      <w:color w:val="auto"/>
    </w:rPr>
  </w:style>
  <w:style w:type="table" w:customStyle="1" w:styleId="TableGridNew1">
    <w:name w:val="Table Grid New1"/>
    <w:basedOn w:val="TableNormal"/>
    <w:next w:val="TableGrid"/>
    <w:uiPriority w:val="39"/>
    <w:rsid w:val="0056199C"/>
    <w:pPr>
      <w:spacing w:after="0" w:line="240" w:lineRule="auto"/>
      <w:jc w:val="left"/>
    </w:pPr>
    <w:rPr>
      <w:rFonts w:ascii="Segoe UI" w:eastAsia="Calibri" w:hAnsi="Segoe UI"/>
      <w:sz w:val="18"/>
      <w:szCs w:val="20"/>
    </w:rPr>
    <w:tblPr>
      <w:tblStyleRowBandSize w:val="1"/>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Pr>
    <w:tblStylePr w:type="firstRow">
      <w:pPr>
        <w:jc w:val="center"/>
      </w:pPr>
      <w:rPr>
        <w:rFonts w:ascii="Segoe UI" w:hAnsi="Segoe UI"/>
        <w:sz w:val="18"/>
      </w:rPr>
      <w:tblPr/>
      <w:tcPr>
        <w:tcBorders>
          <w:insideV w:val="single" w:sz="4" w:space="0" w:color="FFFFFF"/>
        </w:tcBorders>
        <w:shd w:val="clear" w:color="auto" w:fill="003C71"/>
        <w:vAlign w:val="center"/>
      </w:tcPr>
    </w:tblStylePr>
    <w:tblStylePr w:type="lastRow">
      <w:rPr>
        <w:b/>
      </w:rPr>
    </w:tblStylePr>
    <w:tblStylePr w:type="firstCol">
      <w:rPr>
        <w:rFonts w:ascii="Segoe UI" w:hAnsi="Segoe UI"/>
        <w:sz w:val="18"/>
      </w:rPr>
      <w:tblPr/>
      <w:tcPr>
        <w:tcBorders>
          <w:insideH w:val="single" w:sz="4" w:space="0" w:color="FFFFFF"/>
        </w:tcBorders>
        <w:shd w:val="clear" w:color="auto" w:fill="003C71"/>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3470">
      <w:bodyDiv w:val="1"/>
      <w:marLeft w:val="0"/>
      <w:marRight w:val="0"/>
      <w:marTop w:val="0"/>
      <w:marBottom w:val="0"/>
      <w:divBdr>
        <w:top w:val="none" w:sz="0" w:space="0" w:color="auto"/>
        <w:left w:val="none" w:sz="0" w:space="0" w:color="auto"/>
        <w:bottom w:val="none" w:sz="0" w:space="0" w:color="auto"/>
        <w:right w:val="none" w:sz="0" w:space="0" w:color="auto"/>
      </w:divBdr>
    </w:div>
    <w:div w:id="37165280">
      <w:bodyDiv w:val="1"/>
      <w:marLeft w:val="0"/>
      <w:marRight w:val="0"/>
      <w:marTop w:val="0"/>
      <w:marBottom w:val="0"/>
      <w:divBdr>
        <w:top w:val="none" w:sz="0" w:space="0" w:color="auto"/>
        <w:left w:val="none" w:sz="0" w:space="0" w:color="auto"/>
        <w:bottom w:val="none" w:sz="0" w:space="0" w:color="auto"/>
        <w:right w:val="none" w:sz="0" w:space="0" w:color="auto"/>
      </w:divBdr>
    </w:div>
    <w:div w:id="77674481">
      <w:bodyDiv w:val="1"/>
      <w:marLeft w:val="0"/>
      <w:marRight w:val="0"/>
      <w:marTop w:val="0"/>
      <w:marBottom w:val="0"/>
      <w:divBdr>
        <w:top w:val="none" w:sz="0" w:space="0" w:color="auto"/>
        <w:left w:val="none" w:sz="0" w:space="0" w:color="auto"/>
        <w:bottom w:val="none" w:sz="0" w:space="0" w:color="auto"/>
        <w:right w:val="none" w:sz="0" w:space="0" w:color="auto"/>
      </w:divBdr>
    </w:div>
    <w:div w:id="85620111">
      <w:bodyDiv w:val="1"/>
      <w:marLeft w:val="0"/>
      <w:marRight w:val="0"/>
      <w:marTop w:val="0"/>
      <w:marBottom w:val="0"/>
      <w:divBdr>
        <w:top w:val="none" w:sz="0" w:space="0" w:color="auto"/>
        <w:left w:val="none" w:sz="0" w:space="0" w:color="auto"/>
        <w:bottom w:val="none" w:sz="0" w:space="0" w:color="auto"/>
        <w:right w:val="none" w:sz="0" w:space="0" w:color="auto"/>
      </w:divBdr>
    </w:div>
    <w:div w:id="110632194">
      <w:bodyDiv w:val="1"/>
      <w:marLeft w:val="0"/>
      <w:marRight w:val="0"/>
      <w:marTop w:val="0"/>
      <w:marBottom w:val="0"/>
      <w:divBdr>
        <w:top w:val="none" w:sz="0" w:space="0" w:color="auto"/>
        <w:left w:val="none" w:sz="0" w:space="0" w:color="auto"/>
        <w:bottom w:val="none" w:sz="0" w:space="0" w:color="auto"/>
        <w:right w:val="none" w:sz="0" w:space="0" w:color="auto"/>
      </w:divBdr>
    </w:div>
    <w:div w:id="136802788">
      <w:bodyDiv w:val="1"/>
      <w:marLeft w:val="0"/>
      <w:marRight w:val="0"/>
      <w:marTop w:val="0"/>
      <w:marBottom w:val="0"/>
      <w:divBdr>
        <w:top w:val="none" w:sz="0" w:space="0" w:color="auto"/>
        <w:left w:val="none" w:sz="0" w:space="0" w:color="auto"/>
        <w:bottom w:val="none" w:sz="0" w:space="0" w:color="auto"/>
        <w:right w:val="none" w:sz="0" w:space="0" w:color="auto"/>
      </w:divBdr>
    </w:div>
    <w:div w:id="168377859">
      <w:bodyDiv w:val="1"/>
      <w:marLeft w:val="0"/>
      <w:marRight w:val="0"/>
      <w:marTop w:val="0"/>
      <w:marBottom w:val="0"/>
      <w:divBdr>
        <w:top w:val="none" w:sz="0" w:space="0" w:color="auto"/>
        <w:left w:val="none" w:sz="0" w:space="0" w:color="auto"/>
        <w:bottom w:val="none" w:sz="0" w:space="0" w:color="auto"/>
        <w:right w:val="none" w:sz="0" w:space="0" w:color="auto"/>
      </w:divBdr>
    </w:div>
    <w:div w:id="186650021">
      <w:bodyDiv w:val="1"/>
      <w:marLeft w:val="0"/>
      <w:marRight w:val="0"/>
      <w:marTop w:val="0"/>
      <w:marBottom w:val="0"/>
      <w:divBdr>
        <w:top w:val="none" w:sz="0" w:space="0" w:color="auto"/>
        <w:left w:val="none" w:sz="0" w:space="0" w:color="auto"/>
        <w:bottom w:val="none" w:sz="0" w:space="0" w:color="auto"/>
        <w:right w:val="none" w:sz="0" w:space="0" w:color="auto"/>
      </w:divBdr>
    </w:div>
    <w:div w:id="189607495">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93021464">
      <w:bodyDiv w:val="1"/>
      <w:marLeft w:val="0"/>
      <w:marRight w:val="0"/>
      <w:marTop w:val="0"/>
      <w:marBottom w:val="0"/>
      <w:divBdr>
        <w:top w:val="none" w:sz="0" w:space="0" w:color="auto"/>
        <w:left w:val="none" w:sz="0" w:space="0" w:color="auto"/>
        <w:bottom w:val="none" w:sz="0" w:space="0" w:color="auto"/>
        <w:right w:val="none" w:sz="0" w:space="0" w:color="auto"/>
      </w:divBdr>
    </w:div>
    <w:div w:id="330447332">
      <w:bodyDiv w:val="1"/>
      <w:marLeft w:val="0"/>
      <w:marRight w:val="0"/>
      <w:marTop w:val="0"/>
      <w:marBottom w:val="0"/>
      <w:divBdr>
        <w:top w:val="none" w:sz="0" w:space="0" w:color="auto"/>
        <w:left w:val="none" w:sz="0" w:space="0" w:color="auto"/>
        <w:bottom w:val="none" w:sz="0" w:space="0" w:color="auto"/>
        <w:right w:val="none" w:sz="0" w:space="0" w:color="auto"/>
      </w:divBdr>
    </w:div>
    <w:div w:id="331490613">
      <w:bodyDiv w:val="1"/>
      <w:marLeft w:val="0"/>
      <w:marRight w:val="0"/>
      <w:marTop w:val="0"/>
      <w:marBottom w:val="0"/>
      <w:divBdr>
        <w:top w:val="none" w:sz="0" w:space="0" w:color="auto"/>
        <w:left w:val="none" w:sz="0" w:space="0" w:color="auto"/>
        <w:bottom w:val="none" w:sz="0" w:space="0" w:color="auto"/>
        <w:right w:val="none" w:sz="0" w:space="0" w:color="auto"/>
      </w:divBdr>
    </w:div>
    <w:div w:id="387995434">
      <w:bodyDiv w:val="1"/>
      <w:marLeft w:val="0"/>
      <w:marRight w:val="0"/>
      <w:marTop w:val="0"/>
      <w:marBottom w:val="0"/>
      <w:divBdr>
        <w:top w:val="none" w:sz="0" w:space="0" w:color="auto"/>
        <w:left w:val="none" w:sz="0" w:space="0" w:color="auto"/>
        <w:bottom w:val="none" w:sz="0" w:space="0" w:color="auto"/>
        <w:right w:val="none" w:sz="0" w:space="0" w:color="auto"/>
      </w:divBdr>
    </w:div>
    <w:div w:id="433595278">
      <w:bodyDiv w:val="1"/>
      <w:marLeft w:val="0"/>
      <w:marRight w:val="0"/>
      <w:marTop w:val="0"/>
      <w:marBottom w:val="0"/>
      <w:divBdr>
        <w:top w:val="none" w:sz="0" w:space="0" w:color="auto"/>
        <w:left w:val="none" w:sz="0" w:space="0" w:color="auto"/>
        <w:bottom w:val="none" w:sz="0" w:space="0" w:color="auto"/>
        <w:right w:val="none" w:sz="0" w:space="0" w:color="auto"/>
      </w:divBdr>
    </w:div>
    <w:div w:id="489761323">
      <w:bodyDiv w:val="1"/>
      <w:marLeft w:val="0"/>
      <w:marRight w:val="0"/>
      <w:marTop w:val="0"/>
      <w:marBottom w:val="0"/>
      <w:divBdr>
        <w:top w:val="none" w:sz="0" w:space="0" w:color="auto"/>
        <w:left w:val="none" w:sz="0" w:space="0" w:color="auto"/>
        <w:bottom w:val="none" w:sz="0" w:space="0" w:color="auto"/>
        <w:right w:val="none" w:sz="0" w:space="0" w:color="auto"/>
      </w:divBdr>
    </w:div>
    <w:div w:id="512837021">
      <w:bodyDiv w:val="1"/>
      <w:marLeft w:val="0"/>
      <w:marRight w:val="0"/>
      <w:marTop w:val="0"/>
      <w:marBottom w:val="0"/>
      <w:divBdr>
        <w:top w:val="none" w:sz="0" w:space="0" w:color="auto"/>
        <w:left w:val="none" w:sz="0" w:space="0" w:color="auto"/>
        <w:bottom w:val="none" w:sz="0" w:space="0" w:color="auto"/>
        <w:right w:val="none" w:sz="0" w:space="0" w:color="auto"/>
      </w:divBdr>
    </w:div>
    <w:div w:id="527182235">
      <w:bodyDiv w:val="1"/>
      <w:marLeft w:val="0"/>
      <w:marRight w:val="0"/>
      <w:marTop w:val="0"/>
      <w:marBottom w:val="0"/>
      <w:divBdr>
        <w:top w:val="none" w:sz="0" w:space="0" w:color="auto"/>
        <w:left w:val="none" w:sz="0" w:space="0" w:color="auto"/>
        <w:bottom w:val="none" w:sz="0" w:space="0" w:color="auto"/>
        <w:right w:val="none" w:sz="0" w:space="0" w:color="auto"/>
      </w:divBdr>
    </w:div>
    <w:div w:id="560598280">
      <w:bodyDiv w:val="1"/>
      <w:marLeft w:val="0"/>
      <w:marRight w:val="0"/>
      <w:marTop w:val="0"/>
      <w:marBottom w:val="0"/>
      <w:divBdr>
        <w:top w:val="none" w:sz="0" w:space="0" w:color="auto"/>
        <w:left w:val="none" w:sz="0" w:space="0" w:color="auto"/>
        <w:bottom w:val="none" w:sz="0" w:space="0" w:color="auto"/>
        <w:right w:val="none" w:sz="0" w:space="0" w:color="auto"/>
      </w:divBdr>
    </w:div>
    <w:div w:id="563107989">
      <w:bodyDiv w:val="1"/>
      <w:marLeft w:val="0"/>
      <w:marRight w:val="0"/>
      <w:marTop w:val="0"/>
      <w:marBottom w:val="0"/>
      <w:divBdr>
        <w:top w:val="none" w:sz="0" w:space="0" w:color="auto"/>
        <w:left w:val="none" w:sz="0" w:space="0" w:color="auto"/>
        <w:bottom w:val="none" w:sz="0" w:space="0" w:color="auto"/>
        <w:right w:val="none" w:sz="0" w:space="0" w:color="auto"/>
      </w:divBdr>
    </w:div>
    <w:div w:id="575819528">
      <w:bodyDiv w:val="1"/>
      <w:marLeft w:val="0"/>
      <w:marRight w:val="0"/>
      <w:marTop w:val="0"/>
      <w:marBottom w:val="0"/>
      <w:divBdr>
        <w:top w:val="none" w:sz="0" w:space="0" w:color="auto"/>
        <w:left w:val="none" w:sz="0" w:space="0" w:color="auto"/>
        <w:bottom w:val="none" w:sz="0" w:space="0" w:color="auto"/>
        <w:right w:val="none" w:sz="0" w:space="0" w:color="auto"/>
      </w:divBdr>
    </w:div>
    <w:div w:id="605845702">
      <w:bodyDiv w:val="1"/>
      <w:marLeft w:val="0"/>
      <w:marRight w:val="0"/>
      <w:marTop w:val="0"/>
      <w:marBottom w:val="0"/>
      <w:divBdr>
        <w:top w:val="none" w:sz="0" w:space="0" w:color="auto"/>
        <w:left w:val="none" w:sz="0" w:space="0" w:color="auto"/>
        <w:bottom w:val="none" w:sz="0" w:space="0" w:color="auto"/>
        <w:right w:val="none" w:sz="0" w:space="0" w:color="auto"/>
      </w:divBdr>
    </w:div>
    <w:div w:id="607322774">
      <w:bodyDiv w:val="1"/>
      <w:marLeft w:val="0"/>
      <w:marRight w:val="0"/>
      <w:marTop w:val="0"/>
      <w:marBottom w:val="0"/>
      <w:divBdr>
        <w:top w:val="none" w:sz="0" w:space="0" w:color="auto"/>
        <w:left w:val="none" w:sz="0" w:space="0" w:color="auto"/>
        <w:bottom w:val="none" w:sz="0" w:space="0" w:color="auto"/>
        <w:right w:val="none" w:sz="0" w:space="0" w:color="auto"/>
      </w:divBdr>
    </w:div>
    <w:div w:id="633484782">
      <w:bodyDiv w:val="1"/>
      <w:marLeft w:val="0"/>
      <w:marRight w:val="0"/>
      <w:marTop w:val="0"/>
      <w:marBottom w:val="0"/>
      <w:divBdr>
        <w:top w:val="none" w:sz="0" w:space="0" w:color="auto"/>
        <w:left w:val="none" w:sz="0" w:space="0" w:color="auto"/>
        <w:bottom w:val="none" w:sz="0" w:space="0" w:color="auto"/>
        <w:right w:val="none" w:sz="0" w:space="0" w:color="auto"/>
      </w:divBdr>
    </w:div>
    <w:div w:id="635381488">
      <w:bodyDiv w:val="1"/>
      <w:marLeft w:val="0"/>
      <w:marRight w:val="0"/>
      <w:marTop w:val="0"/>
      <w:marBottom w:val="0"/>
      <w:divBdr>
        <w:top w:val="none" w:sz="0" w:space="0" w:color="auto"/>
        <w:left w:val="none" w:sz="0" w:space="0" w:color="auto"/>
        <w:bottom w:val="none" w:sz="0" w:space="0" w:color="auto"/>
        <w:right w:val="none" w:sz="0" w:space="0" w:color="auto"/>
      </w:divBdr>
    </w:div>
    <w:div w:id="678197634">
      <w:bodyDiv w:val="1"/>
      <w:marLeft w:val="0"/>
      <w:marRight w:val="0"/>
      <w:marTop w:val="0"/>
      <w:marBottom w:val="0"/>
      <w:divBdr>
        <w:top w:val="none" w:sz="0" w:space="0" w:color="auto"/>
        <w:left w:val="none" w:sz="0" w:space="0" w:color="auto"/>
        <w:bottom w:val="none" w:sz="0" w:space="0" w:color="auto"/>
        <w:right w:val="none" w:sz="0" w:space="0" w:color="auto"/>
      </w:divBdr>
    </w:div>
    <w:div w:id="692264900">
      <w:bodyDiv w:val="1"/>
      <w:marLeft w:val="0"/>
      <w:marRight w:val="0"/>
      <w:marTop w:val="0"/>
      <w:marBottom w:val="0"/>
      <w:divBdr>
        <w:top w:val="none" w:sz="0" w:space="0" w:color="auto"/>
        <w:left w:val="none" w:sz="0" w:space="0" w:color="auto"/>
        <w:bottom w:val="none" w:sz="0" w:space="0" w:color="auto"/>
        <w:right w:val="none" w:sz="0" w:space="0" w:color="auto"/>
      </w:divBdr>
    </w:div>
    <w:div w:id="704016507">
      <w:bodyDiv w:val="1"/>
      <w:marLeft w:val="0"/>
      <w:marRight w:val="0"/>
      <w:marTop w:val="0"/>
      <w:marBottom w:val="0"/>
      <w:divBdr>
        <w:top w:val="none" w:sz="0" w:space="0" w:color="auto"/>
        <w:left w:val="none" w:sz="0" w:space="0" w:color="auto"/>
        <w:bottom w:val="none" w:sz="0" w:space="0" w:color="auto"/>
        <w:right w:val="none" w:sz="0" w:space="0" w:color="auto"/>
      </w:divBdr>
    </w:div>
    <w:div w:id="738022863">
      <w:bodyDiv w:val="1"/>
      <w:marLeft w:val="0"/>
      <w:marRight w:val="0"/>
      <w:marTop w:val="0"/>
      <w:marBottom w:val="0"/>
      <w:divBdr>
        <w:top w:val="none" w:sz="0" w:space="0" w:color="auto"/>
        <w:left w:val="none" w:sz="0" w:space="0" w:color="auto"/>
        <w:bottom w:val="none" w:sz="0" w:space="0" w:color="auto"/>
        <w:right w:val="none" w:sz="0" w:space="0" w:color="auto"/>
      </w:divBdr>
    </w:div>
    <w:div w:id="760837580">
      <w:bodyDiv w:val="1"/>
      <w:marLeft w:val="0"/>
      <w:marRight w:val="0"/>
      <w:marTop w:val="0"/>
      <w:marBottom w:val="0"/>
      <w:divBdr>
        <w:top w:val="none" w:sz="0" w:space="0" w:color="auto"/>
        <w:left w:val="none" w:sz="0" w:space="0" w:color="auto"/>
        <w:bottom w:val="none" w:sz="0" w:space="0" w:color="auto"/>
        <w:right w:val="none" w:sz="0" w:space="0" w:color="auto"/>
      </w:divBdr>
    </w:div>
    <w:div w:id="761219581">
      <w:bodyDiv w:val="1"/>
      <w:marLeft w:val="0"/>
      <w:marRight w:val="0"/>
      <w:marTop w:val="0"/>
      <w:marBottom w:val="0"/>
      <w:divBdr>
        <w:top w:val="none" w:sz="0" w:space="0" w:color="auto"/>
        <w:left w:val="none" w:sz="0" w:space="0" w:color="auto"/>
        <w:bottom w:val="none" w:sz="0" w:space="0" w:color="auto"/>
        <w:right w:val="none" w:sz="0" w:space="0" w:color="auto"/>
      </w:divBdr>
      <w:divsChild>
        <w:div w:id="1079250516">
          <w:marLeft w:val="0"/>
          <w:marRight w:val="0"/>
          <w:marTop w:val="0"/>
          <w:marBottom w:val="0"/>
          <w:divBdr>
            <w:top w:val="none" w:sz="0" w:space="0" w:color="auto"/>
            <w:left w:val="none" w:sz="0" w:space="0" w:color="auto"/>
            <w:bottom w:val="none" w:sz="0" w:space="0" w:color="auto"/>
            <w:right w:val="none" w:sz="0" w:space="0" w:color="auto"/>
          </w:divBdr>
          <w:divsChild>
            <w:div w:id="141510235">
              <w:marLeft w:val="0"/>
              <w:marRight w:val="0"/>
              <w:marTop w:val="0"/>
              <w:marBottom w:val="0"/>
              <w:divBdr>
                <w:top w:val="none" w:sz="0" w:space="0" w:color="auto"/>
                <w:left w:val="none" w:sz="0" w:space="0" w:color="auto"/>
                <w:bottom w:val="none" w:sz="0" w:space="0" w:color="auto"/>
                <w:right w:val="none" w:sz="0" w:space="0" w:color="auto"/>
              </w:divBdr>
              <w:divsChild>
                <w:div w:id="1241528574">
                  <w:marLeft w:val="0"/>
                  <w:marRight w:val="0"/>
                  <w:marTop w:val="0"/>
                  <w:marBottom w:val="0"/>
                  <w:divBdr>
                    <w:top w:val="none" w:sz="0" w:space="0" w:color="auto"/>
                    <w:left w:val="none" w:sz="0" w:space="0" w:color="auto"/>
                    <w:bottom w:val="none" w:sz="0" w:space="0" w:color="auto"/>
                    <w:right w:val="none" w:sz="0" w:space="0" w:color="auto"/>
                  </w:divBdr>
                  <w:divsChild>
                    <w:div w:id="228616568">
                      <w:marLeft w:val="0"/>
                      <w:marRight w:val="0"/>
                      <w:marTop w:val="0"/>
                      <w:marBottom w:val="0"/>
                      <w:divBdr>
                        <w:top w:val="none" w:sz="0" w:space="0" w:color="auto"/>
                        <w:left w:val="none" w:sz="0" w:space="0" w:color="auto"/>
                        <w:bottom w:val="none" w:sz="0" w:space="0" w:color="auto"/>
                        <w:right w:val="none" w:sz="0" w:space="0" w:color="auto"/>
                      </w:divBdr>
                      <w:divsChild>
                        <w:div w:id="2058893213">
                          <w:marLeft w:val="0"/>
                          <w:marRight w:val="0"/>
                          <w:marTop w:val="0"/>
                          <w:marBottom w:val="0"/>
                          <w:divBdr>
                            <w:top w:val="none" w:sz="0" w:space="0" w:color="auto"/>
                            <w:left w:val="none" w:sz="0" w:space="0" w:color="auto"/>
                            <w:bottom w:val="none" w:sz="0" w:space="0" w:color="auto"/>
                            <w:right w:val="none" w:sz="0" w:space="0" w:color="auto"/>
                          </w:divBdr>
                          <w:divsChild>
                            <w:div w:id="1990358254">
                              <w:marLeft w:val="0"/>
                              <w:marRight w:val="0"/>
                              <w:marTop w:val="0"/>
                              <w:marBottom w:val="0"/>
                              <w:divBdr>
                                <w:top w:val="none" w:sz="0" w:space="0" w:color="auto"/>
                                <w:left w:val="none" w:sz="0" w:space="0" w:color="auto"/>
                                <w:bottom w:val="none" w:sz="0" w:space="0" w:color="auto"/>
                                <w:right w:val="none" w:sz="0" w:space="0" w:color="auto"/>
                              </w:divBdr>
                              <w:divsChild>
                                <w:div w:id="247233354">
                                  <w:marLeft w:val="0"/>
                                  <w:marRight w:val="0"/>
                                  <w:marTop w:val="0"/>
                                  <w:marBottom w:val="0"/>
                                  <w:divBdr>
                                    <w:top w:val="none" w:sz="0" w:space="0" w:color="auto"/>
                                    <w:left w:val="none" w:sz="0" w:space="0" w:color="auto"/>
                                    <w:bottom w:val="none" w:sz="0" w:space="0" w:color="auto"/>
                                    <w:right w:val="none" w:sz="0" w:space="0" w:color="auto"/>
                                  </w:divBdr>
                                  <w:divsChild>
                                    <w:div w:id="2141221182">
                                      <w:marLeft w:val="0"/>
                                      <w:marRight w:val="0"/>
                                      <w:marTop w:val="0"/>
                                      <w:marBottom w:val="0"/>
                                      <w:divBdr>
                                        <w:top w:val="none" w:sz="0" w:space="0" w:color="auto"/>
                                        <w:left w:val="none" w:sz="0" w:space="0" w:color="auto"/>
                                        <w:bottom w:val="none" w:sz="0" w:space="0" w:color="auto"/>
                                        <w:right w:val="none" w:sz="0" w:space="0" w:color="auto"/>
                                      </w:divBdr>
                                      <w:divsChild>
                                        <w:div w:id="919217288">
                                          <w:marLeft w:val="0"/>
                                          <w:marRight w:val="0"/>
                                          <w:marTop w:val="0"/>
                                          <w:marBottom w:val="0"/>
                                          <w:divBdr>
                                            <w:top w:val="none" w:sz="0" w:space="0" w:color="auto"/>
                                            <w:left w:val="none" w:sz="0" w:space="0" w:color="auto"/>
                                            <w:bottom w:val="none" w:sz="0" w:space="0" w:color="auto"/>
                                            <w:right w:val="none" w:sz="0" w:space="0" w:color="auto"/>
                                          </w:divBdr>
                                          <w:divsChild>
                                            <w:div w:id="1611742904">
                                              <w:marLeft w:val="0"/>
                                              <w:marRight w:val="0"/>
                                              <w:marTop w:val="0"/>
                                              <w:marBottom w:val="495"/>
                                              <w:divBdr>
                                                <w:top w:val="none" w:sz="0" w:space="0" w:color="auto"/>
                                                <w:left w:val="none" w:sz="0" w:space="0" w:color="auto"/>
                                                <w:bottom w:val="none" w:sz="0" w:space="0" w:color="auto"/>
                                                <w:right w:val="none" w:sz="0" w:space="0" w:color="auto"/>
                                              </w:divBdr>
                                              <w:divsChild>
                                                <w:div w:id="602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4113935">
      <w:bodyDiv w:val="1"/>
      <w:marLeft w:val="0"/>
      <w:marRight w:val="0"/>
      <w:marTop w:val="0"/>
      <w:marBottom w:val="0"/>
      <w:divBdr>
        <w:top w:val="none" w:sz="0" w:space="0" w:color="auto"/>
        <w:left w:val="none" w:sz="0" w:space="0" w:color="auto"/>
        <w:bottom w:val="none" w:sz="0" w:space="0" w:color="auto"/>
        <w:right w:val="none" w:sz="0" w:space="0" w:color="auto"/>
      </w:divBdr>
    </w:div>
    <w:div w:id="770589418">
      <w:bodyDiv w:val="1"/>
      <w:marLeft w:val="0"/>
      <w:marRight w:val="0"/>
      <w:marTop w:val="0"/>
      <w:marBottom w:val="0"/>
      <w:divBdr>
        <w:top w:val="none" w:sz="0" w:space="0" w:color="auto"/>
        <w:left w:val="none" w:sz="0" w:space="0" w:color="auto"/>
        <w:bottom w:val="none" w:sz="0" w:space="0" w:color="auto"/>
        <w:right w:val="none" w:sz="0" w:space="0" w:color="auto"/>
      </w:divBdr>
    </w:div>
    <w:div w:id="838279218">
      <w:bodyDiv w:val="1"/>
      <w:marLeft w:val="0"/>
      <w:marRight w:val="0"/>
      <w:marTop w:val="0"/>
      <w:marBottom w:val="0"/>
      <w:divBdr>
        <w:top w:val="none" w:sz="0" w:space="0" w:color="auto"/>
        <w:left w:val="none" w:sz="0" w:space="0" w:color="auto"/>
        <w:bottom w:val="none" w:sz="0" w:space="0" w:color="auto"/>
        <w:right w:val="none" w:sz="0" w:space="0" w:color="auto"/>
      </w:divBdr>
    </w:div>
    <w:div w:id="943194362">
      <w:bodyDiv w:val="1"/>
      <w:marLeft w:val="0"/>
      <w:marRight w:val="0"/>
      <w:marTop w:val="0"/>
      <w:marBottom w:val="0"/>
      <w:divBdr>
        <w:top w:val="none" w:sz="0" w:space="0" w:color="auto"/>
        <w:left w:val="none" w:sz="0" w:space="0" w:color="auto"/>
        <w:bottom w:val="none" w:sz="0" w:space="0" w:color="auto"/>
        <w:right w:val="none" w:sz="0" w:space="0" w:color="auto"/>
      </w:divBdr>
    </w:div>
    <w:div w:id="974410157">
      <w:bodyDiv w:val="1"/>
      <w:marLeft w:val="0"/>
      <w:marRight w:val="0"/>
      <w:marTop w:val="0"/>
      <w:marBottom w:val="0"/>
      <w:divBdr>
        <w:top w:val="none" w:sz="0" w:space="0" w:color="auto"/>
        <w:left w:val="none" w:sz="0" w:space="0" w:color="auto"/>
        <w:bottom w:val="none" w:sz="0" w:space="0" w:color="auto"/>
        <w:right w:val="none" w:sz="0" w:space="0" w:color="auto"/>
      </w:divBdr>
    </w:div>
    <w:div w:id="999580975">
      <w:bodyDiv w:val="1"/>
      <w:marLeft w:val="0"/>
      <w:marRight w:val="0"/>
      <w:marTop w:val="0"/>
      <w:marBottom w:val="0"/>
      <w:divBdr>
        <w:top w:val="none" w:sz="0" w:space="0" w:color="auto"/>
        <w:left w:val="none" w:sz="0" w:space="0" w:color="auto"/>
        <w:bottom w:val="none" w:sz="0" w:space="0" w:color="auto"/>
        <w:right w:val="none" w:sz="0" w:space="0" w:color="auto"/>
      </w:divBdr>
    </w:div>
    <w:div w:id="1004817539">
      <w:bodyDiv w:val="1"/>
      <w:marLeft w:val="0"/>
      <w:marRight w:val="0"/>
      <w:marTop w:val="0"/>
      <w:marBottom w:val="0"/>
      <w:divBdr>
        <w:top w:val="none" w:sz="0" w:space="0" w:color="auto"/>
        <w:left w:val="none" w:sz="0" w:space="0" w:color="auto"/>
        <w:bottom w:val="none" w:sz="0" w:space="0" w:color="auto"/>
        <w:right w:val="none" w:sz="0" w:space="0" w:color="auto"/>
      </w:divBdr>
    </w:div>
    <w:div w:id="1007555964">
      <w:bodyDiv w:val="1"/>
      <w:marLeft w:val="0"/>
      <w:marRight w:val="0"/>
      <w:marTop w:val="0"/>
      <w:marBottom w:val="0"/>
      <w:divBdr>
        <w:top w:val="none" w:sz="0" w:space="0" w:color="auto"/>
        <w:left w:val="none" w:sz="0" w:space="0" w:color="auto"/>
        <w:bottom w:val="none" w:sz="0" w:space="0" w:color="auto"/>
        <w:right w:val="none" w:sz="0" w:space="0" w:color="auto"/>
      </w:divBdr>
    </w:div>
    <w:div w:id="1011839441">
      <w:bodyDiv w:val="1"/>
      <w:marLeft w:val="0"/>
      <w:marRight w:val="0"/>
      <w:marTop w:val="0"/>
      <w:marBottom w:val="0"/>
      <w:divBdr>
        <w:top w:val="none" w:sz="0" w:space="0" w:color="auto"/>
        <w:left w:val="none" w:sz="0" w:space="0" w:color="auto"/>
        <w:bottom w:val="none" w:sz="0" w:space="0" w:color="auto"/>
        <w:right w:val="none" w:sz="0" w:space="0" w:color="auto"/>
      </w:divBdr>
    </w:div>
    <w:div w:id="1120492590">
      <w:bodyDiv w:val="1"/>
      <w:marLeft w:val="0"/>
      <w:marRight w:val="0"/>
      <w:marTop w:val="0"/>
      <w:marBottom w:val="0"/>
      <w:divBdr>
        <w:top w:val="none" w:sz="0" w:space="0" w:color="auto"/>
        <w:left w:val="none" w:sz="0" w:space="0" w:color="auto"/>
        <w:bottom w:val="none" w:sz="0" w:space="0" w:color="auto"/>
        <w:right w:val="none" w:sz="0" w:space="0" w:color="auto"/>
      </w:divBdr>
    </w:div>
    <w:div w:id="1151605139">
      <w:bodyDiv w:val="1"/>
      <w:marLeft w:val="0"/>
      <w:marRight w:val="0"/>
      <w:marTop w:val="0"/>
      <w:marBottom w:val="0"/>
      <w:divBdr>
        <w:top w:val="none" w:sz="0" w:space="0" w:color="auto"/>
        <w:left w:val="none" w:sz="0" w:space="0" w:color="auto"/>
        <w:bottom w:val="none" w:sz="0" w:space="0" w:color="auto"/>
        <w:right w:val="none" w:sz="0" w:space="0" w:color="auto"/>
      </w:divBdr>
    </w:div>
    <w:div w:id="1160465613">
      <w:bodyDiv w:val="1"/>
      <w:marLeft w:val="0"/>
      <w:marRight w:val="0"/>
      <w:marTop w:val="0"/>
      <w:marBottom w:val="0"/>
      <w:divBdr>
        <w:top w:val="none" w:sz="0" w:space="0" w:color="auto"/>
        <w:left w:val="none" w:sz="0" w:space="0" w:color="auto"/>
        <w:bottom w:val="none" w:sz="0" w:space="0" w:color="auto"/>
        <w:right w:val="none" w:sz="0" w:space="0" w:color="auto"/>
      </w:divBdr>
      <w:divsChild>
        <w:div w:id="1732119291">
          <w:marLeft w:val="0"/>
          <w:marRight w:val="0"/>
          <w:marTop w:val="0"/>
          <w:marBottom w:val="0"/>
          <w:divBdr>
            <w:top w:val="none" w:sz="0" w:space="0" w:color="auto"/>
            <w:left w:val="none" w:sz="0" w:space="0" w:color="auto"/>
            <w:bottom w:val="none" w:sz="0" w:space="0" w:color="auto"/>
            <w:right w:val="none" w:sz="0" w:space="0" w:color="auto"/>
          </w:divBdr>
          <w:divsChild>
            <w:div w:id="1730104282">
              <w:marLeft w:val="0"/>
              <w:marRight w:val="0"/>
              <w:marTop w:val="0"/>
              <w:marBottom w:val="0"/>
              <w:divBdr>
                <w:top w:val="none" w:sz="0" w:space="0" w:color="auto"/>
                <w:left w:val="none" w:sz="0" w:space="0" w:color="auto"/>
                <w:bottom w:val="none" w:sz="0" w:space="0" w:color="auto"/>
                <w:right w:val="none" w:sz="0" w:space="0" w:color="auto"/>
              </w:divBdr>
            </w:div>
            <w:div w:id="2138209536">
              <w:marLeft w:val="0"/>
              <w:marRight w:val="0"/>
              <w:marTop w:val="0"/>
              <w:marBottom w:val="0"/>
              <w:divBdr>
                <w:top w:val="none" w:sz="0" w:space="0" w:color="auto"/>
                <w:left w:val="none" w:sz="0" w:space="0" w:color="auto"/>
                <w:bottom w:val="none" w:sz="0" w:space="0" w:color="auto"/>
                <w:right w:val="none" w:sz="0" w:space="0" w:color="auto"/>
              </w:divBdr>
            </w:div>
            <w:div w:id="210962164">
              <w:marLeft w:val="0"/>
              <w:marRight w:val="0"/>
              <w:marTop w:val="0"/>
              <w:marBottom w:val="0"/>
              <w:divBdr>
                <w:top w:val="none" w:sz="0" w:space="0" w:color="auto"/>
                <w:left w:val="none" w:sz="0" w:space="0" w:color="auto"/>
                <w:bottom w:val="none" w:sz="0" w:space="0" w:color="auto"/>
                <w:right w:val="none" w:sz="0" w:space="0" w:color="auto"/>
              </w:divBdr>
            </w:div>
            <w:div w:id="931355028">
              <w:marLeft w:val="0"/>
              <w:marRight w:val="0"/>
              <w:marTop w:val="0"/>
              <w:marBottom w:val="0"/>
              <w:divBdr>
                <w:top w:val="none" w:sz="0" w:space="0" w:color="auto"/>
                <w:left w:val="none" w:sz="0" w:space="0" w:color="auto"/>
                <w:bottom w:val="none" w:sz="0" w:space="0" w:color="auto"/>
                <w:right w:val="none" w:sz="0" w:space="0" w:color="auto"/>
              </w:divBdr>
            </w:div>
            <w:div w:id="931358707">
              <w:marLeft w:val="0"/>
              <w:marRight w:val="0"/>
              <w:marTop w:val="0"/>
              <w:marBottom w:val="0"/>
              <w:divBdr>
                <w:top w:val="none" w:sz="0" w:space="0" w:color="auto"/>
                <w:left w:val="none" w:sz="0" w:space="0" w:color="auto"/>
                <w:bottom w:val="none" w:sz="0" w:space="0" w:color="auto"/>
                <w:right w:val="none" w:sz="0" w:space="0" w:color="auto"/>
              </w:divBdr>
            </w:div>
            <w:div w:id="198595024">
              <w:marLeft w:val="0"/>
              <w:marRight w:val="0"/>
              <w:marTop w:val="0"/>
              <w:marBottom w:val="0"/>
              <w:divBdr>
                <w:top w:val="none" w:sz="0" w:space="0" w:color="auto"/>
                <w:left w:val="none" w:sz="0" w:space="0" w:color="auto"/>
                <w:bottom w:val="none" w:sz="0" w:space="0" w:color="auto"/>
                <w:right w:val="none" w:sz="0" w:space="0" w:color="auto"/>
              </w:divBdr>
            </w:div>
            <w:div w:id="909851631">
              <w:marLeft w:val="0"/>
              <w:marRight w:val="0"/>
              <w:marTop w:val="0"/>
              <w:marBottom w:val="0"/>
              <w:divBdr>
                <w:top w:val="none" w:sz="0" w:space="0" w:color="auto"/>
                <w:left w:val="none" w:sz="0" w:space="0" w:color="auto"/>
                <w:bottom w:val="none" w:sz="0" w:space="0" w:color="auto"/>
                <w:right w:val="none" w:sz="0" w:space="0" w:color="auto"/>
              </w:divBdr>
            </w:div>
            <w:div w:id="12775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6630">
      <w:bodyDiv w:val="1"/>
      <w:marLeft w:val="0"/>
      <w:marRight w:val="0"/>
      <w:marTop w:val="0"/>
      <w:marBottom w:val="0"/>
      <w:divBdr>
        <w:top w:val="none" w:sz="0" w:space="0" w:color="auto"/>
        <w:left w:val="none" w:sz="0" w:space="0" w:color="auto"/>
        <w:bottom w:val="none" w:sz="0" w:space="0" w:color="auto"/>
        <w:right w:val="none" w:sz="0" w:space="0" w:color="auto"/>
      </w:divBdr>
    </w:div>
    <w:div w:id="1181971932">
      <w:bodyDiv w:val="1"/>
      <w:marLeft w:val="0"/>
      <w:marRight w:val="0"/>
      <w:marTop w:val="0"/>
      <w:marBottom w:val="0"/>
      <w:divBdr>
        <w:top w:val="none" w:sz="0" w:space="0" w:color="auto"/>
        <w:left w:val="none" w:sz="0" w:space="0" w:color="auto"/>
        <w:bottom w:val="none" w:sz="0" w:space="0" w:color="auto"/>
        <w:right w:val="none" w:sz="0" w:space="0" w:color="auto"/>
      </w:divBdr>
    </w:div>
    <w:div w:id="1195727793">
      <w:bodyDiv w:val="1"/>
      <w:marLeft w:val="0"/>
      <w:marRight w:val="0"/>
      <w:marTop w:val="0"/>
      <w:marBottom w:val="0"/>
      <w:divBdr>
        <w:top w:val="none" w:sz="0" w:space="0" w:color="auto"/>
        <w:left w:val="none" w:sz="0" w:space="0" w:color="auto"/>
        <w:bottom w:val="none" w:sz="0" w:space="0" w:color="auto"/>
        <w:right w:val="none" w:sz="0" w:space="0" w:color="auto"/>
      </w:divBdr>
    </w:div>
    <w:div w:id="1203710582">
      <w:bodyDiv w:val="1"/>
      <w:marLeft w:val="0"/>
      <w:marRight w:val="0"/>
      <w:marTop w:val="0"/>
      <w:marBottom w:val="0"/>
      <w:divBdr>
        <w:top w:val="none" w:sz="0" w:space="0" w:color="auto"/>
        <w:left w:val="none" w:sz="0" w:space="0" w:color="auto"/>
        <w:bottom w:val="none" w:sz="0" w:space="0" w:color="auto"/>
        <w:right w:val="none" w:sz="0" w:space="0" w:color="auto"/>
      </w:divBdr>
    </w:div>
    <w:div w:id="1204947000">
      <w:bodyDiv w:val="1"/>
      <w:marLeft w:val="0"/>
      <w:marRight w:val="0"/>
      <w:marTop w:val="0"/>
      <w:marBottom w:val="0"/>
      <w:divBdr>
        <w:top w:val="none" w:sz="0" w:space="0" w:color="auto"/>
        <w:left w:val="none" w:sz="0" w:space="0" w:color="auto"/>
        <w:bottom w:val="none" w:sz="0" w:space="0" w:color="auto"/>
        <w:right w:val="none" w:sz="0" w:space="0" w:color="auto"/>
      </w:divBdr>
    </w:div>
    <w:div w:id="1222789779">
      <w:bodyDiv w:val="1"/>
      <w:marLeft w:val="0"/>
      <w:marRight w:val="0"/>
      <w:marTop w:val="0"/>
      <w:marBottom w:val="0"/>
      <w:divBdr>
        <w:top w:val="none" w:sz="0" w:space="0" w:color="auto"/>
        <w:left w:val="none" w:sz="0" w:space="0" w:color="auto"/>
        <w:bottom w:val="none" w:sz="0" w:space="0" w:color="auto"/>
        <w:right w:val="none" w:sz="0" w:space="0" w:color="auto"/>
      </w:divBdr>
    </w:div>
    <w:div w:id="1289776967">
      <w:bodyDiv w:val="1"/>
      <w:marLeft w:val="0"/>
      <w:marRight w:val="0"/>
      <w:marTop w:val="0"/>
      <w:marBottom w:val="0"/>
      <w:divBdr>
        <w:top w:val="none" w:sz="0" w:space="0" w:color="auto"/>
        <w:left w:val="none" w:sz="0" w:space="0" w:color="auto"/>
        <w:bottom w:val="none" w:sz="0" w:space="0" w:color="auto"/>
        <w:right w:val="none" w:sz="0" w:space="0" w:color="auto"/>
      </w:divBdr>
    </w:div>
    <w:div w:id="1294404830">
      <w:bodyDiv w:val="1"/>
      <w:marLeft w:val="0"/>
      <w:marRight w:val="0"/>
      <w:marTop w:val="0"/>
      <w:marBottom w:val="0"/>
      <w:divBdr>
        <w:top w:val="none" w:sz="0" w:space="0" w:color="auto"/>
        <w:left w:val="none" w:sz="0" w:space="0" w:color="auto"/>
        <w:bottom w:val="none" w:sz="0" w:space="0" w:color="auto"/>
        <w:right w:val="none" w:sz="0" w:space="0" w:color="auto"/>
      </w:divBdr>
    </w:div>
    <w:div w:id="1341851653">
      <w:bodyDiv w:val="1"/>
      <w:marLeft w:val="0"/>
      <w:marRight w:val="0"/>
      <w:marTop w:val="0"/>
      <w:marBottom w:val="0"/>
      <w:divBdr>
        <w:top w:val="none" w:sz="0" w:space="0" w:color="auto"/>
        <w:left w:val="none" w:sz="0" w:space="0" w:color="auto"/>
        <w:bottom w:val="none" w:sz="0" w:space="0" w:color="auto"/>
        <w:right w:val="none" w:sz="0" w:space="0" w:color="auto"/>
      </w:divBdr>
    </w:div>
    <w:div w:id="1354451887">
      <w:bodyDiv w:val="1"/>
      <w:marLeft w:val="0"/>
      <w:marRight w:val="0"/>
      <w:marTop w:val="0"/>
      <w:marBottom w:val="0"/>
      <w:divBdr>
        <w:top w:val="none" w:sz="0" w:space="0" w:color="auto"/>
        <w:left w:val="none" w:sz="0" w:space="0" w:color="auto"/>
        <w:bottom w:val="none" w:sz="0" w:space="0" w:color="auto"/>
        <w:right w:val="none" w:sz="0" w:space="0" w:color="auto"/>
      </w:divBdr>
    </w:div>
    <w:div w:id="1396708547">
      <w:bodyDiv w:val="1"/>
      <w:marLeft w:val="0"/>
      <w:marRight w:val="0"/>
      <w:marTop w:val="0"/>
      <w:marBottom w:val="0"/>
      <w:divBdr>
        <w:top w:val="none" w:sz="0" w:space="0" w:color="auto"/>
        <w:left w:val="none" w:sz="0" w:space="0" w:color="auto"/>
        <w:bottom w:val="none" w:sz="0" w:space="0" w:color="auto"/>
        <w:right w:val="none" w:sz="0" w:space="0" w:color="auto"/>
      </w:divBdr>
    </w:div>
    <w:div w:id="1411923059">
      <w:bodyDiv w:val="1"/>
      <w:marLeft w:val="0"/>
      <w:marRight w:val="0"/>
      <w:marTop w:val="0"/>
      <w:marBottom w:val="0"/>
      <w:divBdr>
        <w:top w:val="none" w:sz="0" w:space="0" w:color="auto"/>
        <w:left w:val="none" w:sz="0" w:space="0" w:color="auto"/>
        <w:bottom w:val="none" w:sz="0" w:space="0" w:color="auto"/>
        <w:right w:val="none" w:sz="0" w:space="0" w:color="auto"/>
      </w:divBdr>
    </w:div>
    <w:div w:id="1430155695">
      <w:bodyDiv w:val="1"/>
      <w:marLeft w:val="0"/>
      <w:marRight w:val="0"/>
      <w:marTop w:val="0"/>
      <w:marBottom w:val="0"/>
      <w:divBdr>
        <w:top w:val="none" w:sz="0" w:space="0" w:color="auto"/>
        <w:left w:val="none" w:sz="0" w:space="0" w:color="auto"/>
        <w:bottom w:val="none" w:sz="0" w:space="0" w:color="auto"/>
        <w:right w:val="none" w:sz="0" w:space="0" w:color="auto"/>
      </w:divBdr>
    </w:div>
    <w:div w:id="1454204034">
      <w:bodyDiv w:val="1"/>
      <w:marLeft w:val="0"/>
      <w:marRight w:val="0"/>
      <w:marTop w:val="0"/>
      <w:marBottom w:val="0"/>
      <w:divBdr>
        <w:top w:val="none" w:sz="0" w:space="0" w:color="auto"/>
        <w:left w:val="none" w:sz="0" w:space="0" w:color="auto"/>
        <w:bottom w:val="none" w:sz="0" w:space="0" w:color="auto"/>
        <w:right w:val="none" w:sz="0" w:space="0" w:color="auto"/>
      </w:divBdr>
      <w:divsChild>
        <w:div w:id="1851210735">
          <w:marLeft w:val="0"/>
          <w:marRight w:val="0"/>
          <w:marTop w:val="0"/>
          <w:marBottom w:val="0"/>
          <w:divBdr>
            <w:top w:val="none" w:sz="0" w:space="0" w:color="auto"/>
            <w:left w:val="none" w:sz="0" w:space="0" w:color="auto"/>
            <w:bottom w:val="none" w:sz="0" w:space="0" w:color="auto"/>
            <w:right w:val="none" w:sz="0" w:space="0" w:color="auto"/>
          </w:divBdr>
          <w:divsChild>
            <w:div w:id="1820611386">
              <w:marLeft w:val="0"/>
              <w:marRight w:val="0"/>
              <w:marTop w:val="0"/>
              <w:marBottom w:val="0"/>
              <w:divBdr>
                <w:top w:val="none" w:sz="0" w:space="0" w:color="auto"/>
                <w:left w:val="none" w:sz="0" w:space="0" w:color="auto"/>
                <w:bottom w:val="none" w:sz="0" w:space="0" w:color="auto"/>
                <w:right w:val="none" w:sz="0" w:space="0" w:color="auto"/>
              </w:divBdr>
            </w:div>
            <w:div w:id="1771925676">
              <w:marLeft w:val="0"/>
              <w:marRight w:val="0"/>
              <w:marTop w:val="0"/>
              <w:marBottom w:val="0"/>
              <w:divBdr>
                <w:top w:val="none" w:sz="0" w:space="0" w:color="auto"/>
                <w:left w:val="none" w:sz="0" w:space="0" w:color="auto"/>
                <w:bottom w:val="none" w:sz="0" w:space="0" w:color="auto"/>
                <w:right w:val="none" w:sz="0" w:space="0" w:color="auto"/>
              </w:divBdr>
            </w:div>
            <w:div w:id="818305274">
              <w:marLeft w:val="0"/>
              <w:marRight w:val="0"/>
              <w:marTop w:val="0"/>
              <w:marBottom w:val="0"/>
              <w:divBdr>
                <w:top w:val="none" w:sz="0" w:space="0" w:color="auto"/>
                <w:left w:val="none" w:sz="0" w:space="0" w:color="auto"/>
                <w:bottom w:val="none" w:sz="0" w:space="0" w:color="auto"/>
                <w:right w:val="none" w:sz="0" w:space="0" w:color="auto"/>
              </w:divBdr>
            </w:div>
            <w:div w:id="197203732">
              <w:marLeft w:val="0"/>
              <w:marRight w:val="0"/>
              <w:marTop w:val="0"/>
              <w:marBottom w:val="0"/>
              <w:divBdr>
                <w:top w:val="none" w:sz="0" w:space="0" w:color="auto"/>
                <w:left w:val="none" w:sz="0" w:space="0" w:color="auto"/>
                <w:bottom w:val="none" w:sz="0" w:space="0" w:color="auto"/>
                <w:right w:val="none" w:sz="0" w:space="0" w:color="auto"/>
              </w:divBdr>
            </w:div>
            <w:div w:id="1837648714">
              <w:marLeft w:val="0"/>
              <w:marRight w:val="0"/>
              <w:marTop w:val="0"/>
              <w:marBottom w:val="0"/>
              <w:divBdr>
                <w:top w:val="none" w:sz="0" w:space="0" w:color="auto"/>
                <w:left w:val="none" w:sz="0" w:space="0" w:color="auto"/>
                <w:bottom w:val="none" w:sz="0" w:space="0" w:color="auto"/>
                <w:right w:val="none" w:sz="0" w:space="0" w:color="auto"/>
              </w:divBdr>
            </w:div>
            <w:div w:id="1717461404">
              <w:marLeft w:val="0"/>
              <w:marRight w:val="0"/>
              <w:marTop w:val="0"/>
              <w:marBottom w:val="0"/>
              <w:divBdr>
                <w:top w:val="none" w:sz="0" w:space="0" w:color="auto"/>
                <w:left w:val="none" w:sz="0" w:space="0" w:color="auto"/>
                <w:bottom w:val="none" w:sz="0" w:space="0" w:color="auto"/>
                <w:right w:val="none" w:sz="0" w:space="0" w:color="auto"/>
              </w:divBdr>
            </w:div>
            <w:div w:id="1036585005">
              <w:marLeft w:val="0"/>
              <w:marRight w:val="0"/>
              <w:marTop w:val="0"/>
              <w:marBottom w:val="0"/>
              <w:divBdr>
                <w:top w:val="none" w:sz="0" w:space="0" w:color="auto"/>
                <w:left w:val="none" w:sz="0" w:space="0" w:color="auto"/>
                <w:bottom w:val="none" w:sz="0" w:space="0" w:color="auto"/>
                <w:right w:val="none" w:sz="0" w:space="0" w:color="auto"/>
              </w:divBdr>
            </w:div>
            <w:div w:id="113163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30095">
      <w:bodyDiv w:val="1"/>
      <w:marLeft w:val="0"/>
      <w:marRight w:val="0"/>
      <w:marTop w:val="0"/>
      <w:marBottom w:val="0"/>
      <w:divBdr>
        <w:top w:val="none" w:sz="0" w:space="0" w:color="auto"/>
        <w:left w:val="none" w:sz="0" w:space="0" w:color="auto"/>
        <w:bottom w:val="none" w:sz="0" w:space="0" w:color="auto"/>
        <w:right w:val="none" w:sz="0" w:space="0" w:color="auto"/>
      </w:divBdr>
      <w:divsChild>
        <w:div w:id="1350524059">
          <w:marLeft w:val="0"/>
          <w:marRight w:val="0"/>
          <w:marTop w:val="0"/>
          <w:marBottom w:val="0"/>
          <w:divBdr>
            <w:top w:val="none" w:sz="0" w:space="0" w:color="auto"/>
            <w:left w:val="none" w:sz="0" w:space="0" w:color="auto"/>
            <w:bottom w:val="none" w:sz="0" w:space="0" w:color="auto"/>
            <w:right w:val="none" w:sz="0" w:space="0" w:color="auto"/>
          </w:divBdr>
          <w:divsChild>
            <w:div w:id="23332963">
              <w:marLeft w:val="0"/>
              <w:marRight w:val="0"/>
              <w:marTop w:val="0"/>
              <w:marBottom w:val="0"/>
              <w:divBdr>
                <w:top w:val="none" w:sz="0" w:space="0" w:color="auto"/>
                <w:left w:val="none" w:sz="0" w:space="0" w:color="auto"/>
                <w:bottom w:val="none" w:sz="0" w:space="0" w:color="auto"/>
                <w:right w:val="none" w:sz="0" w:space="0" w:color="auto"/>
              </w:divBdr>
            </w:div>
            <w:div w:id="934241607">
              <w:marLeft w:val="0"/>
              <w:marRight w:val="0"/>
              <w:marTop w:val="0"/>
              <w:marBottom w:val="0"/>
              <w:divBdr>
                <w:top w:val="none" w:sz="0" w:space="0" w:color="auto"/>
                <w:left w:val="none" w:sz="0" w:space="0" w:color="auto"/>
                <w:bottom w:val="none" w:sz="0" w:space="0" w:color="auto"/>
                <w:right w:val="none" w:sz="0" w:space="0" w:color="auto"/>
              </w:divBdr>
            </w:div>
            <w:div w:id="2022270137">
              <w:marLeft w:val="0"/>
              <w:marRight w:val="0"/>
              <w:marTop w:val="0"/>
              <w:marBottom w:val="0"/>
              <w:divBdr>
                <w:top w:val="none" w:sz="0" w:space="0" w:color="auto"/>
                <w:left w:val="none" w:sz="0" w:space="0" w:color="auto"/>
                <w:bottom w:val="none" w:sz="0" w:space="0" w:color="auto"/>
                <w:right w:val="none" w:sz="0" w:space="0" w:color="auto"/>
              </w:divBdr>
            </w:div>
            <w:div w:id="844704515">
              <w:marLeft w:val="0"/>
              <w:marRight w:val="0"/>
              <w:marTop w:val="0"/>
              <w:marBottom w:val="0"/>
              <w:divBdr>
                <w:top w:val="none" w:sz="0" w:space="0" w:color="auto"/>
                <w:left w:val="none" w:sz="0" w:space="0" w:color="auto"/>
                <w:bottom w:val="none" w:sz="0" w:space="0" w:color="auto"/>
                <w:right w:val="none" w:sz="0" w:space="0" w:color="auto"/>
              </w:divBdr>
            </w:div>
            <w:div w:id="862744058">
              <w:marLeft w:val="0"/>
              <w:marRight w:val="0"/>
              <w:marTop w:val="0"/>
              <w:marBottom w:val="0"/>
              <w:divBdr>
                <w:top w:val="none" w:sz="0" w:space="0" w:color="auto"/>
                <w:left w:val="none" w:sz="0" w:space="0" w:color="auto"/>
                <w:bottom w:val="none" w:sz="0" w:space="0" w:color="auto"/>
                <w:right w:val="none" w:sz="0" w:space="0" w:color="auto"/>
              </w:divBdr>
            </w:div>
            <w:div w:id="829636823">
              <w:marLeft w:val="0"/>
              <w:marRight w:val="0"/>
              <w:marTop w:val="0"/>
              <w:marBottom w:val="0"/>
              <w:divBdr>
                <w:top w:val="none" w:sz="0" w:space="0" w:color="auto"/>
                <w:left w:val="none" w:sz="0" w:space="0" w:color="auto"/>
                <w:bottom w:val="none" w:sz="0" w:space="0" w:color="auto"/>
                <w:right w:val="none" w:sz="0" w:space="0" w:color="auto"/>
              </w:divBdr>
            </w:div>
            <w:div w:id="148791051">
              <w:marLeft w:val="0"/>
              <w:marRight w:val="0"/>
              <w:marTop w:val="0"/>
              <w:marBottom w:val="0"/>
              <w:divBdr>
                <w:top w:val="none" w:sz="0" w:space="0" w:color="auto"/>
                <w:left w:val="none" w:sz="0" w:space="0" w:color="auto"/>
                <w:bottom w:val="none" w:sz="0" w:space="0" w:color="auto"/>
                <w:right w:val="none" w:sz="0" w:space="0" w:color="auto"/>
              </w:divBdr>
            </w:div>
            <w:div w:id="11153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14978">
      <w:bodyDiv w:val="1"/>
      <w:marLeft w:val="0"/>
      <w:marRight w:val="0"/>
      <w:marTop w:val="0"/>
      <w:marBottom w:val="0"/>
      <w:divBdr>
        <w:top w:val="none" w:sz="0" w:space="0" w:color="auto"/>
        <w:left w:val="none" w:sz="0" w:space="0" w:color="auto"/>
        <w:bottom w:val="none" w:sz="0" w:space="0" w:color="auto"/>
        <w:right w:val="none" w:sz="0" w:space="0" w:color="auto"/>
      </w:divBdr>
      <w:divsChild>
        <w:div w:id="749472351">
          <w:marLeft w:val="0"/>
          <w:marRight w:val="0"/>
          <w:marTop w:val="0"/>
          <w:marBottom w:val="0"/>
          <w:divBdr>
            <w:top w:val="none" w:sz="0" w:space="0" w:color="auto"/>
            <w:left w:val="none" w:sz="0" w:space="0" w:color="auto"/>
            <w:bottom w:val="none" w:sz="0" w:space="0" w:color="auto"/>
            <w:right w:val="none" w:sz="0" w:space="0" w:color="auto"/>
          </w:divBdr>
          <w:divsChild>
            <w:div w:id="1575621079">
              <w:marLeft w:val="0"/>
              <w:marRight w:val="0"/>
              <w:marTop w:val="0"/>
              <w:marBottom w:val="0"/>
              <w:divBdr>
                <w:top w:val="none" w:sz="0" w:space="0" w:color="auto"/>
                <w:left w:val="none" w:sz="0" w:space="0" w:color="auto"/>
                <w:bottom w:val="none" w:sz="0" w:space="0" w:color="auto"/>
                <w:right w:val="none" w:sz="0" w:space="0" w:color="auto"/>
              </w:divBdr>
            </w:div>
            <w:div w:id="2068142261">
              <w:marLeft w:val="0"/>
              <w:marRight w:val="0"/>
              <w:marTop w:val="0"/>
              <w:marBottom w:val="0"/>
              <w:divBdr>
                <w:top w:val="none" w:sz="0" w:space="0" w:color="auto"/>
                <w:left w:val="none" w:sz="0" w:space="0" w:color="auto"/>
                <w:bottom w:val="none" w:sz="0" w:space="0" w:color="auto"/>
                <w:right w:val="none" w:sz="0" w:space="0" w:color="auto"/>
              </w:divBdr>
            </w:div>
            <w:div w:id="663781360">
              <w:marLeft w:val="0"/>
              <w:marRight w:val="0"/>
              <w:marTop w:val="0"/>
              <w:marBottom w:val="0"/>
              <w:divBdr>
                <w:top w:val="none" w:sz="0" w:space="0" w:color="auto"/>
                <w:left w:val="none" w:sz="0" w:space="0" w:color="auto"/>
                <w:bottom w:val="none" w:sz="0" w:space="0" w:color="auto"/>
                <w:right w:val="none" w:sz="0" w:space="0" w:color="auto"/>
              </w:divBdr>
            </w:div>
            <w:div w:id="1109935550">
              <w:marLeft w:val="0"/>
              <w:marRight w:val="0"/>
              <w:marTop w:val="0"/>
              <w:marBottom w:val="0"/>
              <w:divBdr>
                <w:top w:val="none" w:sz="0" w:space="0" w:color="auto"/>
                <w:left w:val="none" w:sz="0" w:space="0" w:color="auto"/>
                <w:bottom w:val="none" w:sz="0" w:space="0" w:color="auto"/>
                <w:right w:val="none" w:sz="0" w:space="0" w:color="auto"/>
              </w:divBdr>
            </w:div>
            <w:div w:id="776368808">
              <w:marLeft w:val="0"/>
              <w:marRight w:val="0"/>
              <w:marTop w:val="0"/>
              <w:marBottom w:val="0"/>
              <w:divBdr>
                <w:top w:val="none" w:sz="0" w:space="0" w:color="auto"/>
                <w:left w:val="none" w:sz="0" w:space="0" w:color="auto"/>
                <w:bottom w:val="none" w:sz="0" w:space="0" w:color="auto"/>
                <w:right w:val="none" w:sz="0" w:space="0" w:color="auto"/>
              </w:divBdr>
            </w:div>
            <w:div w:id="931162134">
              <w:marLeft w:val="0"/>
              <w:marRight w:val="0"/>
              <w:marTop w:val="0"/>
              <w:marBottom w:val="0"/>
              <w:divBdr>
                <w:top w:val="none" w:sz="0" w:space="0" w:color="auto"/>
                <w:left w:val="none" w:sz="0" w:space="0" w:color="auto"/>
                <w:bottom w:val="none" w:sz="0" w:space="0" w:color="auto"/>
                <w:right w:val="none" w:sz="0" w:space="0" w:color="auto"/>
              </w:divBdr>
            </w:div>
            <w:div w:id="1229465031">
              <w:marLeft w:val="0"/>
              <w:marRight w:val="0"/>
              <w:marTop w:val="0"/>
              <w:marBottom w:val="0"/>
              <w:divBdr>
                <w:top w:val="none" w:sz="0" w:space="0" w:color="auto"/>
                <w:left w:val="none" w:sz="0" w:space="0" w:color="auto"/>
                <w:bottom w:val="none" w:sz="0" w:space="0" w:color="auto"/>
                <w:right w:val="none" w:sz="0" w:space="0" w:color="auto"/>
              </w:divBdr>
            </w:div>
            <w:div w:id="129140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7644">
      <w:bodyDiv w:val="1"/>
      <w:marLeft w:val="0"/>
      <w:marRight w:val="0"/>
      <w:marTop w:val="0"/>
      <w:marBottom w:val="0"/>
      <w:divBdr>
        <w:top w:val="none" w:sz="0" w:space="0" w:color="auto"/>
        <w:left w:val="none" w:sz="0" w:space="0" w:color="auto"/>
        <w:bottom w:val="none" w:sz="0" w:space="0" w:color="auto"/>
        <w:right w:val="none" w:sz="0" w:space="0" w:color="auto"/>
      </w:divBdr>
    </w:div>
    <w:div w:id="1576941037">
      <w:bodyDiv w:val="1"/>
      <w:marLeft w:val="0"/>
      <w:marRight w:val="0"/>
      <w:marTop w:val="0"/>
      <w:marBottom w:val="0"/>
      <w:divBdr>
        <w:top w:val="none" w:sz="0" w:space="0" w:color="auto"/>
        <w:left w:val="none" w:sz="0" w:space="0" w:color="auto"/>
        <w:bottom w:val="none" w:sz="0" w:space="0" w:color="auto"/>
        <w:right w:val="none" w:sz="0" w:space="0" w:color="auto"/>
      </w:divBdr>
    </w:div>
    <w:div w:id="1593933198">
      <w:bodyDiv w:val="1"/>
      <w:marLeft w:val="0"/>
      <w:marRight w:val="0"/>
      <w:marTop w:val="0"/>
      <w:marBottom w:val="0"/>
      <w:divBdr>
        <w:top w:val="none" w:sz="0" w:space="0" w:color="auto"/>
        <w:left w:val="none" w:sz="0" w:space="0" w:color="auto"/>
        <w:bottom w:val="none" w:sz="0" w:space="0" w:color="auto"/>
        <w:right w:val="none" w:sz="0" w:space="0" w:color="auto"/>
      </w:divBdr>
    </w:div>
    <w:div w:id="1596399294">
      <w:bodyDiv w:val="1"/>
      <w:marLeft w:val="0"/>
      <w:marRight w:val="0"/>
      <w:marTop w:val="0"/>
      <w:marBottom w:val="0"/>
      <w:divBdr>
        <w:top w:val="none" w:sz="0" w:space="0" w:color="auto"/>
        <w:left w:val="none" w:sz="0" w:space="0" w:color="auto"/>
        <w:bottom w:val="none" w:sz="0" w:space="0" w:color="auto"/>
        <w:right w:val="none" w:sz="0" w:space="0" w:color="auto"/>
      </w:divBdr>
    </w:div>
    <w:div w:id="1652829894">
      <w:bodyDiv w:val="1"/>
      <w:marLeft w:val="0"/>
      <w:marRight w:val="0"/>
      <w:marTop w:val="0"/>
      <w:marBottom w:val="0"/>
      <w:divBdr>
        <w:top w:val="none" w:sz="0" w:space="0" w:color="auto"/>
        <w:left w:val="none" w:sz="0" w:space="0" w:color="auto"/>
        <w:bottom w:val="none" w:sz="0" w:space="0" w:color="auto"/>
        <w:right w:val="none" w:sz="0" w:space="0" w:color="auto"/>
      </w:divBdr>
    </w:div>
    <w:div w:id="1662856491">
      <w:bodyDiv w:val="1"/>
      <w:marLeft w:val="0"/>
      <w:marRight w:val="0"/>
      <w:marTop w:val="0"/>
      <w:marBottom w:val="0"/>
      <w:divBdr>
        <w:top w:val="none" w:sz="0" w:space="0" w:color="auto"/>
        <w:left w:val="none" w:sz="0" w:space="0" w:color="auto"/>
        <w:bottom w:val="none" w:sz="0" w:space="0" w:color="auto"/>
        <w:right w:val="none" w:sz="0" w:space="0" w:color="auto"/>
      </w:divBdr>
    </w:div>
    <w:div w:id="1723479347">
      <w:bodyDiv w:val="1"/>
      <w:marLeft w:val="0"/>
      <w:marRight w:val="0"/>
      <w:marTop w:val="0"/>
      <w:marBottom w:val="0"/>
      <w:divBdr>
        <w:top w:val="none" w:sz="0" w:space="0" w:color="auto"/>
        <w:left w:val="none" w:sz="0" w:space="0" w:color="auto"/>
        <w:bottom w:val="none" w:sz="0" w:space="0" w:color="auto"/>
        <w:right w:val="none" w:sz="0" w:space="0" w:color="auto"/>
      </w:divBdr>
    </w:div>
    <w:div w:id="1760055363">
      <w:bodyDiv w:val="1"/>
      <w:marLeft w:val="0"/>
      <w:marRight w:val="0"/>
      <w:marTop w:val="0"/>
      <w:marBottom w:val="0"/>
      <w:divBdr>
        <w:top w:val="none" w:sz="0" w:space="0" w:color="auto"/>
        <w:left w:val="none" w:sz="0" w:space="0" w:color="auto"/>
        <w:bottom w:val="none" w:sz="0" w:space="0" w:color="auto"/>
        <w:right w:val="none" w:sz="0" w:space="0" w:color="auto"/>
      </w:divBdr>
    </w:div>
    <w:div w:id="1787961047">
      <w:bodyDiv w:val="1"/>
      <w:marLeft w:val="0"/>
      <w:marRight w:val="0"/>
      <w:marTop w:val="0"/>
      <w:marBottom w:val="0"/>
      <w:divBdr>
        <w:top w:val="none" w:sz="0" w:space="0" w:color="auto"/>
        <w:left w:val="none" w:sz="0" w:space="0" w:color="auto"/>
        <w:bottom w:val="none" w:sz="0" w:space="0" w:color="auto"/>
        <w:right w:val="none" w:sz="0" w:space="0" w:color="auto"/>
      </w:divBdr>
    </w:div>
    <w:div w:id="1837501973">
      <w:bodyDiv w:val="1"/>
      <w:marLeft w:val="0"/>
      <w:marRight w:val="0"/>
      <w:marTop w:val="0"/>
      <w:marBottom w:val="0"/>
      <w:divBdr>
        <w:top w:val="none" w:sz="0" w:space="0" w:color="auto"/>
        <w:left w:val="none" w:sz="0" w:space="0" w:color="auto"/>
        <w:bottom w:val="none" w:sz="0" w:space="0" w:color="auto"/>
        <w:right w:val="none" w:sz="0" w:space="0" w:color="auto"/>
      </w:divBdr>
    </w:div>
    <w:div w:id="1842502239">
      <w:bodyDiv w:val="1"/>
      <w:marLeft w:val="0"/>
      <w:marRight w:val="0"/>
      <w:marTop w:val="0"/>
      <w:marBottom w:val="0"/>
      <w:divBdr>
        <w:top w:val="none" w:sz="0" w:space="0" w:color="auto"/>
        <w:left w:val="none" w:sz="0" w:space="0" w:color="auto"/>
        <w:bottom w:val="none" w:sz="0" w:space="0" w:color="auto"/>
        <w:right w:val="none" w:sz="0" w:space="0" w:color="auto"/>
      </w:divBdr>
    </w:div>
    <w:div w:id="1853913750">
      <w:bodyDiv w:val="1"/>
      <w:marLeft w:val="0"/>
      <w:marRight w:val="0"/>
      <w:marTop w:val="0"/>
      <w:marBottom w:val="0"/>
      <w:divBdr>
        <w:top w:val="none" w:sz="0" w:space="0" w:color="auto"/>
        <w:left w:val="none" w:sz="0" w:space="0" w:color="auto"/>
        <w:bottom w:val="none" w:sz="0" w:space="0" w:color="auto"/>
        <w:right w:val="none" w:sz="0" w:space="0" w:color="auto"/>
      </w:divBdr>
    </w:div>
    <w:div w:id="1885823317">
      <w:bodyDiv w:val="1"/>
      <w:marLeft w:val="0"/>
      <w:marRight w:val="0"/>
      <w:marTop w:val="0"/>
      <w:marBottom w:val="0"/>
      <w:divBdr>
        <w:top w:val="none" w:sz="0" w:space="0" w:color="auto"/>
        <w:left w:val="none" w:sz="0" w:space="0" w:color="auto"/>
        <w:bottom w:val="none" w:sz="0" w:space="0" w:color="auto"/>
        <w:right w:val="none" w:sz="0" w:space="0" w:color="auto"/>
      </w:divBdr>
    </w:div>
    <w:div w:id="1949893697">
      <w:bodyDiv w:val="1"/>
      <w:marLeft w:val="0"/>
      <w:marRight w:val="0"/>
      <w:marTop w:val="0"/>
      <w:marBottom w:val="0"/>
      <w:divBdr>
        <w:top w:val="none" w:sz="0" w:space="0" w:color="auto"/>
        <w:left w:val="none" w:sz="0" w:space="0" w:color="auto"/>
        <w:bottom w:val="none" w:sz="0" w:space="0" w:color="auto"/>
        <w:right w:val="none" w:sz="0" w:space="0" w:color="auto"/>
      </w:divBdr>
    </w:div>
    <w:div w:id="1958951437">
      <w:bodyDiv w:val="1"/>
      <w:marLeft w:val="0"/>
      <w:marRight w:val="0"/>
      <w:marTop w:val="0"/>
      <w:marBottom w:val="0"/>
      <w:divBdr>
        <w:top w:val="none" w:sz="0" w:space="0" w:color="auto"/>
        <w:left w:val="none" w:sz="0" w:space="0" w:color="auto"/>
        <w:bottom w:val="none" w:sz="0" w:space="0" w:color="auto"/>
        <w:right w:val="none" w:sz="0" w:space="0" w:color="auto"/>
      </w:divBdr>
    </w:div>
    <w:div w:id="2065517609">
      <w:bodyDiv w:val="1"/>
      <w:marLeft w:val="0"/>
      <w:marRight w:val="0"/>
      <w:marTop w:val="0"/>
      <w:marBottom w:val="0"/>
      <w:divBdr>
        <w:top w:val="none" w:sz="0" w:space="0" w:color="auto"/>
        <w:left w:val="none" w:sz="0" w:space="0" w:color="auto"/>
        <w:bottom w:val="none" w:sz="0" w:space="0" w:color="auto"/>
        <w:right w:val="none" w:sz="0" w:space="0" w:color="auto"/>
      </w:divBdr>
    </w:div>
    <w:div w:id="2070567569">
      <w:bodyDiv w:val="1"/>
      <w:marLeft w:val="0"/>
      <w:marRight w:val="0"/>
      <w:marTop w:val="0"/>
      <w:marBottom w:val="0"/>
      <w:divBdr>
        <w:top w:val="none" w:sz="0" w:space="0" w:color="auto"/>
        <w:left w:val="none" w:sz="0" w:space="0" w:color="auto"/>
        <w:bottom w:val="none" w:sz="0" w:space="0" w:color="auto"/>
        <w:right w:val="none" w:sz="0" w:space="0" w:color="auto"/>
      </w:divBdr>
    </w:div>
    <w:div w:id="2102948361">
      <w:bodyDiv w:val="1"/>
      <w:marLeft w:val="0"/>
      <w:marRight w:val="0"/>
      <w:marTop w:val="0"/>
      <w:marBottom w:val="0"/>
      <w:divBdr>
        <w:top w:val="none" w:sz="0" w:space="0" w:color="auto"/>
        <w:left w:val="none" w:sz="0" w:space="0" w:color="auto"/>
        <w:bottom w:val="none" w:sz="0" w:space="0" w:color="auto"/>
        <w:right w:val="none" w:sz="0" w:space="0" w:color="auto"/>
      </w:divBdr>
    </w:div>
    <w:div w:id="2120031175">
      <w:bodyDiv w:val="1"/>
      <w:marLeft w:val="0"/>
      <w:marRight w:val="0"/>
      <w:marTop w:val="0"/>
      <w:marBottom w:val="0"/>
      <w:divBdr>
        <w:top w:val="none" w:sz="0" w:space="0" w:color="auto"/>
        <w:left w:val="none" w:sz="0" w:space="0" w:color="auto"/>
        <w:bottom w:val="none" w:sz="0" w:space="0" w:color="auto"/>
        <w:right w:val="none" w:sz="0" w:space="0" w:color="auto"/>
      </w:divBdr>
    </w:div>
    <w:div w:id="2125687020">
      <w:bodyDiv w:val="1"/>
      <w:marLeft w:val="0"/>
      <w:marRight w:val="0"/>
      <w:marTop w:val="0"/>
      <w:marBottom w:val="0"/>
      <w:divBdr>
        <w:top w:val="none" w:sz="0" w:space="0" w:color="auto"/>
        <w:left w:val="none" w:sz="0" w:space="0" w:color="auto"/>
        <w:bottom w:val="none" w:sz="0" w:space="0" w:color="auto"/>
        <w:right w:val="none" w:sz="0" w:space="0" w:color="auto"/>
      </w:divBdr>
    </w:div>
    <w:div w:id="214087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64BFFBC-6488-462D-9C23-8D65335BA344}">
  <we:reference id="wa104380121" version="2.0.0.0" store="en-US" storeType="OMEX"/>
  <we:alternateReferences>
    <we:reference id="WA104380121" version="2.0.0.0" store="WA10438012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apomena xmlns="7a080b40-664e-443c-980f-4e786e11e5d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D98F746B704145AB0D3883C4B6268A" ma:contentTypeVersion="7" ma:contentTypeDescription="Create a new document." ma:contentTypeScope="" ma:versionID="0e265faa65f8e133e2ba36f076ddf575">
  <xsd:schema xmlns:xsd="http://www.w3.org/2001/XMLSchema" xmlns:xs="http://www.w3.org/2001/XMLSchema" xmlns:p="http://schemas.microsoft.com/office/2006/metadata/properties" xmlns:ns2="7a080b40-664e-443c-980f-4e786e11e5d4" targetNamespace="http://schemas.microsoft.com/office/2006/metadata/properties" ma:root="true" ma:fieldsID="e1f4c399256588b91142b28641710ab6" ns2:_="">
    <xsd:import namespace="7a080b40-664e-443c-980f-4e786e11e5d4"/>
    <xsd:element name="properties">
      <xsd:complexType>
        <xsd:sequence>
          <xsd:element name="documentManagement">
            <xsd:complexType>
              <xsd:all>
                <xsd:element ref="ns2:Napomen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80b40-664e-443c-980f-4e786e11e5d4" elementFormDefault="qualified">
    <xsd:import namespace="http://schemas.microsoft.com/office/2006/documentManagement/types"/>
    <xsd:import namespace="http://schemas.microsoft.com/office/infopath/2007/PartnerControls"/>
    <xsd:element name="Napomena" ma:index="8" nillable="true" ma:displayName="Napomena" ma:internalName="Napomen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C3F60-F098-418D-923A-C77A8EF744D6}">
  <ds:schemaRefs>
    <ds:schemaRef ds:uri="http://schemas.microsoft.com/sharepoint/v3/contenttype/forms"/>
  </ds:schemaRefs>
</ds:datastoreItem>
</file>

<file path=customXml/itemProps2.xml><?xml version="1.0" encoding="utf-8"?>
<ds:datastoreItem xmlns:ds="http://schemas.openxmlformats.org/officeDocument/2006/customXml" ds:itemID="{FEC90AB9-2A26-4CB6-A5E6-142D2BCC5848}">
  <ds:schemaRefs>
    <ds:schemaRef ds:uri="http://schemas.microsoft.com/office/2006/metadata/properties"/>
    <ds:schemaRef ds:uri="http://schemas.microsoft.com/office/infopath/2007/PartnerControls"/>
    <ds:schemaRef ds:uri="7a080b40-664e-443c-980f-4e786e11e5d4"/>
  </ds:schemaRefs>
</ds:datastoreItem>
</file>

<file path=customXml/itemProps3.xml><?xml version="1.0" encoding="utf-8"?>
<ds:datastoreItem xmlns:ds="http://schemas.openxmlformats.org/officeDocument/2006/customXml" ds:itemID="{E6380F71-951B-4CC7-883A-A50F0E0801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80b40-664e-443c-980f-4e786e11e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2148E8-FE2B-4CA8-85D8-1486AADAF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53842</Words>
  <Characters>306900</Characters>
  <Application>Microsoft Office Word</Application>
  <DocSecurity>0</DocSecurity>
  <Lines>2557</Lines>
  <Paragraphs>720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360022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Delija-Ruzic</dc:creator>
  <cp:keywords/>
  <dc:description/>
  <cp:lastModifiedBy>Dijana Varlec</cp:lastModifiedBy>
  <cp:revision>2</cp:revision>
  <cp:lastPrinted>2020-04-20T06:42:00Z</cp:lastPrinted>
  <dcterms:created xsi:type="dcterms:W3CDTF">2020-05-13T09:20:00Z</dcterms:created>
  <dcterms:modified xsi:type="dcterms:W3CDTF">2020-05-13T09:20:00Z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0x0101000CD98F746B704145AB0D3883C4B6268A</vt:lpwstr>
  </property>
</Properties>
</file>